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5237" w14:textId="77777777" w:rsidR="0065187B" w:rsidRDefault="0065187B" w:rsidP="00BC3B58">
      <w:pPr>
        <w:pStyle w:val="Title-"/>
      </w:pPr>
      <w:r w:rsidRPr="00E7572F">
        <w:t>Risk Stratification and Outcomes of Management in Egyptian Patients with Fistulizing Crohn's Disease</w:t>
      </w:r>
    </w:p>
    <w:p w14:paraId="215D8B42" w14:textId="77777777" w:rsidR="001A2157" w:rsidRPr="001A2157" w:rsidRDefault="001A2157" w:rsidP="001A2157">
      <w:pPr>
        <w:pStyle w:val="authername"/>
        <w:jc w:val="left"/>
        <w:rPr>
          <w:b w:val="0"/>
          <w:bCs w:val="0"/>
        </w:rPr>
      </w:pPr>
      <w:bookmarkStart w:id="0" w:name="_Hlk211687390"/>
      <w:r w:rsidRPr="001A2157">
        <w:rPr>
          <w:b w:val="0"/>
          <w:bCs w:val="0"/>
        </w:rPr>
        <w:t xml:space="preserve">Mostafa </w:t>
      </w:r>
      <w:proofErr w:type="spellStart"/>
      <w:r w:rsidRPr="001A2157">
        <w:rPr>
          <w:b w:val="0"/>
          <w:bCs w:val="0"/>
        </w:rPr>
        <w:t>Attya</w:t>
      </w:r>
      <w:proofErr w:type="spellEnd"/>
      <w:r w:rsidRPr="001A2157">
        <w:rPr>
          <w:b w:val="0"/>
          <w:bCs w:val="0"/>
        </w:rPr>
        <w:t xml:space="preserve"> Elfors</w:t>
      </w:r>
      <w:r w:rsidR="00BC3B58" w:rsidRPr="001A2157">
        <w:rPr>
          <w:b w:val="0"/>
          <w:bCs w:val="0"/>
          <w:vertAlign w:val="superscript"/>
        </w:rPr>
        <w:t>1</w:t>
      </w:r>
      <w:bookmarkEnd w:id="0"/>
      <w:r w:rsidR="00BC3B58" w:rsidRPr="001A2157">
        <w:rPr>
          <w:b w:val="0"/>
          <w:bCs w:val="0"/>
        </w:rPr>
        <w:t xml:space="preserve">*, </w:t>
      </w:r>
      <w:r w:rsidRPr="001A2157">
        <w:rPr>
          <w:b w:val="0"/>
          <w:bCs w:val="0"/>
        </w:rPr>
        <w:t>Emad Ahmad Awad</w:t>
      </w:r>
      <w:r w:rsidR="00BC3B58" w:rsidRPr="001A2157">
        <w:rPr>
          <w:b w:val="0"/>
          <w:bCs w:val="0"/>
          <w:vertAlign w:val="superscript"/>
        </w:rPr>
        <w:t>1</w:t>
      </w:r>
      <w:r w:rsidR="00BC3B58" w:rsidRPr="001A2157">
        <w:rPr>
          <w:b w:val="0"/>
          <w:bCs w:val="0"/>
        </w:rPr>
        <w:t xml:space="preserve">, </w:t>
      </w:r>
      <w:r w:rsidRPr="001A2157">
        <w:rPr>
          <w:b w:val="0"/>
          <w:bCs w:val="0"/>
        </w:rPr>
        <w:t>Shereen Abou Bakr Saleh</w:t>
      </w:r>
      <w:r w:rsidR="00BC3B58" w:rsidRPr="001A2157">
        <w:rPr>
          <w:b w:val="0"/>
          <w:bCs w:val="0"/>
          <w:vertAlign w:val="superscript"/>
        </w:rPr>
        <w:t>1</w:t>
      </w:r>
      <w:r w:rsidR="00BC3B58" w:rsidRPr="001A2157">
        <w:rPr>
          <w:b w:val="0"/>
          <w:bCs w:val="0"/>
        </w:rPr>
        <w:t xml:space="preserve">, </w:t>
      </w:r>
      <w:r w:rsidRPr="001A2157">
        <w:rPr>
          <w:b w:val="0"/>
          <w:bCs w:val="0"/>
        </w:rPr>
        <w:t>Khaled Hamdy</w:t>
      </w:r>
    </w:p>
    <w:p w14:paraId="269DC09D" w14:textId="6B354CBF" w:rsidR="00BC3B58" w:rsidRPr="001A2157" w:rsidRDefault="00BC3B58" w:rsidP="001A2157">
      <w:pPr>
        <w:pStyle w:val="authername"/>
        <w:jc w:val="left"/>
        <w:rPr>
          <w:b w:val="0"/>
          <w:bCs w:val="0"/>
          <w:vertAlign w:val="superscript"/>
        </w:rPr>
      </w:pPr>
      <w:r w:rsidRPr="001A2157">
        <w:rPr>
          <w:b w:val="0"/>
          <w:bCs w:val="0"/>
          <w:vertAlign w:val="superscript"/>
        </w:rPr>
        <w:t>1</w:t>
      </w:r>
      <w:r w:rsidRPr="001A2157">
        <w:rPr>
          <w:b w:val="0"/>
          <w:bCs w:val="0"/>
        </w:rPr>
        <w:t xml:space="preserve">, </w:t>
      </w:r>
      <w:r w:rsidR="001A2157" w:rsidRPr="001A2157">
        <w:rPr>
          <w:b w:val="0"/>
          <w:bCs w:val="0"/>
        </w:rPr>
        <w:t xml:space="preserve">Hany </w:t>
      </w:r>
      <w:proofErr w:type="spellStart"/>
      <w:r w:rsidR="001A2157" w:rsidRPr="001A2157">
        <w:rPr>
          <w:b w:val="0"/>
          <w:bCs w:val="0"/>
        </w:rPr>
        <w:t>Moufid</w:t>
      </w:r>
      <w:proofErr w:type="spellEnd"/>
      <w:r w:rsidR="001A2157" w:rsidRPr="001A2157">
        <w:rPr>
          <w:b w:val="0"/>
          <w:bCs w:val="0"/>
        </w:rPr>
        <w:t xml:space="preserve"> Shehab </w:t>
      </w:r>
      <w:r w:rsidRPr="001A2157">
        <w:rPr>
          <w:b w:val="0"/>
          <w:bCs w:val="0"/>
          <w:vertAlign w:val="superscript"/>
        </w:rPr>
        <w:t>2</w:t>
      </w:r>
      <w:r w:rsidRPr="001A2157">
        <w:rPr>
          <w:b w:val="0"/>
          <w:bCs w:val="0"/>
        </w:rPr>
        <w:t xml:space="preserve">, </w:t>
      </w:r>
      <w:r w:rsidR="001A2157" w:rsidRPr="001A2157">
        <w:rPr>
          <w:b w:val="0"/>
          <w:bCs w:val="0"/>
        </w:rPr>
        <w:t xml:space="preserve">Hedy A. </w:t>
      </w:r>
      <w:proofErr w:type="spellStart"/>
      <w:r w:rsidR="001A2157" w:rsidRPr="001A2157">
        <w:rPr>
          <w:b w:val="0"/>
          <w:bCs w:val="0"/>
        </w:rPr>
        <w:t>Badary</w:t>
      </w:r>
      <w:proofErr w:type="spellEnd"/>
      <w:r w:rsidR="001A2157" w:rsidRPr="001A2157">
        <w:rPr>
          <w:b w:val="0"/>
          <w:bCs w:val="0"/>
        </w:rPr>
        <w:t xml:space="preserve"> </w:t>
      </w:r>
      <w:r w:rsidRPr="001A2157">
        <w:rPr>
          <w:b w:val="0"/>
          <w:bCs w:val="0"/>
          <w:vertAlign w:val="superscript"/>
        </w:rPr>
        <w:t>2</w:t>
      </w:r>
      <w:r w:rsidRPr="001A2157">
        <w:rPr>
          <w:b w:val="0"/>
          <w:bCs w:val="0"/>
        </w:rPr>
        <w:t xml:space="preserve">, </w:t>
      </w:r>
      <w:r w:rsidR="001A2157" w:rsidRPr="001A2157">
        <w:rPr>
          <w:b w:val="0"/>
          <w:bCs w:val="0"/>
        </w:rPr>
        <w:t>Ahmed Ali Farrag</w:t>
      </w:r>
      <w:r w:rsidRPr="001A2157">
        <w:rPr>
          <w:b w:val="0"/>
          <w:bCs w:val="0"/>
          <w:vertAlign w:val="superscript"/>
        </w:rPr>
        <w:t>2</w:t>
      </w:r>
      <w:r w:rsidRPr="001A2157">
        <w:rPr>
          <w:b w:val="0"/>
          <w:bCs w:val="0"/>
        </w:rPr>
        <w:t xml:space="preserve">, </w:t>
      </w:r>
      <w:r w:rsidR="001A2157" w:rsidRPr="001A2157">
        <w:rPr>
          <w:b w:val="0"/>
          <w:bCs w:val="0"/>
        </w:rPr>
        <w:t>Amr Mohammed Yehia</w:t>
      </w:r>
      <w:r w:rsidRPr="001A2157">
        <w:rPr>
          <w:b w:val="0"/>
          <w:bCs w:val="0"/>
          <w:vertAlign w:val="superscript"/>
        </w:rPr>
        <w:t>1</w:t>
      </w:r>
      <w:r w:rsidRPr="001A2157">
        <w:rPr>
          <w:b w:val="0"/>
          <w:bCs w:val="0"/>
        </w:rPr>
        <w:t xml:space="preserve">, </w:t>
      </w:r>
      <w:r w:rsidR="001A2157" w:rsidRPr="001A2157">
        <w:rPr>
          <w:b w:val="0"/>
          <w:bCs w:val="0"/>
        </w:rPr>
        <w:t>Hager Ahmed El Essawy</w:t>
      </w:r>
      <w:r w:rsidRPr="001A2157">
        <w:rPr>
          <w:b w:val="0"/>
          <w:bCs w:val="0"/>
          <w:vertAlign w:val="superscript"/>
        </w:rPr>
        <w:t>1</w:t>
      </w:r>
    </w:p>
    <w:p w14:paraId="0CF301C8" w14:textId="77777777" w:rsidR="00BC3B58" w:rsidRPr="00BC3B58" w:rsidRDefault="00BC3B58" w:rsidP="00BC3B58">
      <w:pPr>
        <w:bidi w:val="0"/>
        <w:jc w:val="both"/>
        <w:rPr>
          <w:iCs/>
          <w:color w:val="000000"/>
          <w:sz w:val="20"/>
          <w:szCs w:val="20"/>
        </w:rPr>
      </w:pPr>
      <w:r w:rsidRPr="00BC3B58">
        <w:rPr>
          <w:b/>
          <w:bCs/>
          <w:iCs/>
          <w:color w:val="000000"/>
          <w:sz w:val="20"/>
          <w:szCs w:val="20"/>
          <w:vertAlign w:val="superscript"/>
        </w:rPr>
        <w:t xml:space="preserve">1 </w:t>
      </w:r>
      <w:r w:rsidRPr="00BC3B58">
        <w:rPr>
          <w:iCs/>
          <w:color w:val="000000"/>
          <w:sz w:val="20"/>
          <w:szCs w:val="20"/>
        </w:rPr>
        <w:t>Internal Medicine Department, Hepatology and GIT Unit, Faculty of Medicine, Ain Shams University, Cairo, Egypt.</w:t>
      </w:r>
    </w:p>
    <w:p w14:paraId="619818B7" w14:textId="196165EA" w:rsidR="00BC3B58" w:rsidRPr="00BC3B58" w:rsidRDefault="00BC3B58" w:rsidP="00BC3B58">
      <w:pPr>
        <w:bidi w:val="0"/>
        <w:spacing w:after="240"/>
        <w:jc w:val="both"/>
        <w:rPr>
          <w:iCs/>
          <w:color w:val="000000"/>
          <w:sz w:val="20"/>
          <w:szCs w:val="20"/>
        </w:rPr>
      </w:pPr>
      <w:r w:rsidRPr="00BC3B58">
        <w:rPr>
          <w:iCs/>
          <w:color w:val="000000"/>
          <w:sz w:val="20"/>
          <w:szCs w:val="20"/>
          <w:vertAlign w:val="superscript"/>
        </w:rPr>
        <w:t xml:space="preserve">2 </w:t>
      </w:r>
      <w:r w:rsidRPr="00BC3B58">
        <w:rPr>
          <w:iCs/>
          <w:color w:val="000000"/>
          <w:sz w:val="20"/>
          <w:szCs w:val="20"/>
        </w:rPr>
        <w:t>Integrated Clinical and Research Center for Intestinal Disorders (ICRID), Endemic Medicine Department, Faculty of Medicine, Cairo University, Cairo, Egypt.</w:t>
      </w:r>
    </w:p>
    <w:p w14:paraId="524F2370" w14:textId="73CFCACD" w:rsidR="00BC3B58" w:rsidRPr="00BC3B58" w:rsidRDefault="00BC3B58" w:rsidP="001A2157">
      <w:pPr>
        <w:bidi w:val="0"/>
        <w:jc w:val="both"/>
        <w:rPr>
          <w:iCs/>
          <w:color w:val="000000"/>
        </w:rPr>
      </w:pPr>
      <w:r w:rsidRPr="00BC3B58">
        <w:rPr>
          <w:b/>
          <w:bCs/>
          <w:iCs/>
          <w:color w:val="000000"/>
        </w:rPr>
        <w:t xml:space="preserve">Corresponding Author: </w:t>
      </w:r>
      <w:r w:rsidRPr="00BC3B58">
        <w:rPr>
          <w:b/>
          <w:bCs/>
          <w:color w:val="000000"/>
        </w:rPr>
        <w:t>*</w:t>
      </w:r>
      <w:bookmarkStart w:id="1" w:name="_Hlk211859453"/>
      <w:r w:rsidRPr="00BC3B58">
        <w:rPr>
          <w:b/>
          <w:bCs/>
          <w:iCs/>
          <w:color w:val="000000"/>
        </w:rPr>
        <w:t xml:space="preserve">Mostafa </w:t>
      </w:r>
      <w:proofErr w:type="spellStart"/>
      <w:r w:rsidRPr="00BC3B58">
        <w:rPr>
          <w:b/>
          <w:bCs/>
          <w:iCs/>
          <w:color w:val="000000"/>
        </w:rPr>
        <w:t>Attya</w:t>
      </w:r>
      <w:proofErr w:type="spellEnd"/>
      <w:r w:rsidRPr="00BC3B58">
        <w:rPr>
          <w:b/>
          <w:bCs/>
          <w:iCs/>
          <w:color w:val="000000"/>
        </w:rPr>
        <w:t xml:space="preserve"> Elfors</w:t>
      </w:r>
      <w:bookmarkEnd w:id="1"/>
      <w:r w:rsidR="001A2157">
        <w:rPr>
          <w:b/>
          <w:bCs/>
          <w:iCs/>
          <w:color w:val="000000"/>
        </w:rPr>
        <w:t xml:space="preserve">, </w:t>
      </w:r>
      <w:r w:rsidRPr="00BC3B58">
        <w:rPr>
          <w:iCs/>
          <w:color w:val="000000"/>
        </w:rPr>
        <w:t>MD of internal medicine, Lecturer of internal medicine, Hepatology and GIT, Faculty of Medicine, Ain Shams University.</w:t>
      </w:r>
    </w:p>
    <w:p w14:paraId="410F6E35" w14:textId="38F9EFEB" w:rsidR="00BC3B58" w:rsidRPr="001A2157" w:rsidRDefault="00BC3B58" w:rsidP="00BC3B58">
      <w:pPr>
        <w:bidi w:val="0"/>
        <w:jc w:val="both"/>
        <w:rPr>
          <w:iCs/>
          <w:color w:val="000000"/>
        </w:rPr>
      </w:pPr>
      <w:r w:rsidRPr="001A2157">
        <w:rPr>
          <w:iCs/>
          <w:color w:val="000000"/>
        </w:rPr>
        <w:t xml:space="preserve">Email: </w:t>
      </w:r>
      <w:hyperlink r:id="rId8" w:history="1">
        <w:r w:rsidRPr="00B7479A">
          <w:rPr>
            <w:rStyle w:val="Hyperlink"/>
            <w:iCs/>
          </w:rPr>
          <w:t>mostafaalfors@med.asu.edu.eg</w:t>
        </w:r>
      </w:hyperlink>
      <w:r w:rsidR="001A2157">
        <w:rPr>
          <w:iCs/>
          <w:color w:val="000000"/>
        </w:rPr>
        <w:t>.</w:t>
      </w:r>
    </w:p>
    <w:p w14:paraId="0803BE06" w14:textId="27ECE6C9" w:rsidR="00BC3B58" w:rsidRPr="001A2157" w:rsidRDefault="00BC3B58" w:rsidP="00BC3B58">
      <w:pPr>
        <w:bidi w:val="0"/>
        <w:jc w:val="both"/>
        <w:rPr>
          <w:iCs/>
          <w:color w:val="000000"/>
        </w:rPr>
      </w:pPr>
      <w:r w:rsidRPr="001A2157">
        <w:rPr>
          <w:iCs/>
          <w:color w:val="000000"/>
        </w:rPr>
        <w:t>Tel. No.: +201004424657</w:t>
      </w:r>
      <w:r w:rsidR="001A2157">
        <w:rPr>
          <w:iCs/>
          <w:color w:val="000000"/>
        </w:rPr>
        <w:t>.</w:t>
      </w:r>
    </w:p>
    <w:p w14:paraId="129DACB2" w14:textId="43B9C0B3" w:rsidR="00BC3B58" w:rsidRDefault="00BC3B58" w:rsidP="00BC3B58">
      <w:pPr>
        <w:bidi w:val="0"/>
        <w:spacing w:after="240"/>
        <w:jc w:val="both"/>
        <w:rPr>
          <w:iCs/>
          <w:color w:val="000000"/>
        </w:rPr>
      </w:pPr>
      <w:r w:rsidRPr="001A2157">
        <w:rPr>
          <w:iCs/>
          <w:color w:val="000000"/>
        </w:rPr>
        <w:t xml:space="preserve">ORCID: </w:t>
      </w:r>
      <w:hyperlink r:id="rId9" w:history="1">
        <w:r w:rsidRPr="001A2157">
          <w:rPr>
            <w:rStyle w:val="Hyperlink"/>
            <w:iCs/>
          </w:rPr>
          <w:t>0009-0000-9578-8133</w:t>
        </w:r>
      </w:hyperlink>
      <w:r w:rsidR="001A2157">
        <w:rPr>
          <w:iCs/>
          <w:color w:val="000000"/>
        </w:rPr>
        <w:t>.</w:t>
      </w:r>
    </w:p>
    <w:p w14:paraId="3F79451C" w14:textId="5F5D04A2" w:rsidR="001A2157" w:rsidRPr="001A2157" w:rsidRDefault="001A2157" w:rsidP="00B7479A">
      <w:pPr>
        <w:bidi w:val="0"/>
        <w:spacing w:after="160" w:line="360" w:lineRule="auto"/>
        <w:rPr>
          <w:rFonts w:eastAsia="Aptos"/>
          <w:b/>
          <w:bCs/>
          <w:color w:val="000000"/>
          <w:kern w:val="2"/>
          <w14:ligatures w14:val="standardContextual"/>
        </w:rPr>
      </w:pPr>
      <w:r w:rsidRPr="001A2157">
        <w:rPr>
          <w:rFonts w:eastAsia="Aptos"/>
          <w:color w:val="000000"/>
          <w:kern w:val="2"/>
          <w14:ligatures w14:val="standardContextual"/>
        </w:rPr>
        <w:t xml:space="preserve">Doi: </w:t>
      </w:r>
      <w:hyperlink r:id="rId10" w:history="1">
        <w:r w:rsidR="00B7479A" w:rsidRPr="00B7479A">
          <w:rPr>
            <w:rStyle w:val="Hyperlink"/>
            <w:rFonts w:ascii="Aptos" w:eastAsia="DengXian" w:hAnsi="Aptos" w:cs="Arial"/>
            <w:b/>
            <w:bCs/>
            <w:kern w:val="2"/>
            <w:lang w:eastAsia="en-GB"/>
            <w14:ligatures w14:val="standardContextual"/>
          </w:rPr>
          <w:t>10.21608/ajgh.2025.394851.1085</w:t>
        </w:r>
      </w:hyperlink>
      <w:r w:rsidR="00B7479A">
        <w:rPr>
          <w:rFonts w:ascii="Aptos" w:eastAsia="DengXian" w:hAnsi="Aptos" w:cs="Arial"/>
          <w:b/>
          <w:bCs/>
          <w:kern w:val="2"/>
          <w:lang w:eastAsia="en-GB"/>
          <w14:ligatures w14:val="standardContextual"/>
        </w:rPr>
        <w:t>.</w:t>
      </w:r>
    </w:p>
    <w:p w14:paraId="2A5D1359" w14:textId="71D49BBF" w:rsidR="001A2157" w:rsidRPr="001A2157" w:rsidRDefault="001A2157" w:rsidP="00B7479A">
      <w:pPr>
        <w:bidi w:val="0"/>
        <w:spacing w:after="160" w:line="360" w:lineRule="auto"/>
        <w:jc w:val="both"/>
        <w:rPr>
          <w:rFonts w:eastAsia="Aptos"/>
          <w:color w:val="000000"/>
          <w:kern w:val="2"/>
          <w14:ligatures w14:val="standardContextual"/>
        </w:rPr>
      </w:pPr>
      <w:r w:rsidRPr="001A2157">
        <w:rPr>
          <w:rFonts w:eastAsia="Aptos"/>
          <w:color w:val="000000"/>
          <w:kern w:val="2"/>
          <w14:ligatures w14:val="standardContextual"/>
        </w:rPr>
        <w:t xml:space="preserve">Submit Date: </w:t>
      </w:r>
      <w:r w:rsidR="00B7479A">
        <w:rPr>
          <w:rFonts w:eastAsia="Aptos"/>
          <w:color w:val="000000"/>
          <w:kern w:val="2"/>
          <w14:ligatures w14:val="standardContextual"/>
        </w:rPr>
        <w:t>16</w:t>
      </w:r>
      <w:r w:rsidRPr="001A2157">
        <w:rPr>
          <w:rFonts w:eastAsia="Aptos"/>
          <w:color w:val="000000"/>
          <w:kern w:val="2"/>
          <w14:ligatures w14:val="standardContextual"/>
        </w:rPr>
        <w:t>-0</w:t>
      </w:r>
      <w:r w:rsidR="00B7479A">
        <w:rPr>
          <w:rFonts w:eastAsia="Aptos"/>
          <w:color w:val="000000"/>
          <w:kern w:val="2"/>
          <w14:ligatures w14:val="standardContextual"/>
        </w:rPr>
        <w:t>6</w:t>
      </w:r>
      <w:r w:rsidRPr="001A2157">
        <w:rPr>
          <w:rFonts w:eastAsia="Aptos"/>
          <w:color w:val="000000"/>
          <w:kern w:val="2"/>
          <w14:ligatures w14:val="standardContextual"/>
        </w:rPr>
        <w:t>-2025.</w:t>
      </w:r>
    </w:p>
    <w:p w14:paraId="4FBBFE72" w14:textId="000E046F" w:rsidR="001A2157" w:rsidRPr="001A2157" w:rsidRDefault="001A2157" w:rsidP="00B7479A">
      <w:pPr>
        <w:bidi w:val="0"/>
        <w:spacing w:after="160" w:line="360" w:lineRule="auto"/>
        <w:jc w:val="both"/>
        <w:rPr>
          <w:rFonts w:eastAsia="Aptos"/>
          <w:color w:val="000000"/>
          <w:kern w:val="2"/>
          <w14:ligatures w14:val="standardContextual"/>
        </w:rPr>
      </w:pPr>
      <w:r w:rsidRPr="001A2157">
        <w:rPr>
          <w:rFonts w:eastAsia="Aptos"/>
          <w:color w:val="000000"/>
          <w:kern w:val="2"/>
          <w14:ligatures w14:val="standardContextual"/>
        </w:rPr>
        <w:t>Revision date:</w:t>
      </w:r>
      <w:r w:rsidRPr="001A2157">
        <w:rPr>
          <w:rFonts w:eastAsia="Aptos"/>
          <w:color w:val="000000"/>
          <w:kern w:val="2"/>
          <w14:ligatures w14:val="standardContextual"/>
        </w:rPr>
        <w:tab/>
      </w:r>
      <w:r w:rsidR="00B7479A">
        <w:rPr>
          <w:rFonts w:eastAsia="Aptos"/>
          <w:color w:val="000000"/>
          <w:kern w:val="2"/>
          <w14:ligatures w14:val="standardContextual"/>
        </w:rPr>
        <w:t>25</w:t>
      </w:r>
      <w:r w:rsidRPr="001A2157">
        <w:rPr>
          <w:rFonts w:eastAsia="Aptos"/>
          <w:color w:val="000000"/>
          <w:kern w:val="2"/>
          <w14:ligatures w14:val="standardContextual"/>
        </w:rPr>
        <w:t>-09-2025.</w:t>
      </w:r>
    </w:p>
    <w:p w14:paraId="7A1D2F55" w14:textId="29D07112" w:rsidR="001A2157" w:rsidRPr="001A2157" w:rsidRDefault="001A2157" w:rsidP="00B7479A">
      <w:pPr>
        <w:bidi w:val="0"/>
        <w:spacing w:after="160" w:line="360" w:lineRule="auto"/>
        <w:jc w:val="both"/>
        <w:rPr>
          <w:rFonts w:eastAsia="Aptos"/>
          <w:color w:val="000000"/>
          <w:kern w:val="2"/>
          <w14:ligatures w14:val="standardContextual"/>
        </w:rPr>
      </w:pPr>
      <w:r w:rsidRPr="001A2157">
        <w:rPr>
          <w:rFonts w:eastAsia="Aptos"/>
          <w:color w:val="000000"/>
          <w:kern w:val="2"/>
          <w14:ligatures w14:val="standardContextual"/>
        </w:rPr>
        <w:t xml:space="preserve">Accept Date: </w:t>
      </w:r>
      <w:r w:rsidR="00B7479A">
        <w:rPr>
          <w:rFonts w:eastAsia="Aptos"/>
          <w:color w:val="000000"/>
          <w:kern w:val="2"/>
          <w14:ligatures w14:val="standardContextual"/>
        </w:rPr>
        <w:t>15</w:t>
      </w:r>
      <w:r w:rsidRPr="001A2157">
        <w:rPr>
          <w:rFonts w:eastAsia="Aptos"/>
          <w:color w:val="000000"/>
          <w:kern w:val="2"/>
          <w14:ligatures w14:val="standardContextual"/>
        </w:rPr>
        <w:t>-10-2025.</w:t>
      </w:r>
    </w:p>
    <w:p w14:paraId="5B4BAF7F" w14:textId="4197C11C" w:rsidR="005F4C43" w:rsidRPr="001A2157" w:rsidRDefault="00CB0F13" w:rsidP="00CC394D">
      <w:pPr>
        <w:pStyle w:val="H1"/>
        <w:rPr>
          <w:color w:val="auto"/>
          <w:sz w:val="24"/>
          <w:szCs w:val="24"/>
        </w:rPr>
      </w:pPr>
      <w:r w:rsidRPr="001A2157">
        <w:rPr>
          <w:color w:val="auto"/>
          <w:sz w:val="24"/>
          <w:szCs w:val="24"/>
        </w:rPr>
        <w:t>Abstract</w:t>
      </w:r>
    </w:p>
    <w:p w14:paraId="01989533" w14:textId="168B06D4" w:rsidR="003D2DCE" w:rsidRPr="00E7572F" w:rsidRDefault="003D2DCE" w:rsidP="001D4C35">
      <w:pPr>
        <w:pStyle w:val="H1"/>
        <w:rPr>
          <w:rFonts w:eastAsia="SimSun"/>
          <w:b w:val="0"/>
          <w:bCs w:val="0"/>
          <w:color w:val="auto"/>
          <w:sz w:val="24"/>
          <w:szCs w:val="24"/>
          <w:lang w:eastAsia="zh-CN"/>
        </w:rPr>
      </w:pPr>
      <w:r w:rsidRPr="00E7572F">
        <w:rPr>
          <w:rFonts w:eastAsia="SimSun"/>
          <w:color w:val="auto"/>
          <w:sz w:val="24"/>
          <w:szCs w:val="24"/>
          <w:lang w:eastAsia="zh-CN"/>
        </w:rPr>
        <w:t>Background:</w:t>
      </w:r>
      <w:r w:rsidRPr="00E7572F">
        <w:rPr>
          <w:rFonts w:eastAsia="SimSun"/>
          <w:b w:val="0"/>
          <w:bCs w:val="0"/>
          <w:color w:val="auto"/>
          <w:sz w:val="24"/>
          <w:szCs w:val="24"/>
          <w:lang w:eastAsia="zh-CN"/>
        </w:rPr>
        <w:t xml:space="preserve"> </w:t>
      </w:r>
      <w:r w:rsidR="001D4C35" w:rsidRPr="001D4C35">
        <w:rPr>
          <w:rFonts w:eastAsia="SimSun"/>
          <w:b w:val="0"/>
          <w:bCs w:val="0"/>
          <w:color w:val="auto"/>
          <w:sz w:val="24"/>
          <w:szCs w:val="24"/>
          <w:lang w:eastAsia="zh-CN"/>
        </w:rPr>
        <w:t>Crohn’s disease (CD) is a chronic, relapsing inflammatory condition of uncertain origin that can affect any segment of the gastrointestinal tract in a transmural pattern, often resulting in complications such as fistulae or perforation. Although its prevalence appears to be rising in Egypt, precise epidemiological figures are lacking. The present study was designed to identify risk factors associated with fistulizing CD and to examine treatment outcomes in affected Egyptian patients.</w:t>
      </w:r>
    </w:p>
    <w:p w14:paraId="55A074E2" w14:textId="5F4B1D8C" w:rsidR="003D2DCE" w:rsidRPr="00E7572F" w:rsidRDefault="003D2DCE" w:rsidP="001D4C35">
      <w:pPr>
        <w:pStyle w:val="H1"/>
        <w:rPr>
          <w:rFonts w:eastAsia="SimSun"/>
          <w:b w:val="0"/>
          <w:bCs w:val="0"/>
          <w:color w:val="auto"/>
          <w:sz w:val="24"/>
          <w:szCs w:val="24"/>
          <w:lang w:eastAsia="zh-CN"/>
        </w:rPr>
      </w:pPr>
      <w:r w:rsidRPr="00E7572F">
        <w:rPr>
          <w:rFonts w:eastAsia="SimSun"/>
          <w:color w:val="auto"/>
          <w:sz w:val="24"/>
          <w:szCs w:val="24"/>
          <w:lang w:eastAsia="zh-CN"/>
        </w:rPr>
        <w:t>Methods:</w:t>
      </w:r>
      <w:r w:rsidR="009D581A" w:rsidRPr="00E7572F">
        <w:rPr>
          <w:rFonts w:eastAsia="SimSun"/>
          <w:b w:val="0"/>
          <w:bCs w:val="0"/>
          <w:color w:val="auto"/>
          <w:sz w:val="24"/>
          <w:szCs w:val="24"/>
          <w:lang w:eastAsia="zh-CN"/>
        </w:rPr>
        <w:t xml:space="preserve"> </w:t>
      </w:r>
      <w:r w:rsidR="00466853" w:rsidRPr="00BC3B58">
        <w:rPr>
          <w:rFonts w:eastAsia="SimSun"/>
          <w:b w:val="0"/>
          <w:bCs w:val="0"/>
          <w:color w:val="auto"/>
          <w:sz w:val="24"/>
          <w:szCs w:val="24"/>
          <w:lang w:eastAsia="zh-CN"/>
        </w:rPr>
        <w:t xml:space="preserve">The present </w:t>
      </w:r>
      <w:r w:rsidR="00C012F1" w:rsidRPr="00BC3B58">
        <w:rPr>
          <w:rFonts w:eastAsia="SimSun"/>
          <w:b w:val="0"/>
          <w:bCs w:val="0"/>
          <w:color w:val="auto"/>
          <w:sz w:val="24"/>
          <w:szCs w:val="24"/>
          <w:lang w:eastAsia="zh-CN"/>
        </w:rPr>
        <w:t xml:space="preserve">retrospective–prospective cohort study </w:t>
      </w:r>
      <w:r w:rsidR="00466853" w:rsidRPr="00BC3B58">
        <w:rPr>
          <w:rFonts w:eastAsia="SimSun"/>
          <w:b w:val="0"/>
          <w:bCs w:val="0"/>
          <w:color w:val="auto"/>
          <w:sz w:val="24"/>
          <w:szCs w:val="24"/>
          <w:lang w:eastAsia="zh-CN"/>
        </w:rPr>
        <w:t>comprised 90 Egyptian individuals with Crohn’s disease, divided into a fistulizing group (n = 45) and a non-fistulizing group (n = 45).</w:t>
      </w:r>
      <w:r w:rsidR="007A7A01" w:rsidRPr="00466853">
        <w:rPr>
          <w:rFonts w:eastAsia="SimSun"/>
          <w:b w:val="0"/>
          <w:bCs w:val="0"/>
          <w:color w:val="FF0000"/>
          <w:sz w:val="24"/>
          <w:szCs w:val="24"/>
          <w:lang w:eastAsia="zh-CN"/>
        </w:rPr>
        <w:t xml:space="preserve"> </w:t>
      </w:r>
      <w:r w:rsidR="007A7A01" w:rsidRPr="00E7572F">
        <w:rPr>
          <w:rFonts w:eastAsia="SimSun"/>
          <w:b w:val="0"/>
          <w:bCs w:val="0"/>
          <w:color w:val="auto"/>
          <w:sz w:val="24"/>
          <w:szCs w:val="24"/>
          <w:lang w:eastAsia="zh-CN"/>
        </w:rPr>
        <w:t>The clinical features,</w:t>
      </w:r>
      <w:r w:rsidR="001D4C35" w:rsidRPr="001D4C35">
        <w:rPr>
          <w:rFonts w:eastAsia="SimSun"/>
          <w:b w:val="0"/>
          <w:bCs w:val="0"/>
          <w:color w:val="auto"/>
          <w:sz w:val="24"/>
          <w:szCs w:val="24"/>
          <w:lang w:eastAsia="zh-CN"/>
        </w:rPr>
        <w:t xml:space="preserve"> risk factors, </w:t>
      </w:r>
      <w:r w:rsidR="001D4C35" w:rsidRPr="00E7572F">
        <w:rPr>
          <w:rFonts w:eastAsia="SimSun"/>
          <w:b w:val="0"/>
          <w:bCs w:val="0"/>
          <w:color w:val="auto"/>
          <w:sz w:val="24"/>
          <w:szCs w:val="24"/>
          <w:lang w:eastAsia="zh-CN"/>
        </w:rPr>
        <w:t>and</w:t>
      </w:r>
      <w:r w:rsidR="007A7A01" w:rsidRPr="00E7572F">
        <w:rPr>
          <w:rFonts w:eastAsia="SimSun"/>
          <w:b w:val="0"/>
          <w:bCs w:val="0"/>
          <w:color w:val="auto"/>
          <w:sz w:val="24"/>
          <w:szCs w:val="24"/>
          <w:lang w:eastAsia="zh-CN"/>
        </w:rPr>
        <w:t xml:space="preserve"> treatment outcomes were evaluated. The </w:t>
      </w:r>
      <w:r w:rsidR="007A7A01" w:rsidRPr="00E7572F">
        <w:rPr>
          <w:rFonts w:eastAsia="SimSun"/>
          <w:b w:val="0"/>
          <w:bCs w:val="0"/>
          <w:color w:val="auto"/>
          <w:sz w:val="24"/>
          <w:szCs w:val="24"/>
          <w:lang w:eastAsia="zh-CN"/>
        </w:rPr>
        <w:lastRenderedPageBreak/>
        <w:t xml:space="preserve">clinical, radiographic, and </w:t>
      </w:r>
      <w:proofErr w:type="spellStart"/>
      <w:r w:rsidR="007A7A01" w:rsidRPr="00E7572F">
        <w:rPr>
          <w:rFonts w:eastAsia="SimSun"/>
          <w:b w:val="0"/>
          <w:bCs w:val="0"/>
          <w:color w:val="auto"/>
          <w:sz w:val="24"/>
          <w:szCs w:val="24"/>
          <w:lang w:eastAsia="zh-CN"/>
        </w:rPr>
        <w:t>colonoscopic</w:t>
      </w:r>
      <w:proofErr w:type="spellEnd"/>
      <w:r w:rsidR="007A7A01" w:rsidRPr="00E7572F">
        <w:rPr>
          <w:rFonts w:eastAsia="SimSun"/>
          <w:b w:val="0"/>
          <w:bCs w:val="0"/>
          <w:color w:val="auto"/>
          <w:sz w:val="24"/>
          <w:szCs w:val="24"/>
          <w:lang w:eastAsia="zh-CN"/>
        </w:rPr>
        <w:t xml:space="preserve"> examinations </w:t>
      </w:r>
      <w:r w:rsidR="00BC3B58">
        <w:rPr>
          <w:rFonts w:eastAsia="SimSun"/>
          <w:b w:val="0"/>
          <w:bCs w:val="0"/>
          <w:color w:val="auto"/>
          <w:sz w:val="24"/>
          <w:szCs w:val="24"/>
          <w:lang w:eastAsia="zh-CN"/>
        </w:rPr>
        <w:t>were also</w:t>
      </w:r>
      <w:r w:rsidR="007A7A01" w:rsidRPr="00E7572F">
        <w:rPr>
          <w:rFonts w:eastAsia="SimSun"/>
          <w:b w:val="0"/>
          <w:bCs w:val="0"/>
          <w:color w:val="auto"/>
          <w:sz w:val="24"/>
          <w:szCs w:val="24"/>
          <w:lang w:eastAsia="zh-CN"/>
        </w:rPr>
        <w:t xml:space="preserve"> performed and assessed before and after treatment.</w:t>
      </w:r>
    </w:p>
    <w:p w14:paraId="7A114439" w14:textId="7611E38F" w:rsidR="00282654" w:rsidRPr="00E7572F" w:rsidRDefault="003D2DCE" w:rsidP="001D4C35">
      <w:pPr>
        <w:pStyle w:val="H1"/>
        <w:rPr>
          <w:rFonts w:eastAsia="SimSun"/>
          <w:b w:val="0"/>
          <w:bCs w:val="0"/>
          <w:color w:val="auto"/>
          <w:sz w:val="24"/>
          <w:szCs w:val="24"/>
          <w:rtl/>
          <w:lang w:eastAsia="zh-CN"/>
        </w:rPr>
      </w:pPr>
      <w:r w:rsidRPr="00E7572F">
        <w:rPr>
          <w:rFonts w:eastAsia="SimSun"/>
          <w:color w:val="auto"/>
          <w:sz w:val="24"/>
          <w:szCs w:val="24"/>
          <w:lang w:eastAsia="zh-CN"/>
        </w:rPr>
        <w:t>Results:</w:t>
      </w:r>
      <w:r w:rsidRPr="00E7572F">
        <w:rPr>
          <w:rFonts w:eastAsia="SimSun"/>
          <w:b w:val="0"/>
          <w:bCs w:val="0"/>
          <w:color w:val="auto"/>
          <w:sz w:val="24"/>
          <w:szCs w:val="24"/>
          <w:lang w:eastAsia="zh-CN"/>
        </w:rPr>
        <w:t xml:space="preserve"> </w:t>
      </w:r>
      <w:r w:rsidR="001D4C35" w:rsidRPr="001D4C35">
        <w:rPr>
          <w:rFonts w:eastAsia="SimSun"/>
          <w:b w:val="0"/>
          <w:bCs w:val="0"/>
          <w:color w:val="auto"/>
          <w:sz w:val="24"/>
          <w:szCs w:val="24"/>
          <w:lang w:eastAsia="zh-CN"/>
        </w:rPr>
        <w:t xml:space="preserve">Male sex and smoking were more prevalent but not significant among cases with fistulizing CD. </w:t>
      </w:r>
      <w:proofErr w:type="spellStart"/>
      <w:r w:rsidR="001D4C35" w:rsidRPr="001D4C35">
        <w:rPr>
          <w:rFonts w:eastAsia="SimSun"/>
          <w:b w:val="0"/>
          <w:bCs w:val="0"/>
          <w:color w:val="auto"/>
          <w:sz w:val="24"/>
          <w:szCs w:val="24"/>
          <w:lang w:eastAsia="zh-CN"/>
        </w:rPr>
        <w:t>Enteroenteric</w:t>
      </w:r>
      <w:proofErr w:type="spellEnd"/>
      <w:r w:rsidR="001D4C35" w:rsidRPr="001D4C35">
        <w:rPr>
          <w:rFonts w:eastAsia="SimSun"/>
          <w:b w:val="0"/>
          <w:bCs w:val="0"/>
          <w:color w:val="auto"/>
          <w:sz w:val="24"/>
          <w:szCs w:val="24"/>
          <w:lang w:eastAsia="zh-CN"/>
        </w:rPr>
        <w:t xml:space="preserve"> fistulas were the most common subtype, while infliximab therapy and surgical intervention were the </w:t>
      </w:r>
      <w:r w:rsidR="00D90BB8">
        <w:rPr>
          <w:rFonts w:eastAsia="SimSun"/>
          <w:b w:val="0"/>
          <w:bCs w:val="0"/>
          <w:color w:val="auto"/>
          <w:sz w:val="24"/>
          <w:szCs w:val="24"/>
          <w:lang w:eastAsia="zh-CN"/>
        </w:rPr>
        <w:t>most</w:t>
      </w:r>
      <w:r w:rsidR="001D4C35" w:rsidRPr="001D4C35">
        <w:rPr>
          <w:rFonts w:eastAsia="SimSun"/>
          <w:b w:val="0"/>
          <w:bCs w:val="0"/>
          <w:color w:val="auto"/>
          <w:sz w:val="24"/>
          <w:szCs w:val="24"/>
          <w:lang w:eastAsia="zh-CN"/>
        </w:rPr>
        <w:t xml:space="preserve"> frequent treatment strategies. The use of non-steroidal anti-inflammatory drugs (NSAIDs) was significantly higher in the fistula group. Both groups showed significant improvement following treatment, as indicated by the simplified endoscopic activity score for Crohn’s disease (SES-CD) and the Crohn’s Disease Activity Index (CDAI), with the fistula group demonstrating a more substantial response.</w:t>
      </w:r>
      <w:r w:rsidR="00282654" w:rsidRPr="00E7572F">
        <w:rPr>
          <w:rFonts w:eastAsia="SimSun" w:hint="cs"/>
          <w:b w:val="0"/>
          <w:bCs w:val="0"/>
          <w:color w:val="auto"/>
          <w:sz w:val="24"/>
          <w:szCs w:val="24"/>
          <w:rtl/>
          <w:lang w:eastAsia="zh-CN"/>
        </w:rPr>
        <w:t xml:space="preserve"> </w:t>
      </w:r>
    </w:p>
    <w:p w14:paraId="25C79723" w14:textId="3F42E941" w:rsidR="00C72AAD" w:rsidRPr="00E7572F" w:rsidRDefault="001D6FEE" w:rsidP="006946C1">
      <w:pPr>
        <w:pStyle w:val="H1"/>
        <w:rPr>
          <w:rFonts w:eastAsia="SimSun"/>
          <w:b w:val="0"/>
          <w:bCs w:val="0"/>
          <w:color w:val="auto"/>
          <w:sz w:val="24"/>
          <w:szCs w:val="24"/>
          <w:lang w:eastAsia="zh-CN"/>
        </w:rPr>
      </w:pPr>
      <w:r w:rsidRPr="00E7572F">
        <w:rPr>
          <w:rFonts w:eastAsia="SimSun"/>
          <w:color w:val="auto"/>
          <w:sz w:val="24"/>
          <w:szCs w:val="24"/>
          <w:lang w:eastAsia="zh-CN"/>
        </w:rPr>
        <w:t>In conclusion</w:t>
      </w:r>
      <w:r w:rsidRPr="00E7572F">
        <w:rPr>
          <w:rFonts w:eastAsia="SimSun"/>
          <w:b w:val="0"/>
          <w:bCs w:val="0"/>
          <w:color w:val="auto"/>
          <w:sz w:val="24"/>
          <w:szCs w:val="24"/>
          <w:lang w:eastAsia="zh-CN"/>
        </w:rPr>
        <w:t xml:space="preserve">, </w:t>
      </w:r>
      <w:r w:rsidR="00C3597E" w:rsidRPr="00E7572F">
        <w:rPr>
          <w:rFonts w:eastAsia="SimSun"/>
          <w:b w:val="0"/>
          <w:bCs w:val="0"/>
          <w:color w:val="auto"/>
          <w:sz w:val="24"/>
          <w:szCs w:val="24"/>
          <w:lang w:eastAsia="zh-CN"/>
        </w:rPr>
        <w:t>this study identifies NSAID use as a significant risk factor for the development of fistulizing Crohn’s disease</w:t>
      </w:r>
      <w:r w:rsidR="00BC3B58">
        <w:rPr>
          <w:rFonts w:eastAsia="SimSun"/>
          <w:b w:val="0"/>
          <w:bCs w:val="0"/>
          <w:color w:val="auto"/>
          <w:sz w:val="24"/>
          <w:szCs w:val="24"/>
          <w:lang w:eastAsia="zh-CN"/>
        </w:rPr>
        <w:t>. It reinforces</w:t>
      </w:r>
      <w:r w:rsidR="00C3597E" w:rsidRPr="00E7572F">
        <w:rPr>
          <w:rFonts w:eastAsia="SimSun"/>
          <w:b w:val="0"/>
          <w:bCs w:val="0"/>
          <w:color w:val="auto"/>
          <w:sz w:val="24"/>
          <w:szCs w:val="24"/>
          <w:lang w:eastAsia="zh-CN"/>
        </w:rPr>
        <w:t xml:space="preserve"> the clinical utility of CDAI scores in evaluating disease activity and monitoring treatment outcomes.</w:t>
      </w:r>
      <w:r w:rsidRPr="00E7572F">
        <w:rPr>
          <w:rFonts w:eastAsia="SimSun"/>
          <w:b w:val="0"/>
          <w:bCs w:val="0"/>
          <w:color w:val="auto"/>
          <w:sz w:val="24"/>
          <w:szCs w:val="24"/>
          <w:lang w:eastAsia="zh-CN"/>
        </w:rPr>
        <w:t xml:space="preserve"> </w:t>
      </w:r>
    </w:p>
    <w:p w14:paraId="45E80A3C" w14:textId="666B86CA" w:rsidR="000B3FF3" w:rsidRPr="00BC3B58" w:rsidRDefault="003D2DCE" w:rsidP="002A21A3">
      <w:pPr>
        <w:pStyle w:val="H1"/>
        <w:rPr>
          <w:rFonts w:eastAsia="SimSun"/>
          <w:b w:val="0"/>
          <w:bCs w:val="0"/>
          <w:i/>
          <w:iCs/>
          <w:color w:val="auto"/>
          <w:sz w:val="24"/>
          <w:szCs w:val="24"/>
          <w:lang w:eastAsia="zh-CN"/>
        </w:rPr>
      </w:pPr>
      <w:r w:rsidRPr="00BC3B58">
        <w:rPr>
          <w:rFonts w:eastAsia="SimSun"/>
          <w:i/>
          <w:iCs/>
          <w:color w:val="auto"/>
          <w:sz w:val="24"/>
          <w:szCs w:val="24"/>
          <w:lang w:eastAsia="zh-CN"/>
        </w:rPr>
        <w:t>Keywords:</w:t>
      </w:r>
      <w:r w:rsidRPr="00BC3B58">
        <w:rPr>
          <w:rFonts w:eastAsia="SimSun"/>
          <w:b w:val="0"/>
          <w:bCs w:val="0"/>
          <w:i/>
          <w:iCs/>
          <w:color w:val="auto"/>
          <w:sz w:val="24"/>
          <w:szCs w:val="24"/>
          <w:lang w:eastAsia="zh-CN"/>
        </w:rPr>
        <w:t xml:space="preserve"> </w:t>
      </w:r>
      <w:r w:rsidR="009D581A" w:rsidRPr="00BC3B58">
        <w:rPr>
          <w:rFonts w:eastAsia="SimSun"/>
          <w:b w:val="0"/>
          <w:bCs w:val="0"/>
          <w:i/>
          <w:iCs/>
          <w:color w:val="auto"/>
          <w:sz w:val="24"/>
          <w:szCs w:val="24"/>
          <w:lang w:eastAsia="zh-CN"/>
        </w:rPr>
        <w:t>Crohn's disease, f</w:t>
      </w:r>
      <w:r w:rsidR="0045663E" w:rsidRPr="00BC3B58">
        <w:rPr>
          <w:rFonts w:eastAsia="SimSun"/>
          <w:b w:val="0"/>
          <w:bCs w:val="0"/>
          <w:i/>
          <w:iCs/>
          <w:color w:val="auto"/>
          <w:sz w:val="24"/>
          <w:szCs w:val="24"/>
          <w:lang w:eastAsia="zh-CN"/>
        </w:rPr>
        <w:t>istuliz</w:t>
      </w:r>
      <w:r w:rsidRPr="00BC3B58">
        <w:rPr>
          <w:rFonts w:eastAsia="SimSun"/>
          <w:b w:val="0"/>
          <w:bCs w:val="0"/>
          <w:i/>
          <w:iCs/>
          <w:color w:val="auto"/>
          <w:sz w:val="24"/>
          <w:szCs w:val="24"/>
          <w:lang w:eastAsia="zh-CN"/>
        </w:rPr>
        <w:t>ing Crohn's disea</w:t>
      </w:r>
      <w:r w:rsidR="00B9698A" w:rsidRPr="00BC3B58">
        <w:rPr>
          <w:rFonts w:eastAsia="SimSun"/>
          <w:b w:val="0"/>
          <w:bCs w:val="0"/>
          <w:i/>
          <w:iCs/>
          <w:color w:val="auto"/>
          <w:sz w:val="24"/>
          <w:szCs w:val="24"/>
          <w:lang w:eastAsia="zh-CN"/>
        </w:rPr>
        <w:t xml:space="preserve">se, </w:t>
      </w:r>
      <w:r w:rsidR="002A21A3" w:rsidRPr="00BC3B58">
        <w:rPr>
          <w:rFonts w:eastAsia="SimSun"/>
          <w:b w:val="0"/>
          <w:bCs w:val="0"/>
          <w:i/>
          <w:iCs/>
          <w:color w:val="auto"/>
          <w:sz w:val="24"/>
          <w:szCs w:val="24"/>
          <w:lang w:eastAsia="zh-CN"/>
        </w:rPr>
        <w:t xml:space="preserve">Outcomes of Management, </w:t>
      </w:r>
      <w:r w:rsidR="00B9698A" w:rsidRPr="00BC3B58">
        <w:rPr>
          <w:rFonts w:eastAsia="SimSun"/>
          <w:b w:val="0"/>
          <w:bCs w:val="0"/>
          <w:i/>
          <w:iCs/>
          <w:color w:val="auto"/>
          <w:sz w:val="24"/>
          <w:szCs w:val="24"/>
          <w:lang w:eastAsia="zh-CN"/>
        </w:rPr>
        <w:t>CDAI scores</w:t>
      </w:r>
      <w:r w:rsidR="00282654" w:rsidRPr="00BC3B58">
        <w:rPr>
          <w:rFonts w:eastAsia="SimSun"/>
          <w:b w:val="0"/>
          <w:bCs w:val="0"/>
          <w:i/>
          <w:iCs/>
          <w:color w:val="auto"/>
          <w:sz w:val="24"/>
          <w:szCs w:val="24"/>
          <w:lang w:eastAsia="zh-CN"/>
        </w:rPr>
        <w:t>,</w:t>
      </w:r>
      <w:r w:rsidR="002A21A3" w:rsidRPr="00BC3B58">
        <w:rPr>
          <w:rFonts w:eastAsia="SimSun"/>
          <w:b w:val="0"/>
          <w:bCs w:val="0"/>
          <w:i/>
          <w:iCs/>
          <w:color w:val="auto"/>
          <w:sz w:val="24"/>
          <w:szCs w:val="24"/>
          <w:lang w:eastAsia="zh-CN"/>
        </w:rPr>
        <w:t xml:space="preserve"> Colonoscopy,</w:t>
      </w:r>
      <w:r w:rsidR="00282654" w:rsidRPr="00BC3B58">
        <w:rPr>
          <w:rFonts w:eastAsia="SimSun"/>
          <w:b w:val="0"/>
          <w:bCs w:val="0"/>
          <w:i/>
          <w:iCs/>
          <w:color w:val="auto"/>
          <w:sz w:val="24"/>
          <w:szCs w:val="24"/>
          <w:lang w:eastAsia="zh-CN"/>
        </w:rPr>
        <w:t xml:space="preserve"> </w:t>
      </w:r>
      <w:r w:rsidR="00201033" w:rsidRPr="00BC3B58">
        <w:rPr>
          <w:rFonts w:eastAsia="SimSun"/>
          <w:b w:val="0"/>
          <w:bCs w:val="0"/>
          <w:i/>
          <w:iCs/>
          <w:color w:val="auto"/>
          <w:sz w:val="24"/>
          <w:szCs w:val="24"/>
          <w:lang w:eastAsia="zh-CN"/>
        </w:rPr>
        <w:t xml:space="preserve">Endoscopic Score for Crohn’s Disease, </w:t>
      </w:r>
      <w:r w:rsidR="00282654" w:rsidRPr="00BC3B58">
        <w:rPr>
          <w:rFonts w:eastAsia="SimSun"/>
          <w:b w:val="0"/>
          <w:bCs w:val="0"/>
          <w:i/>
          <w:iCs/>
          <w:color w:val="auto"/>
          <w:sz w:val="24"/>
          <w:szCs w:val="24"/>
          <w:lang w:eastAsia="zh-CN"/>
        </w:rPr>
        <w:t xml:space="preserve">Risk </w:t>
      </w:r>
      <w:r w:rsidR="00201033" w:rsidRPr="00BC3B58">
        <w:rPr>
          <w:rFonts w:eastAsia="SimSun"/>
          <w:b w:val="0"/>
          <w:bCs w:val="0"/>
          <w:i/>
          <w:iCs/>
          <w:color w:val="auto"/>
          <w:sz w:val="24"/>
          <w:szCs w:val="24"/>
          <w:lang w:eastAsia="zh-CN"/>
        </w:rPr>
        <w:t>factors,</w:t>
      </w:r>
      <w:r w:rsidR="00D3453E" w:rsidRPr="00BC3B58">
        <w:rPr>
          <w:rFonts w:eastAsia="SimSun"/>
          <w:b w:val="0"/>
          <w:bCs w:val="0"/>
          <w:i/>
          <w:iCs/>
          <w:color w:val="auto"/>
          <w:sz w:val="24"/>
          <w:szCs w:val="24"/>
          <w:lang w:eastAsia="zh-CN"/>
        </w:rPr>
        <w:t xml:space="preserve"> </w:t>
      </w:r>
      <w:r w:rsidR="00201033" w:rsidRPr="00BC3B58">
        <w:rPr>
          <w:rFonts w:eastAsia="SimSun"/>
          <w:b w:val="0"/>
          <w:bCs w:val="0"/>
          <w:i/>
          <w:iCs/>
          <w:color w:val="auto"/>
          <w:sz w:val="24"/>
          <w:szCs w:val="24"/>
          <w:lang w:eastAsia="zh-CN"/>
        </w:rPr>
        <w:t>NSAID, Infliximab, Adalimumab</w:t>
      </w:r>
      <w:r w:rsidR="002A21A3" w:rsidRPr="00BC3B58">
        <w:rPr>
          <w:rFonts w:eastAsia="SimSun"/>
          <w:b w:val="0"/>
          <w:bCs w:val="0"/>
          <w:i/>
          <w:iCs/>
          <w:color w:val="auto"/>
          <w:sz w:val="24"/>
          <w:szCs w:val="24"/>
          <w:lang w:eastAsia="zh-CN"/>
        </w:rPr>
        <w:t>.</w:t>
      </w:r>
    </w:p>
    <w:p w14:paraId="661A462C" w14:textId="74746EF6" w:rsidR="00950A9C" w:rsidRPr="00B73CC8" w:rsidRDefault="00950A9C" w:rsidP="00D3453E">
      <w:pPr>
        <w:pStyle w:val="H1"/>
        <w:spacing w:before="240"/>
        <w:rPr>
          <w:caps/>
          <w:color w:val="auto"/>
          <w:sz w:val="24"/>
          <w:szCs w:val="24"/>
        </w:rPr>
      </w:pPr>
      <w:r w:rsidRPr="00B73CC8">
        <w:rPr>
          <w:caps/>
          <w:color w:val="auto"/>
          <w:sz w:val="24"/>
          <w:szCs w:val="24"/>
        </w:rPr>
        <w:t>Introduction</w:t>
      </w:r>
    </w:p>
    <w:p w14:paraId="30F3A0BF" w14:textId="3ECB2BD9" w:rsidR="00BE06E8" w:rsidRPr="00E7572F" w:rsidRDefault="000263BC" w:rsidP="00761A41">
      <w:pPr>
        <w:pStyle w:val="H1"/>
        <w:ind w:firstLine="720"/>
        <w:jc w:val="left"/>
        <w:rPr>
          <w:rFonts w:eastAsia="SimSun"/>
          <w:b w:val="0"/>
          <w:bCs w:val="0"/>
          <w:color w:val="auto"/>
          <w:sz w:val="24"/>
          <w:szCs w:val="24"/>
          <w:lang w:eastAsia="zh-CN"/>
        </w:rPr>
      </w:pPr>
      <w:bookmarkStart w:id="2" w:name="_Hlk535793804"/>
      <w:bookmarkStart w:id="3" w:name="_Hlk2170686"/>
      <w:r w:rsidRPr="000263BC">
        <w:rPr>
          <w:rFonts w:eastAsia="SimSun"/>
          <w:b w:val="0"/>
          <w:bCs w:val="0"/>
          <w:color w:val="auto"/>
          <w:sz w:val="24"/>
          <w:szCs w:val="24"/>
          <w:lang w:eastAsia="zh-CN"/>
        </w:rPr>
        <w:t xml:space="preserve">Crohn’s disease (CD) is most prevalent in industrialized regions </w:t>
      </w:r>
      <w:r w:rsidRPr="000263BC">
        <w:rPr>
          <w:rFonts w:eastAsia="SimSun"/>
          <w:color w:val="auto"/>
          <w:sz w:val="24"/>
          <w:szCs w:val="24"/>
          <w:lang w:eastAsia="zh-CN"/>
        </w:rPr>
        <w:t>[1].</w:t>
      </w:r>
      <w:r w:rsidRPr="000263BC">
        <w:rPr>
          <w:rFonts w:eastAsia="SimSun"/>
          <w:b w:val="0"/>
          <w:bCs w:val="0"/>
          <w:color w:val="auto"/>
          <w:sz w:val="24"/>
          <w:szCs w:val="24"/>
          <w:lang w:eastAsia="zh-CN"/>
        </w:rPr>
        <w:t xml:space="preserve"> A recent review reported annual incidence rates of 20.2 per 100,000 in North America, 12.7 per 100,000 in Europe, and 5.0 per 100,000 across the Middle East and Asia </w:t>
      </w:r>
      <w:r w:rsidRPr="000263BC">
        <w:rPr>
          <w:rFonts w:eastAsia="SimSun"/>
          <w:color w:val="auto"/>
          <w:sz w:val="24"/>
          <w:szCs w:val="24"/>
          <w:lang w:eastAsia="zh-CN"/>
        </w:rPr>
        <w:t>[2].</w:t>
      </w:r>
      <w:r w:rsidRPr="000263BC">
        <w:rPr>
          <w:rFonts w:eastAsia="SimSun"/>
          <w:b w:val="0"/>
          <w:bCs w:val="0"/>
          <w:color w:val="auto"/>
          <w:sz w:val="24"/>
          <w:szCs w:val="24"/>
          <w:lang w:eastAsia="zh-CN"/>
        </w:rPr>
        <w:t xml:space="preserve"> Its pathogenesis is linked to dysregulated immune responses, where an imbalance between pro-inflammatory and anti-inflammatory cytokines in the intestinal mucosa drives the onset and progression of inflammatory bowel disease (IBD) </w:t>
      </w:r>
      <w:r w:rsidRPr="000263BC">
        <w:rPr>
          <w:rFonts w:eastAsia="SimSun"/>
          <w:color w:val="auto"/>
          <w:sz w:val="24"/>
          <w:szCs w:val="24"/>
          <w:lang w:eastAsia="zh-CN"/>
        </w:rPr>
        <w:t>[3].</w:t>
      </w:r>
    </w:p>
    <w:p w14:paraId="49CC59E2" w14:textId="2955966F" w:rsidR="003D2DCE" w:rsidRPr="00E7572F" w:rsidRDefault="00FF53D2" w:rsidP="00761A41">
      <w:pPr>
        <w:pStyle w:val="H1"/>
        <w:ind w:firstLine="720"/>
        <w:jc w:val="left"/>
        <w:rPr>
          <w:rFonts w:eastAsia="SimSun"/>
          <w:b w:val="0"/>
          <w:bCs w:val="0"/>
          <w:color w:val="auto"/>
          <w:sz w:val="24"/>
          <w:szCs w:val="24"/>
          <w:lang w:eastAsia="zh-CN"/>
        </w:rPr>
      </w:pPr>
      <w:r w:rsidRPr="00E7572F">
        <w:rPr>
          <w:rFonts w:eastAsia="SimSun"/>
          <w:b w:val="0"/>
          <w:bCs w:val="0"/>
          <w:color w:val="auto"/>
          <w:sz w:val="24"/>
          <w:szCs w:val="24"/>
          <w:lang w:eastAsia="zh-CN"/>
        </w:rPr>
        <w:t xml:space="preserve">The evaluation of suspected CD cases should involve colonoscopy with ileal assessment and biopsy, followed by complementary imaging studies. Gross endoscopic findings suggestive of CD should be supplemented with histological examination of mucosal biopsies to determine disease extent and severity </w:t>
      </w:r>
      <w:r w:rsidR="00F000EE" w:rsidRPr="00E7572F">
        <w:rPr>
          <w:color w:val="auto"/>
          <w:sz w:val="24"/>
          <w:szCs w:val="24"/>
        </w:rPr>
        <w:t>[</w:t>
      </w:r>
      <w:r w:rsidR="00AF4303" w:rsidRPr="00E7572F">
        <w:rPr>
          <w:rFonts w:eastAsia="SimSun"/>
          <w:color w:val="auto"/>
          <w:sz w:val="24"/>
          <w:szCs w:val="24"/>
          <w:lang w:eastAsia="zh-CN"/>
        </w:rPr>
        <w:t>4</w:t>
      </w:r>
      <w:r w:rsidR="00F000EE" w:rsidRPr="00E7572F">
        <w:rPr>
          <w:color w:val="auto"/>
          <w:sz w:val="24"/>
          <w:szCs w:val="24"/>
        </w:rPr>
        <w:t>]</w:t>
      </w:r>
      <w:r w:rsidR="000B21C8" w:rsidRPr="00E7572F">
        <w:rPr>
          <w:b w:val="0"/>
          <w:bCs w:val="0"/>
          <w:color w:val="auto"/>
          <w:sz w:val="24"/>
          <w:szCs w:val="24"/>
        </w:rPr>
        <w:t>.</w:t>
      </w:r>
    </w:p>
    <w:p w14:paraId="57BE6060" w14:textId="518B8E60" w:rsidR="003D2DCE" w:rsidRPr="00E7572F" w:rsidRDefault="006F219C" w:rsidP="00761A41">
      <w:pPr>
        <w:pStyle w:val="H1"/>
        <w:ind w:firstLine="720"/>
        <w:jc w:val="left"/>
        <w:rPr>
          <w:rFonts w:eastAsia="Calibri"/>
          <w:b w:val="0"/>
          <w:bCs w:val="0"/>
          <w:color w:val="auto"/>
          <w:sz w:val="24"/>
          <w:szCs w:val="24"/>
        </w:rPr>
      </w:pPr>
      <w:r w:rsidRPr="00E7572F">
        <w:rPr>
          <w:rFonts w:eastAsia="SimSun"/>
          <w:b w:val="0"/>
          <w:bCs w:val="0"/>
          <w:color w:val="auto"/>
          <w:sz w:val="24"/>
          <w:szCs w:val="24"/>
          <w:lang w:eastAsia="zh-CN"/>
        </w:rPr>
        <w:t xml:space="preserve">Treatment decisions are influenced by multiple factors, including patient age, individual risk factors, disease site and severity, previous response to therapy, and the presence of complications </w:t>
      </w:r>
      <w:r w:rsidRPr="00E7572F">
        <w:rPr>
          <w:color w:val="auto"/>
          <w:sz w:val="24"/>
          <w:szCs w:val="24"/>
        </w:rPr>
        <w:t>[</w:t>
      </w:r>
      <w:r w:rsidRPr="00E7572F">
        <w:rPr>
          <w:rFonts w:eastAsia="SimSun"/>
          <w:color w:val="auto"/>
          <w:sz w:val="24"/>
          <w:szCs w:val="24"/>
          <w:lang w:eastAsia="zh-CN"/>
        </w:rPr>
        <w:t>5</w:t>
      </w:r>
      <w:r w:rsidRPr="00E7572F">
        <w:rPr>
          <w:color w:val="auto"/>
          <w:sz w:val="24"/>
          <w:szCs w:val="24"/>
        </w:rPr>
        <w:t>]</w:t>
      </w:r>
      <w:r w:rsidRPr="00E7572F">
        <w:rPr>
          <w:b w:val="0"/>
          <w:bCs w:val="0"/>
          <w:color w:val="auto"/>
          <w:sz w:val="24"/>
          <w:szCs w:val="24"/>
        </w:rPr>
        <w:t xml:space="preserve">. </w:t>
      </w:r>
      <w:r w:rsidRPr="00E7572F">
        <w:rPr>
          <w:rFonts w:eastAsia="SimSun"/>
          <w:b w:val="0"/>
          <w:bCs w:val="0"/>
          <w:color w:val="auto"/>
          <w:sz w:val="24"/>
          <w:szCs w:val="24"/>
          <w:lang w:eastAsia="zh-CN"/>
        </w:rPr>
        <w:t>Sepsis must be controlled before initiating immunomodulators or systemic steroids, and patients should be adequately informed of potential adverse effects</w:t>
      </w:r>
      <w:r w:rsidR="0066754A" w:rsidRPr="00E7572F">
        <w:rPr>
          <w:rFonts w:eastAsia="Calibri"/>
          <w:b w:val="0"/>
          <w:bCs w:val="0"/>
          <w:color w:val="auto"/>
          <w:sz w:val="24"/>
          <w:szCs w:val="24"/>
        </w:rPr>
        <w:t xml:space="preserve"> </w:t>
      </w:r>
      <w:r w:rsidR="00040566" w:rsidRPr="00E7572F">
        <w:rPr>
          <w:color w:val="auto"/>
          <w:sz w:val="24"/>
          <w:szCs w:val="24"/>
        </w:rPr>
        <w:t>[</w:t>
      </w:r>
      <w:r w:rsidR="00223A49" w:rsidRPr="00E7572F">
        <w:rPr>
          <w:rFonts w:eastAsia="SimSun"/>
          <w:color w:val="auto"/>
          <w:sz w:val="24"/>
          <w:szCs w:val="24"/>
          <w:lang w:eastAsia="zh-CN"/>
        </w:rPr>
        <w:t>6</w:t>
      </w:r>
      <w:r w:rsidR="00040566" w:rsidRPr="00E7572F">
        <w:rPr>
          <w:color w:val="auto"/>
          <w:sz w:val="24"/>
          <w:szCs w:val="24"/>
        </w:rPr>
        <w:t>]</w:t>
      </w:r>
      <w:r w:rsidR="000B21C8" w:rsidRPr="00E7572F">
        <w:rPr>
          <w:color w:val="auto"/>
          <w:sz w:val="24"/>
          <w:szCs w:val="24"/>
        </w:rPr>
        <w:t>.</w:t>
      </w:r>
    </w:p>
    <w:p w14:paraId="3D8421F6" w14:textId="0AF202D0" w:rsidR="003D2DCE" w:rsidRPr="00E7572F" w:rsidRDefault="006F219C" w:rsidP="00761A41">
      <w:pPr>
        <w:pStyle w:val="H1"/>
        <w:ind w:firstLine="720"/>
        <w:jc w:val="left"/>
        <w:rPr>
          <w:rFonts w:eastAsia="SimSun"/>
          <w:b w:val="0"/>
          <w:bCs w:val="0"/>
          <w:color w:val="auto"/>
          <w:sz w:val="24"/>
          <w:szCs w:val="24"/>
          <w:lang w:eastAsia="zh-CN"/>
        </w:rPr>
      </w:pPr>
      <w:r w:rsidRPr="00E7572F">
        <w:rPr>
          <w:rFonts w:eastAsia="SimSun"/>
          <w:b w:val="0"/>
          <w:bCs w:val="0"/>
          <w:color w:val="auto"/>
          <w:sz w:val="24"/>
          <w:szCs w:val="24"/>
          <w:lang w:eastAsia="zh-CN"/>
        </w:rPr>
        <w:t>Biologic agents</w:t>
      </w:r>
      <w:r w:rsidR="00D90BB8">
        <w:rPr>
          <w:rFonts w:eastAsia="SimSun"/>
          <w:b w:val="0"/>
          <w:bCs w:val="0"/>
          <w:color w:val="auto"/>
          <w:sz w:val="24"/>
          <w:szCs w:val="24"/>
          <w:lang w:eastAsia="zh-CN"/>
        </w:rPr>
        <w:t>, such as infliximab, adalimumab, and certolizumab pegol, target tumor necrosis factor-alpha (TNF-α), a key mediator in the pathogenesis of IBD</w:t>
      </w:r>
      <w:r w:rsidRPr="00E7572F">
        <w:rPr>
          <w:rFonts w:eastAsia="SimSun"/>
          <w:b w:val="0"/>
          <w:bCs w:val="0"/>
          <w:color w:val="auto"/>
          <w:sz w:val="24"/>
          <w:szCs w:val="24"/>
          <w:lang w:eastAsia="zh-CN"/>
        </w:rPr>
        <w:t xml:space="preserve">. Additionally, </w:t>
      </w:r>
      <w:proofErr w:type="spellStart"/>
      <w:r w:rsidRPr="00E7572F">
        <w:rPr>
          <w:rFonts w:eastAsia="SimSun"/>
          <w:b w:val="0"/>
          <w:bCs w:val="0"/>
          <w:color w:val="auto"/>
          <w:sz w:val="24"/>
          <w:szCs w:val="24"/>
          <w:lang w:eastAsia="zh-CN"/>
        </w:rPr>
        <w:t>ustekinumab</w:t>
      </w:r>
      <w:proofErr w:type="spellEnd"/>
      <w:r w:rsidRPr="00E7572F">
        <w:rPr>
          <w:rFonts w:eastAsia="SimSun"/>
          <w:b w:val="0"/>
          <w:bCs w:val="0"/>
          <w:color w:val="auto"/>
          <w:sz w:val="24"/>
          <w:szCs w:val="24"/>
          <w:lang w:eastAsia="zh-CN"/>
        </w:rPr>
        <w:t xml:space="preserve"> and vedolizumab have demonstrated efficacy in inducing remission in patients refractory to anti-TNF therapy, with </w:t>
      </w:r>
      <w:proofErr w:type="spellStart"/>
      <w:r w:rsidRPr="00E7572F">
        <w:rPr>
          <w:rFonts w:eastAsia="SimSun"/>
          <w:b w:val="0"/>
          <w:bCs w:val="0"/>
          <w:color w:val="auto"/>
          <w:sz w:val="24"/>
          <w:szCs w:val="24"/>
          <w:lang w:eastAsia="zh-CN"/>
        </w:rPr>
        <w:t>ustekinumab</w:t>
      </w:r>
      <w:proofErr w:type="spellEnd"/>
      <w:r w:rsidRPr="00E7572F">
        <w:rPr>
          <w:rFonts w:eastAsia="SimSun"/>
          <w:b w:val="0"/>
          <w:bCs w:val="0"/>
          <w:color w:val="auto"/>
          <w:sz w:val="24"/>
          <w:szCs w:val="24"/>
          <w:lang w:eastAsia="zh-CN"/>
        </w:rPr>
        <w:t xml:space="preserve"> exhibiting superior outcomes </w:t>
      </w:r>
      <w:r w:rsidR="00040566" w:rsidRPr="00E7572F">
        <w:rPr>
          <w:color w:val="auto"/>
          <w:sz w:val="24"/>
          <w:szCs w:val="24"/>
        </w:rPr>
        <w:t>[</w:t>
      </w:r>
      <w:r w:rsidR="00223A49" w:rsidRPr="00E7572F">
        <w:rPr>
          <w:rFonts w:eastAsia="SimSun"/>
          <w:color w:val="auto"/>
          <w:sz w:val="24"/>
          <w:szCs w:val="24"/>
          <w:lang w:eastAsia="zh-CN"/>
        </w:rPr>
        <w:t>7</w:t>
      </w:r>
      <w:r w:rsidR="000E096A">
        <w:rPr>
          <w:color w:val="auto"/>
          <w:sz w:val="24"/>
          <w:szCs w:val="24"/>
        </w:rPr>
        <w:t xml:space="preserve">, </w:t>
      </w:r>
      <w:r w:rsidRPr="00E7572F">
        <w:rPr>
          <w:color w:val="auto"/>
          <w:sz w:val="24"/>
          <w:szCs w:val="24"/>
        </w:rPr>
        <w:t>8].</w:t>
      </w:r>
    </w:p>
    <w:p w14:paraId="6B1844ED" w14:textId="04A5A224" w:rsidR="003D2DCE" w:rsidRPr="00E7572F" w:rsidRDefault="006F219C" w:rsidP="00761A41">
      <w:pPr>
        <w:pStyle w:val="H1"/>
        <w:ind w:firstLine="720"/>
        <w:jc w:val="left"/>
        <w:rPr>
          <w:rFonts w:eastAsia="SimSun"/>
          <w:b w:val="0"/>
          <w:bCs w:val="0"/>
          <w:color w:val="auto"/>
          <w:sz w:val="24"/>
          <w:szCs w:val="24"/>
          <w:lang w:eastAsia="zh-CN"/>
        </w:rPr>
      </w:pPr>
      <w:r w:rsidRPr="00E7572F">
        <w:rPr>
          <w:rFonts w:eastAsia="SimSun"/>
          <w:b w:val="0"/>
          <w:bCs w:val="0"/>
          <w:color w:val="auto"/>
          <w:sz w:val="24"/>
          <w:szCs w:val="24"/>
          <w:lang w:eastAsia="zh-CN"/>
        </w:rPr>
        <w:t>Surgical intervention remains necessary for patients with pre-neoplastic or neoplastic lesions, o</w:t>
      </w:r>
      <w:r w:rsidRPr="00BC3B58">
        <w:rPr>
          <w:rFonts w:eastAsia="SimSun"/>
          <w:b w:val="0"/>
          <w:bCs w:val="0"/>
          <w:color w:val="auto"/>
          <w:sz w:val="24"/>
          <w:szCs w:val="24"/>
          <w:lang w:eastAsia="zh-CN"/>
        </w:rPr>
        <w:t>bstruc</w:t>
      </w:r>
      <w:r w:rsidRPr="00E7572F">
        <w:rPr>
          <w:rFonts w:eastAsia="SimSun"/>
          <w:b w:val="0"/>
          <w:bCs w:val="0"/>
          <w:color w:val="auto"/>
          <w:sz w:val="24"/>
          <w:szCs w:val="24"/>
          <w:lang w:eastAsia="zh-CN"/>
        </w:rPr>
        <w:t xml:space="preserve">tive stenosis, suppurative complications, fistulizing disease, or medically refractory CD </w:t>
      </w:r>
      <w:r w:rsidR="00040566" w:rsidRPr="00E7572F">
        <w:rPr>
          <w:color w:val="auto"/>
          <w:sz w:val="24"/>
          <w:szCs w:val="24"/>
        </w:rPr>
        <w:t>[</w:t>
      </w:r>
      <w:r w:rsidR="00223A49" w:rsidRPr="00E7572F">
        <w:rPr>
          <w:rFonts w:eastAsia="SimSun"/>
          <w:color w:val="auto"/>
          <w:sz w:val="24"/>
          <w:szCs w:val="24"/>
          <w:lang w:eastAsia="zh-CN"/>
        </w:rPr>
        <w:t>9</w:t>
      </w:r>
      <w:r w:rsidR="00040566" w:rsidRPr="00E7572F">
        <w:rPr>
          <w:color w:val="auto"/>
          <w:sz w:val="24"/>
          <w:szCs w:val="24"/>
        </w:rPr>
        <w:t>]</w:t>
      </w:r>
      <w:r w:rsidR="000B21C8" w:rsidRPr="00E7572F">
        <w:rPr>
          <w:color w:val="auto"/>
          <w:sz w:val="24"/>
          <w:szCs w:val="24"/>
        </w:rPr>
        <w:t>.</w:t>
      </w:r>
    </w:p>
    <w:p w14:paraId="28714432" w14:textId="31D1C722" w:rsidR="00282654" w:rsidRPr="00466853" w:rsidRDefault="00466853" w:rsidP="00761A41">
      <w:pPr>
        <w:bidi w:val="0"/>
        <w:spacing w:before="60" w:line="480" w:lineRule="auto"/>
        <w:ind w:firstLine="810"/>
        <w:rPr>
          <w:rFonts w:eastAsia="SimSun"/>
          <w:lang w:eastAsia="zh-CN"/>
        </w:rPr>
      </w:pPr>
      <w:r w:rsidRPr="00BC3B58">
        <w:rPr>
          <w:rFonts w:eastAsia="SimSun"/>
          <w:lang w:eastAsia="zh-CN"/>
        </w:rPr>
        <w:t xml:space="preserve">Fistulizing </w:t>
      </w:r>
      <w:r w:rsidR="000263BC" w:rsidRPr="00BC3B58">
        <w:rPr>
          <w:rFonts w:eastAsia="SimSun"/>
          <w:lang w:eastAsia="zh-CN"/>
        </w:rPr>
        <w:t>CD</w:t>
      </w:r>
      <w:r w:rsidRPr="00BC3B58">
        <w:rPr>
          <w:rFonts w:eastAsia="SimSun"/>
          <w:lang w:eastAsia="zh-CN"/>
        </w:rPr>
        <w:t xml:space="preserve"> is more likely in </w:t>
      </w:r>
      <w:r w:rsidR="000263BC" w:rsidRPr="00BC3B58">
        <w:rPr>
          <w:rFonts w:eastAsia="SimSun"/>
          <w:lang w:eastAsia="zh-CN"/>
        </w:rPr>
        <w:t>cases</w:t>
      </w:r>
      <w:r w:rsidRPr="00BC3B58">
        <w:rPr>
          <w:rFonts w:eastAsia="SimSun"/>
          <w:lang w:eastAsia="zh-CN"/>
        </w:rPr>
        <w:t xml:space="preserve"> with early age at onset, long disease duration, ileocolonic distribution, and penetrating or perianal manifestations. Smoking and genetic predisposition may further accelerate progression, while isolated ileal disease appears less prone to fistula formation. Current biomarkers </w:t>
      </w:r>
      <w:r w:rsidR="00BC3B58" w:rsidRPr="00BC3B58">
        <w:rPr>
          <w:rFonts w:eastAsia="SimSun"/>
          <w:lang w:eastAsia="zh-CN"/>
        </w:rPr>
        <w:t>exhibit limited predictive value, underscoring the need for improved risk stratification to guide timely interventions</w:t>
      </w:r>
      <w:r w:rsidR="002F23B1" w:rsidRPr="002F23B1">
        <w:rPr>
          <w:rFonts w:eastAsia="SimSun"/>
          <w:lang w:eastAsia="zh-CN"/>
        </w:rPr>
        <w:t xml:space="preserve"> </w:t>
      </w:r>
      <w:r w:rsidR="00040566" w:rsidRPr="00E7572F">
        <w:rPr>
          <w:b/>
          <w:bCs/>
        </w:rPr>
        <w:t>[</w:t>
      </w:r>
      <w:r w:rsidR="00223A49" w:rsidRPr="00E7572F">
        <w:rPr>
          <w:b/>
          <w:bCs/>
        </w:rPr>
        <w:t>10</w:t>
      </w:r>
      <w:r w:rsidR="00040566" w:rsidRPr="00E7572F">
        <w:rPr>
          <w:b/>
          <w:bCs/>
        </w:rPr>
        <w:t>]</w:t>
      </w:r>
      <w:r w:rsidR="000B21C8" w:rsidRPr="00E7572F">
        <w:rPr>
          <w:b/>
          <w:bCs/>
        </w:rPr>
        <w:t>.</w:t>
      </w:r>
    </w:p>
    <w:p w14:paraId="6D322911" w14:textId="0C40F78A" w:rsidR="004810E1" w:rsidRPr="00BC3B58" w:rsidRDefault="00BC3B58" w:rsidP="00761A41">
      <w:pPr>
        <w:bidi w:val="0"/>
        <w:spacing w:before="60" w:line="480" w:lineRule="auto"/>
        <w:ind w:firstLine="810"/>
        <w:rPr>
          <w:rFonts w:eastAsia="SimSun"/>
          <w:rtl/>
          <w:lang w:eastAsia="zh-CN"/>
        </w:rPr>
      </w:pPr>
      <w:r w:rsidRPr="00BC3B58">
        <w:rPr>
          <w:rFonts w:eastAsia="SimSun"/>
          <w:lang w:eastAsia="zh-CN"/>
        </w:rPr>
        <w:t>This study aimed</w:t>
      </w:r>
      <w:r w:rsidR="004810E1" w:rsidRPr="00BC3B58">
        <w:rPr>
          <w:rFonts w:eastAsia="SimSun"/>
          <w:lang w:eastAsia="zh-CN"/>
        </w:rPr>
        <w:t xml:space="preserve"> to assess the risk factors for the development of fistulizing Crohn’s disease and evaluate the outcomes of management strategies among Egyptian patients.</w:t>
      </w:r>
    </w:p>
    <w:p w14:paraId="6BCE10ED" w14:textId="77777777" w:rsidR="0069568A" w:rsidRPr="00B73CC8" w:rsidRDefault="006320FC" w:rsidP="00761A41">
      <w:pPr>
        <w:pStyle w:val="H1"/>
        <w:spacing w:before="240"/>
        <w:contextualSpacing w:val="0"/>
        <w:jc w:val="left"/>
        <w:rPr>
          <w:caps/>
          <w:color w:val="auto"/>
          <w:sz w:val="24"/>
          <w:szCs w:val="24"/>
        </w:rPr>
      </w:pPr>
      <w:r w:rsidRPr="00B73CC8">
        <w:rPr>
          <w:caps/>
          <w:color w:val="auto"/>
          <w:sz w:val="24"/>
          <w:szCs w:val="24"/>
        </w:rPr>
        <w:t>Patients</w:t>
      </w:r>
      <w:r w:rsidR="0097051A" w:rsidRPr="00B73CC8">
        <w:rPr>
          <w:caps/>
          <w:color w:val="auto"/>
          <w:sz w:val="24"/>
          <w:szCs w:val="24"/>
        </w:rPr>
        <w:t xml:space="preserve"> and Methods:</w:t>
      </w:r>
    </w:p>
    <w:p w14:paraId="20B3903F" w14:textId="28FAE04C" w:rsidR="00210EC9" w:rsidRPr="00E7572F" w:rsidRDefault="00210EC9" w:rsidP="00761A41">
      <w:pPr>
        <w:pStyle w:val="H1"/>
        <w:spacing w:before="240"/>
        <w:contextualSpacing w:val="0"/>
        <w:jc w:val="left"/>
        <w:rPr>
          <w:rFonts w:eastAsia="SimSun"/>
          <w:color w:val="auto"/>
          <w:sz w:val="24"/>
          <w:szCs w:val="24"/>
          <w:lang w:eastAsia="zh-CN"/>
        </w:rPr>
      </w:pPr>
      <w:r w:rsidRPr="00E7572F">
        <w:rPr>
          <w:rFonts w:eastAsia="SimSun"/>
          <w:color w:val="auto"/>
          <w:sz w:val="24"/>
          <w:szCs w:val="24"/>
          <w:lang w:eastAsia="zh-CN"/>
        </w:rPr>
        <w:t>Study Design and Population</w:t>
      </w:r>
    </w:p>
    <w:bookmarkEnd w:id="2"/>
    <w:bookmarkEnd w:id="3"/>
    <w:p w14:paraId="65A90611" w14:textId="4BBB4615" w:rsidR="008D01DE" w:rsidRPr="00E7572F" w:rsidRDefault="007A7A01" w:rsidP="00761A41">
      <w:pPr>
        <w:pStyle w:val="P"/>
        <w:spacing w:after="240"/>
        <w:ind w:firstLine="720"/>
        <w:jc w:val="left"/>
        <w:rPr>
          <w:color w:val="auto"/>
          <w:lang w:val="en-US"/>
        </w:rPr>
      </w:pPr>
      <w:r w:rsidRPr="00E7572F">
        <w:rPr>
          <w:color w:val="auto"/>
          <w:lang w:val="en-US"/>
        </w:rPr>
        <w:t xml:space="preserve">This </w:t>
      </w:r>
      <w:r w:rsidR="00C012F1" w:rsidRPr="00C012F1">
        <w:rPr>
          <w:color w:val="auto"/>
          <w:lang w:val="en-US"/>
        </w:rPr>
        <w:t xml:space="preserve">retrospective–prospective cohort study </w:t>
      </w:r>
      <w:r w:rsidRPr="00E7572F">
        <w:rPr>
          <w:color w:val="auto"/>
          <w:lang w:val="en-US"/>
        </w:rPr>
        <w:t xml:space="preserve">was conducted on 90 Egyptian patients diagnosed with </w:t>
      </w:r>
      <w:r w:rsidR="000263BC">
        <w:rPr>
          <w:color w:val="auto"/>
          <w:lang w:val="en-US"/>
        </w:rPr>
        <w:t>CD</w:t>
      </w:r>
      <w:r w:rsidRPr="00E7572F">
        <w:rPr>
          <w:color w:val="auto"/>
          <w:lang w:val="en-US"/>
        </w:rPr>
        <w:t xml:space="preserve">, recruited from the outpatient clinics and inpatient wards of the gastroenterology and hepatology departments at Ain Shams and Al </w:t>
      </w:r>
      <w:proofErr w:type="spellStart"/>
      <w:r w:rsidRPr="00E7572F">
        <w:rPr>
          <w:color w:val="auto"/>
          <w:lang w:val="en-US"/>
        </w:rPr>
        <w:t>Kasr</w:t>
      </w:r>
      <w:proofErr w:type="spellEnd"/>
      <w:r w:rsidRPr="00E7572F">
        <w:rPr>
          <w:color w:val="auto"/>
          <w:lang w:val="en-US"/>
        </w:rPr>
        <w:t xml:space="preserve"> Al-Ainy University hospitals. Participants were categorized into two groups: the fistula group included 45 patients diagnosed with CD who presented with any fistula (internal or external), and the non-fistula group included 45 patients diagnosed with CD who had no history of fistula formation</w:t>
      </w:r>
      <w:r w:rsidR="00A17EAE">
        <w:rPr>
          <w:color w:val="auto"/>
          <w:lang w:val="en-US"/>
        </w:rPr>
        <w:t>,</w:t>
      </w:r>
      <w:r w:rsidRPr="00E7572F">
        <w:rPr>
          <w:color w:val="auto"/>
          <w:lang w:val="en-US"/>
        </w:rPr>
        <w:t xml:space="preserve"> regardless of the severity of the disease.</w:t>
      </w:r>
    </w:p>
    <w:p w14:paraId="1502F9F2" w14:textId="3A05CDC5" w:rsidR="00D834B3" w:rsidRPr="00E7572F" w:rsidRDefault="00A533FE" w:rsidP="00761A41">
      <w:pPr>
        <w:pStyle w:val="P"/>
        <w:spacing w:after="240"/>
        <w:ind w:firstLine="720"/>
        <w:jc w:val="left"/>
        <w:rPr>
          <w:color w:val="auto"/>
          <w:lang w:val="en-US"/>
        </w:rPr>
      </w:pPr>
      <w:r w:rsidRPr="00A533FE">
        <w:rPr>
          <w:color w:val="auto"/>
          <w:lang w:val="en-US"/>
        </w:rPr>
        <w:t xml:space="preserve">Sample size was calculated using </w:t>
      </w:r>
      <w:proofErr w:type="spellStart"/>
      <w:r w:rsidRPr="00A533FE">
        <w:rPr>
          <w:color w:val="auto"/>
          <w:lang w:val="en-US"/>
        </w:rPr>
        <w:t>MedCalc</w:t>
      </w:r>
      <w:proofErr w:type="spellEnd"/>
      <w:r w:rsidRPr="00A533FE">
        <w:rPr>
          <w:color w:val="auto"/>
          <w:lang w:val="en-US"/>
        </w:rPr>
        <w:t xml:space="preserve"> (v22.009) with a 95% confidence level, 80% power, and hospitalization rates from Fan et al. (2022): 50% in non-fistulizing and 80% in fistulizing Crohn’s disease </w:t>
      </w:r>
      <w:r w:rsidRPr="00A533FE">
        <w:rPr>
          <w:b/>
          <w:bCs/>
          <w:color w:val="auto"/>
          <w:lang w:val="en-US"/>
        </w:rPr>
        <w:t>[11].</w:t>
      </w:r>
      <w:r w:rsidRPr="00A533FE">
        <w:rPr>
          <w:color w:val="auto"/>
          <w:lang w:val="en-US"/>
        </w:rPr>
        <w:t xml:space="preserve"> The required sample was 80, increased by 10% to 90 to account for dropout. Participants were evenly assigned to </w:t>
      </w:r>
      <w:r w:rsidR="00D90BB8">
        <w:rPr>
          <w:color w:val="auto"/>
          <w:lang w:val="en-US"/>
        </w:rPr>
        <w:t>either the fistula or</w:t>
      </w:r>
      <w:r w:rsidRPr="00A533FE">
        <w:rPr>
          <w:color w:val="auto"/>
          <w:lang w:val="en-US"/>
        </w:rPr>
        <w:t xml:space="preserve"> </w:t>
      </w:r>
      <w:r w:rsidR="000A5CDE">
        <w:rPr>
          <w:color w:val="auto"/>
          <w:lang w:val="en-US"/>
        </w:rPr>
        <w:t>non-fistula</w:t>
      </w:r>
      <w:r w:rsidRPr="00A533FE">
        <w:rPr>
          <w:color w:val="auto"/>
          <w:lang w:val="en-US"/>
        </w:rPr>
        <w:t xml:space="preserve"> groups (1:1).</w:t>
      </w:r>
    </w:p>
    <w:p w14:paraId="16DBEC18" w14:textId="38789A6C" w:rsidR="00210EC9" w:rsidRPr="00E7572F" w:rsidRDefault="00210EC9" w:rsidP="00761A41">
      <w:pPr>
        <w:pStyle w:val="P"/>
        <w:jc w:val="left"/>
        <w:rPr>
          <w:b/>
          <w:bCs/>
          <w:color w:val="auto"/>
          <w:lang w:val="en-US"/>
        </w:rPr>
      </w:pPr>
      <w:r w:rsidRPr="00E7572F">
        <w:rPr>
          <w:b/>
          <w:bCs/>
          <w:color w:val="auto"/>
          <w:lang w:val="en-US"/>
        </w:rPr>
        <w:t>Ethical Considerations</w:t>
      </w:r>
    </w:p>
    <w:p w14:paraId="09D546AA" w14:textId="0D40BCE8" w:rsidR="002A7517" w:rsidRPr="00E7572F" w:rsidRDefault="007A7A01" w:rsidP="00761A41">
      <w:pPr>
        <w:pStyle w:val="P"/>
        <w:spacing w:after="240"/>
        <w:ind w:firstLine="720"/>
        <w:jc w:val="left"/>
        <w:rPr>
          <w:color w:val="auto"/>
          <w:lang w:val="en-US"/>
        </w:rPr>
      </w:pPr>
      <w:r w:rsidRPr="00E7572F">
        <w:rPr>
          <w:color w:val="auto"/>
          <w:lang w:val="en-US"/>
        </w:rPr>
        <w:t xml:space="preserve">The study was conducted in accordance with ethical guidelines and was approved by the Faculty of Medicine, Ain Shams University Research Ethics Committee (Approval No: FMASU MS 771/2022). All participants provided written informed consent </w:t>
      </w:r>
      <w:r w:rsidR="00BC3B58">
        <w:rPr>
          <w:color w:val="auto"/>
          <w:lang w:val="en-US"/>
        </w:rPr>
        <w:t>before</w:t>
      </w:r>
      <w:r w:rsidRPr="00E7572F">
        <w:rPr>
          <w:color w:val="auto"/>
          <w:lang w:val="en-US"/>
        </w:rPr>
        <w:t xml:space="preserve"> enrollment. </w:t>
      </w:r>
      <w:r w:rsidR="00BC3B58">
        <w:rPr>
          <w:color w:val="auto"/>
          <w:lang w:val="en-US"/>
        </w:rPr>
        <w:t>Each patient was assigned a unique number and recorded</w:t>
      </w:r>
      <w:r w:rsidRPr="00E7572F">
        <w:rPr>
          <w:color w:val="auto"/>
          <w:lang w:val="en-US"/>
        </w:rPr>
        <w:t xml:space="preserve"> on the master sheet to ensure data confidentiality and compliance with ethical standards.</w:t>
      </w:r>
    </w:p>
    <w:p w14:paraId="5831B067" w14:textId="765377CC" w:rsidR="00210EC9" w:rsidRPr="00E7572F" w:rsidRDefault="00210EC9" w:rsidP="00761A41">
      <w:pPr>
        <w:pStyle w:val="P"/>
        <w:jc w:val="left"/>
        <w:rPr>
          <w:b/>
          <w:bCs/>
          <w:color w:val="auto"/>
          <w:lang w:val="en-US"/>
        </w:rPr>
      </w:pPr>
      <w:r w:rsidRPr="00E7572F">
        <w:rPr>
          <w:b/>
          <w:bCs/>
          <w:color w:val="auto"/>
          <w:lang w:val="en-US"/>
        </w:rPr>
        <w:t>Inclusion and Exclusion Criteria</w:t>
      </w:r>
    </w:p>
    <w:p w14:paraId="71C1E166" w14:textId="4B4D942D" w:rsidR="00A27A46" w:rsidRPr="00E7572F" w:rsidRDefault="007A7A01" w:rsidP="00761A41">
      <w:pPr>
        <w:pStyle w:val="P"/>
        <w:ind w:firstLine="720"/>
        <w:jc w:val="left"/>
        <w:rPr>
          <w:color w:val="auto"/>
          <w:lang w:val="en-US"/>
        </w:rPr>
      </w:pPr>
      <w:r w:rsidRPr="00E7572F">
        <w:rPr>
          <w:color w:val="auto"/>
          <w:lang w:val="en-US"/>
        </w:rPr>
        <w:t xml:space="preserve">Adult patients with </w:t>
      </w:r>
      <w:r w:rsidR="000263BC">
        <w:rPr>
          <w:color w:val="auto"/>
          <w:lang w:val="en-US"/>
        </w:rPr>
        <w:t>CD</w:t>
      </w:r>
      <w:r w:rsidRPr="00E7572F">
        <w:rPr>
          <w:color w:val="auto"/>
          <w:lang w:val="en-US"/>
        </w:rPr>
        <w:t xml:space="preserve">, with available clinical, radiographic, and endoscopic data, and </w:t>
      </w:r>
      <w:r w:rsidR="00BC3B58">
        <w:rPr>
          <w:color w:val="auto"/>
          <w:lang w:val="en-US"/>
        </w:rPr>
        <w:t xml:space="preserve">a </w:t>
      </w:r>
      <w:r w:rsidRPr="00E7572F">
        <w:rPr>
          <w:color w:val="auto"/>
          <w:lang w:val="en-US"/>
        </w:rPr>
        <w:t>willingness to participate in the study and provide informed consent, were included. The included</w:t>
      </w:r>
      <w:r w:rsidR="000263BC">
        <w:rPr>
          <w:color w:val="auto"/>
          <w:lang w:val="en-US"/>
        </w:rPr>
        <w:t xml:space="preserve"> cases</w:t>
      </w:r>
      <w:r w:rsidRPr="00E7572F">
        <w:rPr>
          <w:color w:val="auto"/>
          <w:lang w:val="en-US"/>
        </w:rPr>
        <w:t xml:space="preserve"> were recruited from December 2022 to June 2023, and all were monitored for one year to assess treatment outcomes, recurrences, and relapses.</w:t>
      </w:r>
    </w:p>
    <w:p w14:paraId="3C557B7D" w14:textId="2186DCB2" w:rsidR="003D2DCE" w:rsidRPr="00E7572F" w:rsidRDefault="00A27A46" w:rsidP="00761A41">
      <w:pPr>
        <w:pStyle w:val="P"/>
        <w:spacing w:after="240"/>
        <w:ind w:firstLine="720"/>
        <w:jc w:val="left"/>
        <w:rPr>
          <w:color w:val="auto"/>
          <w:lang w:val="en-US"/>
        </w:rPr>
      </w:pPr>
      <w:r w:rsidRPr="00E7572F">
        <w:rPr>
          <w:color w:val="auto"/>
          <w:lang w:val="en-US"/>
        </w:rPr>
        <w:t xml:space="preserve">Pregnant women, patients who refused to participate in the trial, critically ill patients, patients with any mental health problems, </w:t>
      </w:r>
      <w:r w:rsidR="00BE4619">
        <w:rPr>
          <w:color w:val="auto"/>
          <w:lang w:val="en-US"/>
        </w:rPr>
        <w:t>patients with gastrointestinal</w:t>
      </w:r>
      <w:r w:rsidRPr="00E7572F">
        <w:rPr>
          <w:color w:val="auto"/>
          <w:lang w:val="en-US"/>
        </w:rPr>
        <w:t xml:space="preserve"> malignancies, or active tuberculosis, and patients with the human immunodeficiency virus (HIV) were all excluded from the study.</w:t>
      </w:r>
    </w:p>
    <w:p w14:paraId="76A61E9B" w14:textId="11272479" w:rsidR="001707D1" w:rsidRPr="00E7572F" w:rsidRDefault="001707D1" w:rsidP="00761A41">
      <w:pPr>
        <w:pStyle w:val="P"/>
        <w:jc w:val="left"/>
        <w:rPr>
          <w:b/>
          <w:bCs/>
          <w:color w:val="auto"/>
          <w:lang w:val="en-US"/>
        </w:rPr>
      </w:pPr>
      <w:r w:rsidRPr="00E7572F">
        <w:rPr>
          <w:b/>
          <w:bCs/>
          <w:color w:val="auto"/>
          <w:lang w:val="en-US"/>
        </w:rPr>
        <w:t>Data Collection and Clinical Assessment</w:t>
      </w:r>
    </w:p>
    <w:p w14:paraId="6DDC190F" w14:textId="57D12F41" w:rsidR="00414E32" w:rsidRPr="00E7572F" w:rsidRDefault="00414E32" w:rsidP="00761A41">
      <w:pPr>
        <w:pStyle w:val="P"/>
        <w:ind w:firstLine="720"/>
        <w:jc w:val="left"/>
        <w:rPr>
          <w:color w:val="auto"/>
          <w:lang w:val="en-US"/>
        </w:rPr>
      </w:pPr>
      <w:r w:rsidRPr="00E7572F">
        <w:rPr>
          <w:color w:val="auto"/>
          <w:lang w:val="en-US"/>
        </w:rPr>
        <w:t xml:space="preserve">All subjects underwent a </w:t>
      </w:r>
      <w:r w:rsidR="00BC3B58">
        <w:rPr>
          <w:color w:val="auto"/>
          <w:lang w:val="en-US"/>
        </w:rPr>
        <w:t>complete</w:t>
      </w:r>
      <w:r w:rsidRPr="00E7572F">
        <w:rPr>
          <w:color w:val="auto"/>
          <w:lang w:val="en-US"/>
        </w:rPr>
        <w:t xml:space="preserve"> medical history and clinical assessment. The collected data includes the following:</w:t>
      </w:r>
    </w:p>
    <w:p w14:paraId="19581C6B" w14:textId="2FBA49B7" w:rsidR="00A27A46" w:rsidRPr="00E7572F" w:rsidRDefault="00A27A46" w:rsidP="00761A41">
      <w:pPr>
        <w:pStyle w:val="P"/>
        <w:ind w:firstLine="720"/>
        <w:jc w:val="left"/>
        <w:rPr>
          <w:color w:val="auto"/>
          <w:lang w:val="en-US"/>
        </w:rPr>
      </w:pPr>
      <w:r w:rsidRPr="00E7572F">
        <w:rPr>
          <w:color w:val="auto"/>
          <w:lang w:val="en-US"/>
        </w:rPr>
        <w:t>• Demographic and Clinical Characteristics: Age at disease onset, sex, socioeconomic status, smoking history, family history of CD, disease duration, and comorbidities (e.g., diabetes mellitus, hypertension, obesity).</w:t>
      </w:r>
    </w:p>
    <w:p w14:paraId="10212670" w14:textId="07B7075B" w:rsidR="00A27A46" w:rsidRPr="00B007D6" w:rsidRDefault="00A27A46" w:rsidP="00761A41">
      <w:pPr>
        <w:pStyle w:val="P"/>
        <w:ind w:firstLine="720"/>
        <w:jc w:val="left"/>
        <w:rPr>
          <w:color w:val="auto"/>
          <w:lang w:val="en-US"/>
        </w:rPr>
      </w:pPr>
      <w:r w:rsidRPr="00E7572F">
        <w:rPr>
          <w:color w:val="auto"/>
          <w:lang w:val="en-US"/>
        </w:rPr>
        <w:t xml:space="preserve">• </w:t>
      </w:r>
      <w:r w:rsidR="00AC65EB" w:rsidRPr="00AC65EB">
        <w:rPr>
          <w:color w:val="auto"/>
          <w:lang w:val="en-US"/>
        </w:rPr>
        <w:t xml:space="preserve">Long-term NSAID consumption is defined as the use of any NSAID an average of </w:t>
      </w:r>
      <w:r w:rsidR="000263BC">
        <w:rPr>
          <w:color w:val="auto"/>
          <w:lang w:val="en-US"/>
        </w:rPr>
        <w:t>3</w:t>
      </w:r>
      <w:r w:rsidR="00AC65EB" w:rsidRPr="00AC65EB">
        <w:rPr>
          <w:color w:val="auto"/>
          <w:lang w:val="en-US"/>
        </w:rPr>
        <w:t xml:space="preserve"> times per week for more than </w:t>
      </w:r>
      <w:r w:rsidR="000263BC">
        <w:rPr>
          <w:color w:val="auto"/>
          <w:lang w:val="en-US"/>
        </w:rPr>
        <w:t>3</w:t>
      </w:r>
      <w:r w:rsidR="00AC65EB" w:rsidRPr="00AC65EB">
        <w:rPr>
          <w:color w:val="auto"/>
          <w:lang w:val="en-US"/>
        </w:rPr>
        <w:t xml:space="preserve"> months </w:t>
      </w:r>
      <w:r w:rsidR="00AC65EB" w:rsidRPr="00AC65EB">
        <w:rPr>
          <w:b/>
          <w:bCs/>
          <w:color w:val="auto"/>
          <w:lang w:val="en-US"/>
        </w:rPr>
        <w:t>[12].</w:t>
      </w:r>
      <w:r w:rsidR="00AC65EB" w:rsidRPr="00AC65EB">
        <w:rPr>
          <w:color w:val="auto"/>
          <w:lang w:val="en-US"/>
        </w:rPr>
        <w:t xml:space="preserve"> In this study, we defined NSAID intake as being more than once per week for at least three months.</w:t>
      </w:r>
    </w:p>
    <w:p w14:paraId="527F7C58" w14:textId="57E49A45" w:rsidR="00A27A46" w:rsidRPr="00E7572F" w:rsidRDefault="00A27A46" w:rsidP="00761A41">
      <w:pPr>
        <w:pStyle w:val="P"/>
        <w:ind w:firstLine="720"/>
        <w:jc w:val="left"/>
        <w:rPr>
          <w:color w:val="auto"/>
          <w:lang w:val="en-US"/>
        </w:rPr>
      </w:pPr>
      <w:r w:rsidRPr="00E7572F">
        <w:rPr>
          <w:color w:val="auto"/>
          <w:lang w:val="en-US"/>
        </w:rPr>
        <w:t>• Extraintestinal Manifestations: Joint, skin, ocular, hematologic, and hepatobiliary involvement.</w:t>
      </w:r>
    </w:p>
    <w:p w14:paraId="2BBB0DD3" w14:textId="7FD20FA9" w:rsidR="001707D1" w:rsidRPr="00E7572F" w:rsidRDefault="00A27A46" w:rsidP="00761A41">
      <w:pPr>
        <w:pStyle w:val="P"/>
        <w:spacing w:after="240"/>
        <w:ind w:firstLine="720"/>
        <w:jc w:val="left"/>
        <w:rPr>
          <w:color w:val="auto"/>
          <w:lang w:val="en-US"/>
        </w:rPr>
      </w:pPr>
      <w:r w:rsidRPr="00E7572F">
        <w:rPr>
          <w:color w:val="auto"/>
          <w:lang w:val="en-US"/>
        </w:rPr>
        <w:t>• Laboratory Investigations: Measurement of inflammatory markers, including C-reactive protein (CRP), erythrocyte sedimentation rate (ESR), and fecal calprotectin (FCP).</w:t>
      </w:r>
    </w:p>
    <w:p w14:paraId="55D41F6D" w14:textId="1EE8EA5C" w:rsidR="00C27732" w:rsidRPr="00E7572F" w:rsidRDefault="00C27732" w:rsidP="00761A41">
      <w:pPr>
        <w:pStyle w:val="P"/>
        <w:jc w:val="left"/>
        <w:rPr>
          <w:b/>
          <w:bCs/>
          <w:color w:val="auto"/>
          <w:lang w:val="en-US"/>
        </w:rPr>
      </w:pPr>
      <w:r w:rsidRPr="00E7572F">
        <w:rPr>
          <w:b/>
          <w:bCs/>
          <w:color w:val="auto"/>
          <w:lang w:val="en-US"/>
        </w:rPr>
        <w:t>Disease Management and Outcome Assessment</w:t>
      </w:r>
    </w:p>
    <w:p w14:paraId="681AA64D" w14:textId="1315D0DC" w:rsidR="00A27A46" w:rsidRPr="00E7572F" w:rsidRDefault="00BE5AF7" w:rsidP="00761A41">
      <w:pPr>
        <w:pStyle w:val="P"/>
        <w:ind w:firstLine="720"/>
        <w:jc w:val="left"/>
        <w:rPr>
          <w:color w:val="auto"/>
          <w:lang w:val="en-US"/>
        </w:rPr>
      </w:pPr>
      <w:r w:rsidRPr="00E7572F">
        <w:rPr>
          <w:color w:val="auto"/>
          <w:lang w:val="en-US"/>
        </w:rPr>
        <w:t xml:space="preserve">The management plan was selected based on </w:t>
      </w:r>
      <w:r w:rsidR="00BC3B58">
        <w:rPr>
          <w:color w:val="auto"/>
          <w:lang w:val="en-US"/>
        </w:rPr>
        <w:t>recommendations from a multidisciplinary team</w:t>
      </w:r>
      <w:r w:rsidRPr="00E7572F">
        <w:rPr>
          <w:color w:val="auto"/>
          <w:lang w:val="en-US"/>
        </w:rPr>
        <w:t xml:space="preserve">, case characteristics, and the availability and affordability of treatment options. The management approaches included surgical intervention, biologic therapy (infliximab, adalimumab, and </w:t>
      </w:r>
      <w:proofErr w:type="spellStart"/>
      <w:r w:rsidRPr="00E7572F">
        <w:rPr>
          <w:color w:val="auto"/>
          <w:lang w:val="en-US"/>
        </w:rPr>
        <w:t>ustekinumab</w:t>
      </w:r>
      <w:proofErr w:type="spellEnd"/>
      <w:r w:rsidRPr="00E7572F">
        <w:rPr>
          <w:color w:val="auto"/>
          <w:lang w:val="en-US"/>
        </w:rPr>
        <w:t>), and conventional therapy (corticosteroids and immunomodulatory).</w:t>
      </w:r>
    </w:p>
    <w:p w14:paraId="5795AED1" w14:textId="1F220F48" w:rsidR="00A27A46" w:rsidRPr="00E7572F" w:rsidRDefault="00A27A46" w:rsidP="00761A41">
      <w:pPr>
        <w:pStyle w:val="P"/>
        <w:ind w:firstLine="720"/>
        <w:jc w:val="left"/>
        <w:rPr>
          <w:color w:val="auto"/>
          <w:lang w:val="en-US"/>
        </w:rPr>
      </w:pPr>
      <w:r w:rsidRPr="00E7572F">
        <w:rPr>
          <w:color w:val="auto"/>
          <w:lang w:val="en-US"/>
        </w:rPr>
        <w:t xml:space="preserve">The severity of </w:t>
      </w:r>
      <w:r w:rsidR="000D58AE">
        <w:rPr>
          <w:color w:val="auto"/>
          <w:lang w:val="en-US"/>
        </w:rPr>
        <w:t>CD</w:t>
      </w:r>
      <w:r w:rsidRPr="00E7572F">
        <w:rPr>
          <w:color w:val="auto"/>
          <w:lang w:val="en-US"/>
        </w:rPr>
        <w:t xml:space="preserve"> and treatment response were assessed using multiple modalities:</w:t>
      </w:r>
    </w:p>
    <w:p w14:paraId="21CF9FA7" w14:textId="4B1849EF" w:rsidR="00A27A46" w:rsidRPr="00E7572F" w:rsidRDefault="00A27A46" w:rsidP="00761A41">
      <w:pPr>
        <w:pStyle w:val="P"/>
        <w:spacing w:after="240"/>
        <w:ind w:firstLine="720"/>
        <w:jc w:val="left"/>
        <w:rPr>
          <w:color w:val="auto"/>
          <w:lang w:val="en-US"/>
        </w:rPr>
      </w:pPr>
      <w:r w:rsidRPr="00E7572F">
        <w:rPr>
          <w:color w:val="auto"/>
          <w:lang w:val="en-US"/>
        </w:rPr>
        <w:t xml:space="preserve">• Clinical Assessment: The Crohn’s Disease Activity Index (CDAI) was used to evaluate disease severity, calculated via the </w:t>
      </w:r>
      <w:proofErr w:type="spellStart"/>
      <w:r w:rsidRPr="00E7572F">
        <w:rPr>
          <w:color w:val="auto"/>
          <w:lang w:val="en-US"/>
        </w:rPr>
        <w:t>MdCalc</w:t>
      </w:r>
      <w:proofErr w:type="spellEnd"/>
      <w:r w:rsidRPr="00E7572F">
        <w:rPr>
          <w:color w:val="auto"/>
          <w:lang w:val="en-US"/>
        </w:rPr>
        <w:t xml:space="preserve"> application.</w:t>
      </w:r>
      <w:r w:rsidR="0025017F" w:rsidRPr="0025017F">
        <w:t xml:space="preserve"> </w:t>
      </w:r>
      <w:r w:rsidR="0025017F" w:rsidRPr="00BC3B58">
        <w:rPr>
          <w:color w:val="auto"/>
          <w:lang w:val="en-US"/>
        </w:rPr>
        <w:t xml:space="preserve">The CDAI is a composite score derived from eight variables recorded over </w:t>
      </w:r>
      <w:r w:rsidR="00BC3B58">
        <w:rPr>
          <w:color w:val="auto"/>
          <w:lang w:val="en-US"/>
        </w:rPr>
        <w:t>seven days: the number of liquid or soft stools, the severity of abdominal pain, general well-being, the presence of complications, the use of antidiarrheal medications</w:t>
      </w:r>
      <w:r w:rsidR="00BC3B58" w:rsidRPr="00BC3B58">
        <w:rPr>
          <w:color w:val="auto"/>
          <w:lang w:val="en-US"/>
        </w:rPr>
        <w:t xml:space="preserve">, the </w:t>
      </w:r>
      <w:r w:rsidR="0025017F" w:rsidRPr="00BC3B58">
        <w:rPr>
          <w:color w:val="auto"/>
          <w:lang w:val="en-US"/>
        </w:rPr>
        <w:t>presence of an abdominal mass, hematocrit, and body weight. Scores &lt;150 indicate remission, 150–219 mild activity, 220–450 moderate activity, and &gt;450 severe disease activity.</w:t>
      </w:r>
    </w:p>
    <w:p w14:paraId="07C6BABC" w14:textId="0FCFB699" w:rsidR="00A27A46" w:rsidRPr="00E7572F" w:rsidRDefault="00A27A46" w:rsidP="00761A41">
      <w:pPr>
        <w:pStyle w:val="P"/>
        <w:ind w:firstLine="720"/>
        <w:jc w:val="left"/>
        <w:rPr>
          <w:color w:val="auto"/>
          <w:lang w:val="en-US"/>
        </w:rPr>
      </w:pPr>
      <w:r w:rsidRPr="00E7572F">
        <w:rPr>
          <w:color w:val="auto"/>
          <w:lang w:val="en-US"/>
        </w:rPr>
        <w:t xml:space="preserve">• Radiological Assessment: Computed tomography </w:t>
      </w:r>
      <w:proofErr w:type="spellStart"/>
      <w:r w:rsidRPr="00E7572F">
        <w:rPr>
          <w:color w:val="auto"/>
          <w:lang w:val="en-US"/>
        </w:rPr>
        <w:t>enterography</w:t>
      </w:r>
      <w:proofErr w:type="spellEnd"/>
      <w:r w:rsidRPr="00E7572F">
        <w:rPr>
          <w:color w:val="auto"/>
          <w:lang w:val="en-US"/>
        </w:rPr>
        <w:t xml:space="preserve"> (CTE) and magnetic resonance </w:t>
      </w:r>
      <w:proofErr w:type="spellStart"/>
      <w:r w:rsidRPr="00E7572F">
        <w:rPr>
          <w:color w:val="auto"/>
          <w:lang w:val="en-US"/>
        </w:rPr>
        <w:t>enterography</w:t>
      </w:r>
      <w:proofErr w:type="spellEnd"/>
      <w:r w:rsidRPr="00E7572F">
        <w:rPr>
          <w:color w:val="auto"/>
          <w:lang w:val="en-US"/>
        </w:rPr>
        <w:t xml:space="preserve"> (MRE) were performed before and after treatment to monitor disease progression.</w:t>
      </w:r>
    </w:p>
    <w:p w14:paraId="258B272B" w14:textId="3F193833" w:rsidR="00A27A46" w:rsidRPr="00E7572F" w:rsidRDefault="00A27A46" w:rsidP="00761A41">
      <w:pPr>
        <w:pStyle w:val="P"/>
        <w:spacing w:after="240"/>
        <w:ind w:firstLine="720"/>
        <w:jc w:val="left"/>
        <w:rPr>
          <w:color w:val="auto"/>
          <w:lang w:val="en-US"/>
        </w:rPr>
      </w:pPr>
      <w:r w:rsidRPr="00E7572F">
        <w:rPr>
          <w:color w:val="auto"/>
          <w:lang w:val="en-US"/>
        </w:rPr>
        <w:t>• Endoscopic Assessment: Disease activity was evaluated using the Simplified Endoscopic Score for Crohn’s Disease (SES-CD)</w:t>
      </w:r>
      <w:r w:rsidR="0025017F">
        <w:rPr>
          <w:color w:val="auto"/>
          <w:lang w:val="en-US"/>
        </w:rPr>
        <w:t>.</w:t>
      </w:r>
      <w:r w:rsidRPr="00E7572F">
        <w:rPr>
          <w:color w:val="auto"/>
          <w:lang w:val="en-US"/>
        </w:rPr>
        <w:t xml:space="preserve"> </w:t>
      </w:r>
      <w:r w:rsidR="0025017F" w:rsidRPr="00BC3B58">
        <w:rPr>
          <w:color w:val="auto"/>
          <w:lang w:val="en-US"/>
        </w:rPr>
        <w:t xml:space="preserve">The SES-CD assesses four endoscopic variables in five ileocolonic segments (ileum, right colon, transverse colon, left colon, and rectum): size of ulcers, ulcerated surface, affected surface, and presence/type of narrowing. Each variable is graded </w:t>
      </w:r>
      <w:r w:rsidR="00BC3B58">
        <w:rPr>
          <w:color w:val="auto"/>
          <w:lang w:val="en-US"/>
        </w:rPr>
        <w:t>on a scale of 0 to 3, resulting in</w:t>
      </w:r>
      <w:r w:rsidR="0025017F" w:rsidRPr="00BC3B58">
        <w:rPr>
          <w:color w:val="auto"/>
          <w:lang w:val="en-US"/>
        </w:rPr>
        <w:t xml:space="preserve"> a total score ranging from 0 to 56. A score of 0–2 indicates inactive disease, 3–6 mild, 7–15 moderate, and ≥16 severe disease activity </w:t>
      </w:r>
      <w:r w:rsidRPr="00E7572F">
        <w:rPr>
          <w:b/>
          <w:bCs/>
          <w:color w:val="auto"/>
          <w:lang w:val="en-US"/>
        </w:rPr>
        <w:t>[13].</w:t>
      </w:r>
    </w:p>
    <w:p w14:paraId="31062A4E" w14:textId="666A6560" w:rsidR="00C27732" w:rsidRPr="00E7572F" w:rsidRDefault="00A27A46" w:rsidP="00761A41">
      <w:pPr>
        <w:pStyle w:val="P"/>
        <w:spacing w:after="240"/>
        <w:ind w:firstLine="720"/>
        <w:jc w:val="left"/>
        <w:rPr>
          <w:color w:val="auto"/>
        </w:rPr>
      </w:pPr>
      <w:r w:rsidRPr="00E7572F">
        <w:rPr>
          <w:color w:val="auto"/>
          <w:lang w:val="en-US"/>
        </w:rPr>
        <w:t xml:space="preserve">• Histopathological Assessment: The Nancy Histological Index was used to assess histological disease activity </w:t>
      </w:r>
      <w:r w:rsidRPr="00E7572F">
        <w:rPr>
          <w:b/>
          <w:bCs/>
          <w:color w:val="auto"/>
          <w:lang w:val="en-US"/>
        </w:rPr>
        <w:t>[14].</w:t>
      </w:r>
    </w:p>
    <w:p w14:paraId="081BA4CC" w14:textId="4B15484B" w:rsidR="00753DC6" w:rsidRPr="00E7572F" w:rsidRDefault="00210EC9" w:rsidP="00761A41">
      <w:pPr>
        <w:pStyle w:val="P"/>
        <w:jc w:val="left"/>
        <w:rPr>
          <w:b/>
          <w:bCs/>
          <w:color w:val="auto"/>
          <w:lang w:val="en-US"/>
        </w:rPr>
      </w:pPr>
      <w:r w:rsidRPr="00E7572F">
        <w:rPr>
          <w:b/>
          <w:bCs/>
          <w:color w:val="auto"/>
          <w:lang w:val="en-US"/>
        </w:rPr>
        <w:t xml:space="preserve">Study Design and </w:t>
      </w:r>
      <w:r w:rsidR="008D01DE" w:rsidRPr="00E7572F">
        <w:rPr>
          <w:b/>
          <w:bCs/>
          <w:color w:val="auto"/>
          <w:lang w:val="en-US"/>
        </w:rPr>
        <w:t>Statistical A</w:t>
      </w:r>
      <w:r w:rsidRPr="00E7572F">
        <w:rPr>
          <w:b/>
          <w:bCs/>
          <w:color w:val="auto"/>
          <w:lang w:val="en-US"/>
        </w:rPr>
        <w:t>nalysis</w:t>
      </w:r>
    </w:p>
    <w:p w14:paraId="5F5DC676" w14:textId="0AB3B690" w:rsidR="00A27A46" w:rsidRPr="00E7572F" w:rsidRDefault="00A27A46" w:rsidP="00761A41">
      <w:pPr>
        <w:pStyle w:val="P"/>
        <w:ind w:firstLine="720"/>
        <w:jc w:val="left"/>
        <w:rPr>
          <w:color w:val="auto"/>
          <w:lang w:val="en-US"/>
        </w:rPr>
      </w:pPr>
      <w:r w:rsidRPr="00E7572F">
        <w:rPr>
          <w:color w:val="auto"/>
          <w:lang w:val="en-US"/>
        </w:rPr>
        <w:t>The study incorporated both retrospective and prospective analyses:</w:t>
      </w:r>
    </w:p>
    <w:p w14:paraId="53B0CA40" w14:textId="309CEF73" w:rsidR="00A27A46" w:rsidRPr="00E7572F" w:rsidRDefault="00A27A46" w:rsidP="00761A41">
      <w:pPr>
        <w:pStyle w:val="P"/>
        <w:ind w:firstLine="720"/>
        <w:jc w:val="left"/>
        <w:rPr>
          <w:color w:val="auto"/>
          <w:lang w:val="en-US"/>
        </w:rPr>
      </w:pPr>
      <w:r w:rsidRPr="00E7572F">
        <w:rPr>
          <w:color w:val="auto"/>
          <w:lang w:val="en-US"/>
        </w:rPr>
        <w:t>• Retrospective analysis: Investigated associations between clinical, demographic, and biochemical parameters and the presence of fistulizing disease.</w:t>
      </w:r>
    </w:p>
    <w:p w14:paraId="3BE77D3F" w14:textId="691E998C" w:rsidR="00A27A46" w:rsidRPr="00E7572F" w:rsidRDefault="00A27A46" w:rsidP="00761A41">
      <w:pPr>
        <w:pStyle w:val="P"/>
        <w:ind w:firstLine="720"/>
        <w:jc w:val="left"/>
        <w:rPr>
          <w:color w:val="auto"/>
          <w:lang w:val="en-US"/>
        </w:rPr>
      </w:pPr>
      <w:r w:rsidRPr="00E7572F">
        <w:rPr>
          <w:color w:val="auto"/>
          <w:lang w:val="en-US"/>
        </w:rPr>
        <w:t xml:space="preserve">• Prospective analysis: Evaluated treatment outcomes over a </w:t>
      </w:r>
      <w:r w:rsidR="00DB63F9" w:rsidRPr="00E7572F">
        <w:rPr>
          <w:color w:val="auto"/>
          <w:lang w:val="en-US"/>
        </w:rPr>
        <w:t>one-year</w:t>
      </w:r>
      <w:r w:rsidRPr="00E7572F">
        <w:rPr>
          <w:color w:val="auto"/>
          <w:lang w:val="en-US"/>
        </w:rPr>
        <w:t xml:space="preserve"> follow-up period, considering the impact of significant risk factors on disease progression and management efficacy.</w:t>
      </w:r>
    </w:p>
    <w:p w14:paraId="1B92F232" w14:textId="3A9605B1" w:rsidR="00282654" w:rsidRPr="00E7572F" w:rsidRDefault="00414E32" w:rsidP="00761A41">
      <w:pPr>
        <w:pStyle w:val="P"/>
        <w:spacing w:after="240"/>
        <w:ind w:firstLine="720"/>
        <w:jc w:val="left"/>
        <w:rPr>
          <w:color w:val="auto"/>
          <w:lang w:val="en-US"/>
        </w:rPr>
      </w:pPr>
      <w:r w:rsidRPr="00E7572F">
        <w:rPr>
          <w:color w:val="auto"/>
          <w:lang w:val="en-US"/>
        </w:rPr>
        <w:t xml:space="preserve">The SPSS statistical analysis application (IBM Inc., Chicago, IL, USA) was used to examine, code, and analyze the data. The standard deviation, mean, and median were used to express the numerical variables. Frequencies had been used to characterize categorical parameters. Fisher's, McNemar, Mann-Whitney, Wilcoxon, </w:t>
      </w:r>
      <w:r w:rsidR="00BC3B58">
        <w:rPr>
          <w:color w:val="auto"/>
          <w:lang w:val="en-US"/>
        </w:rPr>
        <w:t>and chi-square tests, as well as independent t-tests, were used. A P-value</w:t>
      </w:r>
      <w:r w:rsidRPr="00E7572F">
        <w:rPr>
          <w:color w:val="auto"/>
          <w:lang w:val="en-US"/>
        </w:rPr>
        <w:t xml:space="preserve"> ≤ 0.05 was considered statistically significant. </w:t>
      </w:r>
      <w:r w:rsidR="00241977" w:rsidRPr="00BC3B58">
        <w:rPr>
          <w:color w:val="auto"/>
          <w:lang w:val="en-US"/>
        </w:rPr>
        <w:t xml:space="preserve">For within-group comparisons of SES-CD before and after treatment, the Friedman test was applied because SES-CD is ordinal and assessed across multiple intestinal segments. </w:t>
      </w:r>
      <w:r w:rsidRPr="00E7572F">
        <w:rPr>
          <w:color w:val="auto"/>
          <w:lang w:val="en-US"/>
        </w:rPr>
        <w:t xml:space="preserve">The P value was determined using the </w:t>
      </w:r>
      <w:r w:rsidR="00BC3B58">
        <w:rPr>
          <w:color w:val="auto"/>
          <w:lang w:val="en-US"/>
        </w:rPr>
        <w:t>signed-rank</w:t>
      </w:r>
      <w:r w:rsidRPr="00E7572F">
        <w:rPr>
          <w:color w:val="auto"/>
          <w:lang w:val="en-US"/>
        </w:rPr>
        <w:t xml:space="preserve"> test and the marginal homogeneity test. The logistic regression for independent risk factors for fistulizing CD was evaluated using the regression coefficient (binary logistic regression) with stratified analysis.</w:t>
      </w:r>
    </w:p>
    <w:p w14:paraId="052F180A" w14:textId="1B97CEC2" w:rsidR="00510A43" w:rsidRPr="00FE68F6" w:rsidRDefault="00950A9C" w:rsidP="00FE68F6">
      <w:pPr>
        <w:pStyle w:val="H1"/>
        <w:rPr>
          <w:rFonts w:eastAsia="SimSun"/>
          <w:color w:val="auto"/>
          <w:sz w:val="24"/>
          <w:szCs w:val="24"/>
          <w:rtl/>
          <w:lang w:eastAsia="zh-CN"/>
        </w:rPr>
      </w:pPr>
      <w:r w:rsidRPr="00FE68F6">
        <w:rPr>
          <w:caps/>
          <w:color w:val="auto"/>
          <w:sz w:val="24"/>
          <w:szCs w:val="24"/>
        </w:rPr>
        <w:t>Results</w:t>
      </w:r>
    </w:p>
    <w:p w14:paraId="1DD2D8AC" w14:textId="10D0BC94" w:rsidR="0057299A" w:rsidRPr="00E7572F" w:rsidRDefault="0057299A" w:rsidP="00761A41">
      <w:pPr>
        <w:pStyle w:val="Heading1"/>
        <w:ind w:firstLine="720"/>
        <w:rPr>
          <w:rFonts w:eastAsia="SimSun"/>
          <w:color w:val="auto"/>
          <w:sz w:val="24"/>
          <w:szCs w:val="24"/>
          <w:lang w:eastAsia="zh-CN"/>
        </w:rPr>
      </w:pPr>
      <w:r w:rsidRPr="00E7572F">
        <w:rPr>
          <w:rFonts w:eastAsia="SimSun"/>
          <w:color w:val="auto"/>
          <w:sz w:val="24"/>
          <w:szCs w:val="24"/>
          <w:lang w:eastAsia="zh-CN"/>
        </w:rPr>
        <w:t>Patient Demographics and Baseline Characteristics</w:t>
      </w:r>
    </w:p>
    <w:p w14:paraId="5C77933C" w14:textId="6536FB45" w:rsidR="0057299A" w:rsidRPr="00E7572F" w:rsidRDefault="000D58AE" w:rsidP="00761A41">
      <w:pPr>
        <w:pStyle w:val="Heading1"/>
        <w:ind w:firstLine="720"/>
        <w:rPr>
          <w:rFonts w:eastAsia="SimSun"/>
          <w:b w:val="0"/>
          <w:bCs w:val="0"/>
          <w:color w:val="auto"/>
          <w:sz w:val="24"/>
          <w:szCs w:val="24"/>
          <w:lang w:eastAsia="zh-CN"/>
        </w:rPr>
      </w:pPr>
      <w:r>
        <w:rPr>
          <w:rFonts w:eastAsia="SimSun"/>
          <w:b w:val="0"/>
          <w:bCs w:val="0"/>
          <w:color w:val="auto"/>
          <w:sz w:val="24"/>
          <w:szCs w:val="24"/>
          <w:lang w:eastAsia="zh-CN"/>
        </w:rPr>
        <w:t>This</w:t>
      </w:r>
      <w:r w:rsidR="0057299A" w:rsidRPr="00E7572F">
        <w:rPr>
          <w:rFonts w:eastAsia="SimSun"/>
          <w:b w:val="0"/>
          <w:bCs w:val="0"/>
          <w:color w:val="auto"/>
          <w:sz w:val="24"/>
          <w:szCs w:val="24"/>
          <w:lang w:eastAsia="zh-CN"/>
        </w:rPr>
        <w:t xml:space="preserve"> study included 90 </w:t>
      </w:r>
      <w:r>
        <w:rPr>
          <w:rFonts w:eastAsia="SimSun"/>
          <w:b w:val="0"/>
          <w:bCs w:val="0"/>
          <w:color w:val="auto"/>
          <w:sz w:val="24"/>
          <w:szCs w:val="24"/>
          <w:lang w:eastAsia="zh-CN"/>
        </w:rPr>
        <w:t>cases</w:t>
      </w:r>
      <w:r w:rsidR="0057299A" w:rsidRPr="00E7572F">
        <w:rPr>
          <w:rFonts w:eastAsia="SimSun"/>
          <w:b w:val="0"/>
          <w:bCs w:val="0"/>
          <w:color w:val="auto"/>
          <w:sz w:val="24"/>
          <w:szCs w:val="24"/>
          <w:lang w:eastAsia="zh-CN"/>
        </w:rPr>
        <w:t xml:space="preserve"> diagnosed with </w:t>
      </w:r>
      <w:r>
        <w:rPr>
          <w:rFonts w:eastAsia="SimSun"/>
          <w:b w:val="0"/>
          <w:bCs w:val="0"/>
          <w:color w:val="auto"/>
          <w:sz w:val="24"/>
          <w:szCs w:val="24"/>
          <w:lang w:eastAsia="zh-CN"/>
        </w:rPr>
        <w:t>CD</w:t>
      </w:r>
      <w:r w:rsidR="00AE2BBD">
        <w:rPr>
          <w:rFonts w:eastAsia="SimSun"/>
          <w:b w:val="0"/>
          <w:bCs w:val="0"/>
          <w:color w:val="auto"/>
          <w:sz w:val="24"/>
          <w:szCs w:val="24"/>
          <w:lang w:eastAsia="zh-CN"/>
        </w:rPr>
        <w:t>, with a mean age of 33.69±</w:t>
      </w:r>
      <w:r w:rsidR="0057299A" w:rsidRPr="00E7572F">
        <w:rPr>
          <w:rFonts w:eastAsia="SimSun"/>
          <w:b w:val="0"/>
          <w:bCs w:val="0"/>
          <w:color w:val="auto"/>
          <w:sz w:val="24"/>
          <w:szCs w:val="24"/>
          <w:lang w:eastAsia="zh-CN"/>
        </w:rPr>
        <w:t xml:space="preserve">12.34 years. The </w:t>
      </w:r>
      <w:r w:rsidR="00BE5AF7" w:rsidRPr="00E7572F">
        <w:rPr>
          <w:rFonts w:eastAsia="SimSun"/>
          <w:b w:val="0"/>
          <w:bCs w:val="0"/>
          <w:color w:val="auto"/>
          <w:sz w:val="24"/>
          <w:szCs w:val="24"/>
          <w:lang w:eastAsia="zh-CN"/>
        </w:rPr>
        <w:t>study</w:t>
      </w:r>
      <w:r w:rsidR="0057299A" w:rsidRPr="00E7572F">
        <w:rPr>
          <w:rFonts w:eastAsia="SimSun"/>
          <w:b w:val="0"/>
          <w:bCs w:val="0"/>
          <w:color w:val="auto"/>
          <w:sz w:val="24"/>
          <w:szCs w:val="24"/>
          <w:lang w:eastAsia="zh-CN"/>
        </w:rPr>
        <w:t xml:space="preserve"> consisted of 35 females (38.9%) and 55 males (61.1%).</w:t>
      </w:r>
    </w:p>
    <w:p w14:paraId="19A7A0BC" w14:textId="75BC6AA3" w:rsidR="00BE43A7" w:rsidRPr="00E7572F" w:rsidRDefault="00AE2BBD" w:rsidP="00761A41">
      <w:pPr>
        <w:pStyle w:val="Heading1"/>
        <w:ind w:firstLine="720"/>
        <w:rPr>
          <w:rFonts w:eastAsia="SimSun"/>
          <w:b w:val="0"/>
          <w:bCs w:val="0"/>
          <w:color w:val="auto"/>
          <w:sz w:val="24"/>
          <w:szCs w:val="24"/>
          <w:lang w:eastAsia="zh-CN"/>
        </w:rPr>
      </w:pPr>
      <w:r>
        <w:rPr>
          <w:rFonts w:eastAsia="SimSun"/>
          <w:b w:val="0"/>
          <w:bCs w:val="0"/>
          <w:color w:val="auto"/>
          <w:sz w:val="24"/>
          <w:szCs w:val="24"/>
          <w:lang w:eastAsia="zh-CN"/>
        </w:rPr>
        <w:t>In the fistula group (n =</w:t>
      </w:r>
      <w:r w:rsidR="00561C38" w:rsidRPr="00E7572F">
        <w:rPr>
          <w:rFonts w:eastAsia="SimSun"/>
          <w:b w:val="0"/>
          <w:bCs w:val="0"/>
          <w:color w:val="auto"/>
          <w:sz w:val="24"/>
          <w:szCs w:val="24"/>
          <w:lang w:eastAsia="zh-CN"/>
        </w:rPr>
        <w:t xml:space="preserve">45), the most frequently observed fistula type was </w:t>
      </w:r>
      <w:proofErr w:type="spellStart"/>
      <w:r w:rsidR="00561C38" w:rsidRPr="00E7572F">
        <w:rPr>
          <w:rFonts w:eastAsia="SimSun"/>
          <w:b w:val="0"/>
          <w:bCs w:val="0"/>
          <w:color w:val="auto"/>
          <w:sz w:val="24"/>
          <w:szCs w:val="24"/>
          <w:lang w:eastAsia="zh-CN"/>
        </w:rPr>
        <w:t>enteroenteric</w:t>
      </w:r>
      <w:proofErr w:type="spellEnd"/>
      <w:r w:rsidR="00561C38" w:rsidRPr="00E7572F">
        <w:rPr>
          <w:rFonts w:eastAsia="SimSun"/>
          <w:b w:val="0"/>
          <w:bCs w:val="0"/>
          <w:color w:val="auto"/>
          <w:sz w:val="24"/>
          <w:szCs w:val="24"/>
          <w:lang w:eastAsia="zh-CN"/>
        </w:rPr>
        <w:t xml:space="preserve"> fistula in 16 patients (35.5%), followed by perineal fistula in 12 patients (26.7%) and enterocutaneous fistula in 8 patients (17.8%). Less commonly observed were </w:t>
      </w:r>
      <w:proofErr w:type="spellStart"/>
      <w:r w:rsidR="00561C38" w:rsidRPr="00E7572F">
        <w:rPr>
          <w:rFonts w:eastAsia="SimSun"/>
          <w:b w:val="0"/>
          <w:bCs w:val="0"/>
          <w:color w:val="auto"/>
          <w:sz w:val="24"/>
          <w:szCs w:val="24"/>
          <w:lang w:eastAsia="zh-CN"/>
        </w:rPr>
        <w:t>enterovesical</w:t>
      </w:r>
      <w:proofErr w:type="spellEnd"/>
      <w:r w:rsidR="00561C38" w:rsidRPr="00E7572F">
        <w:rPr>
          <w:rFonts w:eastAsia="SimSun"/>
          <w:b w:val="0"/>
          <w:bCs w:val="0"/>
          <w:color w:val="auto"/>
          <w:sz w:val="24"/>
          <w:szCs w:val="24"/>
          <w:lang w:eastAsia="zh-CN"/>
        </w:rPr>
        <w:t xml:space="preserve"> fistulas in 2 patients (4.44%), combined </w:t>
      </w:r>
      <w:proofErr w:type="spellStart"/>
      <w:r w:rsidR="00561C38" w:rsidRPr="00E7572F">
        <w:rPr>
          <w:rFonts w:eastAsia="SimSun"/>
          <w:b w:val="0"/>
          <w:bCs w:val="0"/>
          <w:color w:val="auto"/>
          <w:sz w:val="24"/>
          <w:szCs w:val="24"/>
          <w:lang w:eastAsia="zh-CN"/>
        </w:rPr>
        <w:t>enteroenteric</w:t>
      </w:r>
      <w:proofErr w:type="spellEnd"/>
      <w:r w:rsidR="00561C38" w:rsidRPr="00E7572F">
        <w:rPr>
          <w:rFonts w:eastAsia="SimSun"/>
          <w:b w:val="0"/>
          <w:bCs w:val="0"/>
          <w:color w:val="auto"/>
          <w:sz w:val="24"/>
          <w:szCs w:val="24"/>
          <w:lang w:eastAsia="zh-CN"/>
        </w:rPr>
        <w:t xml:space="preserve">-enterocutaneous fistulas in 4 patients (8.88%), </w:t>
      </w:r>
      <w:proofErr w:type="spellStart"/>
      <w:r w:rsidR="00561C38" w:rsidRPr="00E7572F">
        <w:rPr>
          <w:rFonts w:eastAsia="SimSun"/>
          <w:b w:val="0"/>
          <w:bCs w:val="0"/>
          <w:color w:val="auto"/>
          <w:sz w:val="24"/>
          <w:szCs w:val="24"/>
          <w:lang w:eastAsia="zh-CN"/>
        </w:rPr>
        <w:t>enteroenteric-enterovesical</w:t>
      </w:r>
      <w:proofErr w:type="spellEnd"/>
      <w:r w:rsidR="00561C38" w:rsidRPr="00E7572F">
        <w:rPr>
          <w:rFonts w:eastAsia="SimSun"/>
          <w:b w:val="0"/>
          <w:bCs w:val="0"/>
          <w:color w:val="auto"/>
          <w:sz w:val="24"/>
          <w:szCs w:val="24"/>
          <w:lang w:eastAsia="zh-CN"/>
        </w:rPr>
        <w:t xml:space="preserve"> fistulas in 2 patients (4.44%), and entero-vesical-enterocutaneous fistulas in 1 patient (2.22%). </w:t>
      </w:r>
      <w:r w:rsidR="00561C38" w:rsidRPr="00BC3B58">
        <w:rPr>
          <w:rFonts w:eastAsia="SimSun"/>
          <w:b w:val="0"/>
          <w:bCs w:val="0"/>
          <w:color w:val="auto"/>
          <w:sz w:val="24"/>
          <w:szCs w:val="24"/>
          <w:lang w:eastAsia="zh-CN"/>
        </w:rPr>
        <w:t>Regarding the management plan, surgical intervent</w:t>
      </w:r>
      <w:r w:rsidRPr="00BC3B58">
        <w:rPr>
          <w:rFonts w:eastAsia="SimSun"/>
          <w:b w:val="0"/>
          <w:bCs w:val="0"/>
          <w:color w:val="auto"/>
          <w:sz w:val="24"/>
          <w:szCs w:val="24"/>
          <w:lang w:eastAsia="zh-CN"/>
        </w:rPr>
        <w:t>ion was performed in 31.1% (n =</w:t>
      </w:r>
      <w:r w:rsidR="00BC3B58" w:rsidRPr="00BC3B58">
        <w:rPr>
          <w:rFonts w:eastAsia="SimSun"/>
          <w:b w:val="0"/>
          <w:bCs w:val="0"/>
          <w:color w:val="auto"/>
          <w:sz w:val="24"/>
          <w:szCs w:val="24"/>
          <w:lang w:eastAsia="zh-CN"/>
        </w:rPr>
        <w:t xml:space="preserve"> 14) of patients, of whom seven were biologic-naïve</w:t>
      </w:r>
      <w:r w:rsidR="00561C38" w:rsidRPr="00BC3B58">
        <w:rPr>
          <w:rFonts w:eastAsia="SimSun"/>
          <w:b w:val="0"/>
          <w:bCs w:val="0"/>
          <w:color w:val="auto"/>
          <w:sz w:val="24"/>
          <w:szCs w:val="24"/>
          <w:lang w:eastAsia="zh-CN"/>
        </w:rPr>
        <w:t xml:space="preserve"> and 7 had prior biologic therapy. Infliximab therapy</w:t>
      </w:r>
      <w:r w:rsidRPr="00BC3B58">
        <w:rPr>
          <w:rFonts w:eastAsia="SimSun"/>
          <w:b w:val="0"/>
          <w:bCs w:val="0"/>
          <w:color w:val="auto"/>
          <w:sz w:val="24"/>
          <w:szCs w:val="24"/>
          <w:lang w:eastAsia="zh-CN"/>
        </w:rPr>
        <w:t xml:space="preserve"> was administered to 53.3% (n =</w:t>
      </w:r>
      <w:r w:rsidR="00BC3B58" w:rsidRPr="00BC3B58">
        <w:rPr>
          <w:rFonts w:eastAsia="SimSun"/>
          <w:b w:val="0"/>
          <w:bCs w:val="0"/>
          <w:color w:val="auto"/>
          <w:sz w:val="24"/>
          <w:szCs w:val="24"/>
          <w:lang w:eastAsia="zh-CN"/>
        </w:rPr>
        <w:t xml:space="preserve"> 24) of patients, including </w:t>
      </w:r>
      <w:r w:rsidR="00D90BB8">
        <w:rPr>
          <w:rFonts w:eastAsia="SimSun"/>
          <w:b w:val="0"/>
          <w:bCs w:val="0"/>
          <w:color w:val="auto"/>
          <w:sz w:val="24"/>
          <w:szCs w:val="24"/>
          <w:lang w:eastAsia="zh-CN"/>
        </w:rPr>
        <w:t>five</w:t>
      </w:r>
      <w:r w:rsidR="00BC3B58" w:rsidRPr="00BC3B58">
        <w:rPr>
          <w:rFonts w:eastAsia="SimSun"/>
          <w:b w:val="0"/>
          <w:bCs w:val="0"/>
          <w:color w:val="auto"/>
          <w:sz w:val="24"/>
          <w:szCs w:val="24"/>
          <w:lang w:eastAsia="zh-CN"/>
        </w:rPr>
        <w:t xml:space="preserve"> who were newly initiated on treatment and 19 who had previously received</w:t>
      </w:r>
      <w:r w:rsidR="00561C38" w:rsidRPr="00BC3B58">
        <w:rPr>
          <w:rFonts w:eastAsia="SimSun"/>
          <w:b w:val="0"/>
          <w:bCs w:val="0"/>
          <w:color w:val="auto"/>
          <w:sz w:val="24"/>
          <w:szCs w:val="24"/>
          <w:lang w:eastAsia="zh-CN"/>
        </w:rPr>
        <w:t xml:space="preserve"> infliximab. Adalimumab</w:t>
      </w:r>
      <w:r w:rsidRPr="00BC3B58">
        <w:rPr>
          <w:rFonts w:eastAsia="SimSun"/>
          <w:b w:val="0"/>
          <w:bCs w:val="0"/>
          <w:color w:val="auto"/>
          <w:sz w:val="24"/>
          <w:szCs w:val="24"/>
          <w:lang w:eastAsia="zh-CN"/>
        </w:rPr>
        <w:t xml:space="preserve"> therapy was used in 11.1% (n =</w:t>
      </w:r>
      <w:r w:rsidR="00561C38" w:rsidRPr="00BC3B58">
        <w:rPr>
          <w:rFonts w:eastAsia="SimSun"/>
          <w:b w:val="0"/>
          <w:bCs w:val="0"/>
          <w:color w:val="auto"/>
          <w:sz w:val="24"/>
          <w:szCs w:val="24"/>
          <w:lang w:eastAsia="zh-CN"/>
        </w:rPr>
        <w:t>5) of patients. Ustekinumab thera</w:t>
      </w:r>
      <w:r w:rsidRPr="00BC3B58">
        <w:rPr>
          <w:rFonts w:eastAsia="SimSun"/>
          <w:b w:val="0"/>
          <w:bCs w:val="0"/>
          <w:color w:val="auto"/>
          <w:sz w:val="24"/>
          <w:szCs w:val="24"/>
          <w:lang w:eastAsia="zh-CN"/>
        </w:rPr>
        <w:t>py was prescribed for 2.2% (n =</w:t>
      </w:r>
      <w:r w:rsidR="00561C38" w:rsidRPr="00BC3B58">
        <w:rPr>
          <w:rFonts w:eastAsia="SimSun"/>
          <w:b w:val="0"/>
          <w:bCs w:val="0"/>
          <w:color w:val="auto"/>
          <w:sz w:val="24"/>
          <w:szCs w:val="24"/>
          <w:lang w:eastAsia="zh-CN"/>
        </w:rPr>
        <w:t xml:space="preserve">1) of patients. Conventional </w:t>
      </w:r>
      <w:r w:rsidR="00BC3B58" w:rsidRPr="00BC3B58">
        <w:rPr>
          <w:rFonts w:eastAsia="SimSun"/>
          <w:b w:val="0"/>
          <w:bCs w:val="0"/>
          <w:color w:val="auto"/>
          <w:sz w:val="24"/>
          <w:szCs w:val="24"/>
          <w:lang w:eastAsia="zh-CN"/>
        </w:rPr>
        <w:t>treatment</w:t>
      </w:r>
      <w:r w:rsidR="00561C38" w:rsidRPr="00BC3B58">
        <w:rPr>
          <w:rFonts w:eastAsia="SimSun"/>
          <w:b w:val="0"/>
          <w:bCs w:val="0"/>
          <w:color w:val="auto"/>
          <w:sz w:val="24"/>
          <w:szCs w:val="24"/>
          <w:lang w:eastAsia="zh-CN"/>
        </w:rPr>
        <w:t xml:space="preserve"> (immunomodulators and corticos</w:t>
      </w:r>
      <w:r w:rsidRPr="00BC3B58">
        <w:rPr>
          <w:rFonts w:eastAsia="SimSun"/>
          <w:b w:val="0"/>
          <w:bCs w:val="0"/>
          <w:color w:val="auto"/>
          <w:sz w:val="24"/>
          <w:szCs w:val="24"/>
          <w:lang w:eastAsia="zh-CN"/>
        </w:rPr>
        <w:t xml:space="preserve">teroids) was </w:t>
      </w:r>
      <w:r w:rsidR="00BC3B58" w:rsidRPr="00BC3B58">
        <w:rPr>
          <w:rFonts w:eastAsia="SimSun"/>
          <w:b w:val="0"/>
          <w:bCs w:val="0"/>
          <w:color w:val="auto"/>
          <w:sz w:val="24"/>
          <w:szCs w:val="24"/>
          <w:lang w:eastAsia="zh-CN"/>
        </w:rPr>
        <w:t xml:space="preserve">administered to 2.2% (n = </w:t>
      </w:r>
      <w:r w:rsidR="00561C38" w:rsidRPr="00BC3B58">
        <w:rPr>
          <w:rFonts w:eastAsia="SimSun"/>
          <w:b w:val="0"/>
          <w:bCs w:val="0"/>
          <w:color w:val="auto"/>
          <w:sz w:val="24"/>
          <w:szCs w:val="24"/>
          <w:lang w:eastAsia="zh-CN"/>
        </w:rPr>
        <w:t>1)</w:t>
      </w:r>
      <w:r w:rsidR="00917393" w:rsidRPr="00BC3B58">
        <w:rPr>
          <w:rFonts w:eastAsia="SimSun"/>
          <w:b w:val="0"/>
          <w:bCs w:val="0"/>
          <w:color w:val="auto"/>
          <w:sz w:val="24"/>
          <w:szCs w:val="24"/>
          <w:lang w:eastAsia="zh-CN"/>
        </w:rPr>
        <w:t xml:space="preserve"> of patients who were bio-naïve</w:t>
      </w:r>
      <w:r w:rsidR="00561C38" w:rsidRPr="00BC3B58">
        <w:rPr>
          <w:rFonts w:eastAsia="SimSun"/>
          <w:b w:val="0"/>
          <w:bCs w:val="0"/>
          <w:color w:val="auto"/>
          <w:sz w:val="24"/>
          <w:szCs w:val="24"/>
          <w:lang w:eastAsia="zh-CN"/>
        </w:rPr>
        <w:t xml:space="preserve">. </w:t>
      </w:r>
      <w:r w:rsidR="00561C38" w:rsidRPr="00E7572F">
        <w:rPr>
          <w:rFonts w:eastAsia="SimSun"/>
          <w:b w:val="0"/>
          <w:bCs w:val="0"/>
          <w:color w:val="auto"/>
          <w:sz w:val="24"/>
          <w:szCs w:val="24"/>
          <w:lang w:eastAsia="zh-CN"/>
        </w:rPr>
        <w:t xml:space="preserve">According to the Montreal classification, concerning the age of disease onset, there were 5 cases classified as A1, 36 cases as A2, and 4 cases as A3. </w:t>
      </w:r>
      <w:r w:rsidR="00BC3B58">
        <w:rPr>
          <w:rFonts w:eastAsia="SimSun"/>
          <w:b w:val="0"/>
          <w:bCs w:val="0"/>
          <w:color w:val="auto"/>
          <w:sz w:val="24"/>
          <w:szCs w:val="24"/>
          <w:lang w:eastAsia="zh-CN"/>
        </w:rPr>
        <w:t>About</w:t>
      </w:r>
      <w:r w:rsidR="00561C38" w:rsidRPr="00E7572F">
        <w:rPr>
          <w:rFonts w:eastAsia="SimSun"/>
          <w:b w:val="0"/>
          <w:bCs w:val="0"/>
          <w:color w:val="auto"/>
          <w:sz w:val="24"/>
          <w:szCs w:val="24"/>
          <w:lang w:eastAsia="zh-CN"/>
        </w:rPr>
        <w:t xml:space="preserve"> the location of lesions, there were 6 cases with L1, 7 cases with L2 (4 of which had anorectal lesions), and 32 cases with L3 (4 of which also had anorectal lesions). Regarding the behavior, all cases in this group were classified as B3, with two exhibiting </w:t>
      </w:r>
      <w:proofErr w:type="spellStart"/>
      <w:r w:rsidR="00561C38" w:rsidRPr="00E7572F">
        <w:rPr>
          <w:rFonts w:eastAsia="SimSun"/>
          <w:b w:val="0"/>
          <w:bCs w:val="0"/>
          <w:color w:val="auto"/>
          <w:sz w:val="24"/>
          <w:szCs w:val="24"/>
          <w:lang w:eastAsia="zh-CN"/>
        </w:rPr>
        <w:t>stricturing</w:t>
      </w:r>
      <w:proofErr w:type="spellEnd"/>
      <w:r w:rsidR="00561C38" w:rsidRPr="00E7572F">
        <w:rPr>
          <w:rFonts w:eastAsia="SimSun"/>
          <w:b w:val="0"/>
          <w:bCs w:val="0"/>
          <w:color w:val="auto"/>
          <w:sz w:val="24"/>
          <w:szCs w:val="24"/>
          <w:lang w:eastAsia="zh-CN"/>
        </w:rPr>
        <w:t xml:space="preserve"> lesions. </w:t>
      </w:r>
    </w:p>
    <w:p w14:paraId="40FEDC6B" w14:textId="47CB18DF" w:rsidR="00D25AD0" w:rsidRPr="00E7572F" w:rsidRDefault="00280B3D" w:rsidP="00761A41">
      <w:pPr>
        <w:pStyle w:val="Heading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Regarding the non-fistula </w:t>
      </w:r>
      <w:r w:rsidR="004E5645" w:rsidRPr="00E7572F">
        <w:rPr>
          <w:rFonts w:eastAsia="SimSun"/>
          <w:b w:val="0"/>
          <w:bCs w:val="0"/>
          <w:color w:val="auto"/>
          <w:sz w:val="24"/>
          <w:szCs w:val="24"/>
          <w:lang w:eastAsia="zh-CN"/>
        </w:rPr>
        <w:t>group (</w:t>
      </w:r>
      <w:r w:rsidRPr="00E7572F">
        <w:rPr>
          <w:rFonts w:eastAsia="SimSun"/>
          <w:b w:val="0"/>
          <w:bCs w:val="0"/>
          <w:color w:val="auto"/>
          <w:sz w:val="24"/>
          <w:szCs w:val="24"/>
          <w:lang w:eastAsia="zh-CN"/>
        </w:rPr>
        <w:t>n</w:t>
      </w:r>
      <w:r w:rsidR="00AE2BBD">
        <w:rPr>
          <w:rFonts w:eastAsia="SimSun"/>
          <w:b w:val="0"/>
          <w:bCs w:val="0"/>
          <w:color w:val="auto"/>
          <w:sz w:val="24"/>
          <w:szCs w:val="24"/>
          <w:lang w:eastAsia="zh-CN"/>
        </w:rPr>
        <w:t xml:space="preserve"> </w:t>
      </w:r>
      <w:r w:rsidRPr="00E7572F">
        <w:rPr>
          <w:rFonts w:eastAsia="SimSun"/>
          <w:b w:val="0"/>
          <w:bCs w:val="0"/>
          <w:color w:val="auto"/>
          <w:sz w:val="24"/>
          <w:szCs w:val="24"/>
          <w:lang w:eastAsia="zh-CN"/>
        </w:rPr>
        <w:t>=</w:t>
      </w:r>
      <w:r w:rsidR="00BC3B58">
        <w:rPr>
          <w:rFonts w:eastAsia="SimSun"/>
          <w:b w:val="0"/>
          <w:bCs w:val="0"/>
          <w:color w:val="auto"/>
          <w:sz w:val="24"/>
          <w:szCs w:val="24"/>
          <w:lang w:eastAsia="zh-CN"/>
        </w:rPr>
        <w:t xml:space="preserve"> 45), the management strategy is presented as follows: 31.1% of patients (n = 14) received infliximab, comprising two who were newly starting therapy and 12 who were </w:t>
      </w:r>
      <w:r w:rsidRPr="00BC3B58">
        <w:rPr>
          <w:rFonts w:eastAsia="SimSun"/>
          <w:b w:val="0"/>
          <w:bCs w:val="0"/>
          <w:color w:val="auto"/>
          <w:sz w:val="24"/>
          <w:szCs w:val="24"/>
          <w:lang w:eastAsia="zh-CN"/>
        </w:rPr>
        <w:t xml:space="preserve">already undergoing treatment. </w:t>
      </w:r>
      <w:r w:rsidR="00BC3B58">
        <w:rPr>
          <w:rFonts w:eastAsia="SimSun"/>
          <w:b w:val="0"/>
          <w:bCs w:val="0"/>
          <w:color w:val="auto"/>
          <w:sz w:val="24"/>
          <w:szCs w:val="24"/>
          <w:lang w:eastAsia="zh-CN"/>
        </w:rPr>
        <w:t xml:space="preserve">Twenty % of patients (n = 9) were administered adalimumab, comprising one patient who was newly starting </w:t>
      </w:r>
      <w:r w:rsidRPr="00BC3B58">
        <w:rPr>
          <w:rFonts w:eastAsia="SimSun"/>
          <w:b w:val="0"/>
          <w:bCs w:val="0"/>
          <w:color w:val="auto"/>
          <w:sz w:val="24"/>
          <w:szCs w:val="24"/>
          <w:lang w:eastAsia="zh-CN"/>
        </w:rPr>
        <w:t xml:space="preserve">therapy and </w:t>
      </w:r>
      <w:r w:rsidR="00D90BB8">
        <w:rPr>
          <w:rFonts w:eastAsia="SimSun"/>
          <w:b w:val="0"/>
          <w:bCs w:val="0"/>
          <w:color w:val="auto"/>
          <w:sz w:val="24"/>
          <w:szCs w:val="24"/>
          <w:lang w:eastAsia="zh-CN"/>
        </w:rPr>
        <w:t>eight</w:t>
      </w:r>
      <w:r w:rsidRPr="00BC3B58">
        <w:rPr>
          <w:rFonts w:eastAsia="SimSun"/>
          <w:b w:val="0"/>
          <w:bCs w:val="0"/>
          <w:color w:val="auto"/>
          <w:sz w:val="24"/>
          <w:szCs w:val="24"/>
          <w:lang w:eastAsia="zh-CN"/>
        </w:rPr>
        <w:t xml:space="preserve"> patients who were already on biological </w:t>
      </w:r>
      <w:r w:rsidR="00BC3B58">
        <w:rPr>
          <w:rFonts w:eastAsia="SimSun"/>
          <w:b w:val="0"/>
          <w:bCs w:val="0"/>
          <w:color w:val="auto"/>
          <w:sz w:val="24"/>
          <w:szCs w:val="24"/>
          <w:lang w:eastAsia="zh-CN"/>
        </w:rPr>
        <w:t>treatment</w:t>
      </w:r>
      <w:r w:rsidRPr="00BC3B58">
        <w:rPr>
          <w:rFonts w:eastAsia="SimSun"/>
          <w:b w:val="0"/>
          <w:bCs w:val="0"/>
          <w:color w:val="auto"/>
          <w:sz w:val="24"/>
          <w:szCs w:val="24"/>
          <w:lang w:eastAsia="zh-CN"/>
        </w:rPr>
        <w:t>. 13.33% of patients (n</w:t>
      </w:r>
      <w:r w:rsidR="00AE2BBD" w:rsidRPr="00BC3B58">
        <w:rPr>
          <w:rFonts w:eastAsia="SimSun"/>
          <w:b w:val="0"/>
          <w:bCs w:val="0"/>
          <w:color w:val="auto"/>
          <w:sz w:val="24"/>
          <w:szCs w:val="24"/>
          <w:lang w:eastAsia="zh-CN"/>
        </w:rPr>
        <w:t xml:space="preserve"> </w:t>
      </w:r>
      <w:r w:rsidRPr="00BC3B58">
        <w:rPr>
          <w:rFonts w:eastAsia="SimSun"/>
          <w:b w:val="0"/>
          <w:bCs w:val="0"/>
          <w:color w:val="auto"/>
          <w:sz w:val="24"/>
          <w:szCs w:val="24"/>
          <w:lang w:eastAsia="zh-CN"/>
        </w:rPr>
        <w:t>=</w:t>
      </w:r>
      <w:r w:rsidR="00BC3B58">
        <w:rPr>
          <w:rFonts w:eastAsia="SimSun"/>
          <w:b w:val="0"/>
          <w:bCs w:val="0"/>
          <w:color w:val="auto"/>
          <w:sz w:val="24"/>
          <w:szCs w:val="24"/>
          <w:lang w:eastAsia="zh-CN"/>
        </w:rPr>
        <w:t xml:space="preserve"> 6) were given </w:t>
      </w:r>
      <w:proofErr w:type="spellStart"/>
      <w:r w:rsidR="00BC3B58">
        <w:rPr>
          <w:rFonts w:eastAsia="SimSun"/>
          <w:b w:val="0"/>
          <w:bCs w:val="0"/>
          <w:color w:val="auto"/>
          <w:sz w:val="24"/>
          <w:szCs w:val="24"/>
          <w:lang w:eastAsia="zh-CN"/>
        </w:rPr>
        <w:t>ustekinumab</w:t>
      </w:r>
      <w:proofErr w:type="spellEnd"/>
      <w:r w:rsidR="00BC3B58">
        <w:rPr>
          <w:rFonts w:eastAsia="SimSun"/>
          <w:b w:val="0"/>
          <w:bCs w:val="0"/>
          <w:color w:val="auto"/>
          <w:sz w:val="24"/>
          <w:szCs w:val="24"/>
          <w:lang w:eastAsia="zh-CN"/>
        </w:rPr>
        <w:t xml:space="preserve"> (all of whom were already on biological therapy), and 35.55% of patients (n = </w:t>
      </w:r>
      <w:r w:rsidRPr="00BC3B58">
        <w:rPr>
          <w:rFonts w:eastAsia="SimSun"/>
          <w:b w:val="0"/>
          <w:bCs w:val="0"/>
          <w:color w:val="auto"/>
          <w:sz w:val="24"/>
          <w:szCs w:val="24"/>
          <w:lang w:eastAsia="zh-CN"/>
        </w:rPr>
        <w:t xml:space="preserve">16) received conventional </w:t>
      </w:r>
      <w:r w:rsidR="00BC3B58">
        <w:rPr>
          <w:rFonts w:eastAsia="SimSun"/>
          <w:b w:val="0"/>
          <w:bCs w:val="0"/>
          <w:color w:val="auto"/>
          <w:sz w:val="24"/>
          <w:szCs w:val="24"/>
          <w:lang w:eastAsia="zh-CN"/>
        </w:rPr>
        <w:t>treatment</w:t>
      </w:r>
      <w:r w:rsidRPr="00BC3B58">
        <w:rPr>
          <w:rFonts w:eastAsia="SimSun"/>
          <w:b w:val="0"/>
          <w:bCs w:val="0"/>
          <w:color w:val="auto"/>
          <w:sz w:val="24"/>
          <w:szCs w:val="24"/>
          <w:lang w:eastAsia="zh-CN"/>
        </w:rPr>
        <w:t xml:space="preserve"> (bio-naïve).</w:t>
      </w:r>
      <w:r w:rsidRPr="004810E1">
        <w:rPr>
          <w:rFonts w:eastAsia="SimSun"/>
          <w:b w:val="0"/>
          <w:bCs w:val="0"/>
          <w:color w:val="FF0000"/>
          <w:sz w:val="24"/>
          <w:szCs w:val="24"/>
          <w:lang w:eastAsia="zh-CN"/>
        </w:rPr>
        <w:t xml:space="preserve"> </w:t>
      </w:r>
      <w:r w:rsidRPr="00E7572F">
        <w:rPr>
          <w:rFonts w:eastAsia="SimSun"/>
          <w:b w:val="0"/>
          <w:bCs w:val="0"/>
          <w:color w:val="auto"/>
          <w:sz w:val="24"/>
          <w:szCs w:val="24"/>
          <w:lang w:eastAsia="zh-CN"/>
        </w:rPr>
        <w:t xml:space="preserve">According to the Montreal classification, based on the age of disease onset, 8 cases were classified as A1, 33 as A2, and </w:t>
      </w:r>
      <w:r w:rsidR="00BC3B58">
        <w:rPr>
          <w:rFonts w:eastAsia="SimSun"/>
          <w:b w:val="0"/>
          <w:bCs w:val="0"/>
          <w:color w:val="auto"/>
          <w:sz w:val="24"/>
          <w:szCs w:val="24"/>
          <w:lang w:eastAsia="zh-CN"/>
        </w:rPr>
        <w:t>four</w:t>
      </w:r>
      <w:r w:rsidRPr="00E7572F">
        <w:rPr>
          <w:rFonts w:eastAsia="SimSun"/>
          <w:b w:val="0"/>
          <w:bCs w:val="0"/>
          <w:color w:val="auto"/>
          <w:sz w:val="24"/>
          <w:szCs w:val="24"/>
          <w:lang w:eastAsia="zh-CN"/>
        </w:rPr>
        <w:t xml:space="preserve"> as A3. Concerning lesion distribution, 9 cases were categorized as L1, </w:t>
      </w:r>
      <w:r w:rsidR="00BC3B58">
        <w:rPr>
          <w:rFonts w:eastAsia="SimSun"/>
          <w:b w:val="0"/>
          <w:bCs w:val="0"/>
          <w:color w:val="auto"/>
          <w:sz w:val="24"/>
          <w:szCs w:val="24"/>
          <w:lang w:eastAsia="zh-CN"/>
        </w:rPr>
        <w:t>six</w:t>
      </w:r>
      <w:r w:rsidRPr="00E7572F">
        <w:rPr>
          <w:rFonts w:eastAsia="SimSun"/>
          <w:b w:val="0"/>
          <w:bCs w:val="0"/>
          <w:color w:val="auto"/>
          <w:sz w:val="24"/>
          <w:szCs w:val="24"/>
          <w:lang w:eastAsia="zh-CN"/>
        </w:rPr>
        <w:t xml:space="preserve"> as L2 (including one with anorectal involvement), and 30 as L3 (with 7 cases exhibiting anorectal involvement). Regarding disease behavior, 41 cases were classified as B1, while </w:t>
      </w:r>
      <w:r w:rsidR="00BC3B58">
        <w:rPr>
          <w:rFonts w:eastAsia="SimSun"/>
          <w:b w:val="0"/>
          <w:bCs w:val="0"/>
          <w:color w:val="auto"/>
          <w:sz w:val="24"/>
          <w:szCs w:val="24"/>
          <w:lang w:eastAsia="zh-CN"/>
        </w:rPr>
        <w:t>four</w:t>
      </w:r>
      <w:r w:rsidRPr="00E7572F">
        <w:rPr>
          <w:rFonts w:eastAsia="SimSun"/>
          <w:b w:val="0"/>
          <w:bCs w:val="0"/>
          <w:color w:val="auto"/>
          <w:sz w:val="24"/>
          <w:szCs w:val="24"/>
          <w:lang w:eastAsia="zh-CN"/>
        </w:rPr>
        <w:t xml:space="preserve"> were categorized as B2; one of them presented with </w:t>
      </w:r>
      <w:proofErr w:type="spellStart"/>
      <w:r w:rsidRPr="00E7572F">
        <w:rPr>
          <w:rFonts w:eastAsia="SimSun"/>
          <w:b w:val="0"/>
          <w:bCs w:val="0"/>
          <w:color w:val="auto"/>
          <w:sz w:val="24"/>
          <w:szCs w:val="24"/>
          <w:lang w:eastAsia="zh-CN"/>
        </w:rPr>
        <w:t>stricturing</w:t>
      </w:r>
      <w:proofErr w:type="spellEnd"/>
      <w:r w:rsidRPr="00E7572F">
        <w:rPr>
          <w:rFonts w:eastAsia="SimSun"/>
          <w:b w:val="0"/>
          <w:bCs w:val="0"/>
          <w:color w:val="auto"/>
          <w:sz w:val="24"/>
          <w:szCs w:val="24"/>
          <w:lang w:eastAsia="zh-CN"/>
        </w:rPr>
        <w:t xml:space="preserve"> lesions.</w:t>
      </w:r>
    </w:p>
    <w:p w14:paraId="7A0CF451" w14:textId="6AD934DB" w:rsidR="00E91614" w:rsidRPr="00E91614" w:rsidRDefault="00E91614" w:rsidP="00761A41">
      <w:pPr>
        <w:pStyle w:val="Caption"/>
        <w:jc w:val="left"/>
        <w:rPr>
          <w:lang w:val="en-US"/>
        </w:rPr>
      </w:pPr>
      <w:r w:rsidRPr="00E91614">
        <w:rPr>
          <w:b w:val="0"/>
          <w:bCs w:val="0"/>
          <w:sz w:val="20"/>
          <w:szCs w:val="20"/>
        </w:rPr>
        <w:t xml:space="preserve">Table </w:t>
      </w:r>
      <w:r w:rsidRPr="00E91614">
        <w:rPr>
          <w:b w:val="0"/>
          <w:bCs w:val="0"/>
          <w:sz w:val="20"/>
          <w:szCs w:val="20"/>
        </w:rPr>
        <w:fldChar w:fldCharType="begin"/>
      </w:r>
      <w:r w:rsidRPr="00E91614">
        <w:rPr>
          <w:b w:val="0"/>
          <w:bCs w:val="0"/>
          <w:sz w:val="20"/>
          <w:szCs w:val="20"/>
        </w:rPr>
        <w:instrText xml:space="preserve"> SEQ Table \* ARABIC </w:instrText>
      </w:r>
      <w:r w:rsidRPr="00E91614">
        <w:rPr>
          <w:b w:val="0"/>
          <w:bCs w:val="0"/>
          <w:sz w:val="20"/>
          <w:szCs w:val="20"/>
        </w:rPr>
        <w:fldChar w:fldCharType="separate"/>
      </w:r>
      <w:r w:rsidR="00042FA0">
        <w:rPr>
          <w:b w:val="0"/>
          <w:bCs w:val="0"/>
          <w:noProof/>
          <w:sz w:val="20"/>
          <w:szCs w:val="20"/>
        </w:rPr>
        <w:t>1</w:t>
      </w:r>
      <w:r w:rsidRPr="00E91614">
        <w:rPr>
          <w:b w:val="0"/>
          <w:bCs w:val="0"/>
          <w:sz w:val="20"/>
          <w:szCs w:val="20"/>
        </w:rPr>
        <w:fldChar w:fldCharType="end"/>
      </w:r>
      <w:r w:rsidRPr="00E91614">
        <w:rPr>
          <w:b w:val="0"/>
          <w:bCs w:val="0"/>
          <w:sz w:val="20"/>
          <w:szCs w:val="20"/>
        </w:rPr>
        <w:t xml:space="preserve">. </w:t>
      </w:r>
      <w:r w:rsidRPr="00E91614">
        <w:rPr>
          <w:b w:val="0"/>
          <w:bCs w:val="0"/>
          <w:sz w:val="20"/>
          <w:szCs w:val="20"/>
          <w:lang w:val="en-US"/>
        </w:rPr>
        <w:t>Sociodemographic characteristics, comorbidities among the study groups, and Logistic regression for independent risk factors of fistulizing Crohn’s disease</w:t>
      </w:r>
      <w:r>
        <w:rPr>
          <w:b w:val="0"/>
          <w:bCs w:val="0"/>
          <w:sz w:val="20"/>
          <w:szCs w:val="20"/>
          <w:lang w:val="en-US"/>
        </w:rPr>
        <w:t>.</w:t>
      </w:r>
    </w:p>
    <w:tbl>
      <w:tblPr>
        <w:tblW w:w="5050" w:type="pct"/>
        <w:tblLook w:val="04A0" w:firstRow="1" w:lastRow="0" w:firstColumn="1" w:lastColumn="0" w:noHBand="0" w:noVBand="1"/>
        <w:tblCaption w:val="Table (1): Sociodemographic characteristics, comorbidities among the study groups, and Logistic regression for independent risk factors of fistulizing Crohn’s disease:"/>
        <w:tblDescription w:val="Data are presented as n (%) unless mentioned otherwise. NA: Not ^Independent t-test. # Chi-square test. §Fisher’s Exact test. *Significant. β: Regression coefficient. SE: Standard error. CI: confidence interval. "/>
      </w:tblPr>
      <w:tblGrid>
        <w:gridCol w:w="1952"/>
        <w:gridCol w:w="1398"/>
        <w:gridCol w:w="1170"/>
        <w:gridCol w:w="1071"/>
        <w:gridCol w:w="802"/>
        <w:gridCol w:w="1071"/>
        <w:gridCol w:w="852"/>
        <w:gridCol w:w="801"/>
      </w:tblGrid>
      <w:tr w:rsidR="00E91614" w:rsidRPr="00B7479A" w14:paraId="3152262D" w14:textId="77777777" w:rsidTr="00E91614">
        <w:tc>
          <w:tcPr>
            <w:tcW w:w="2480" w:type="pct"/>
            <w:gridSpan w:val="3"/>
            <w:tcBorders>
              <w:top w:val="single" w:sz="4" w:space="0" w:color="auto"/>
              <w:bottom w:val="single" w:sz="4" w:space="0" w:color="auto"/>
            </w:tcBorders>
            <w:noWrap/>
            <w:vAlign w:val="center"/>
            <w:hideMark/>
          </w:tcPr>
          <w:p w14:paraId="7439A6D0" w14:textId="25BC61EA"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Variables</w:t>
            </w:r>
          </w:p>
        </w:tc>
        <w:tc>
          <w:tcPr>
            <w:tcW w:w="1027" w:type="pct"/>
            <w:gridSpan w:val="2"/>
            <w:tcBorders>
              <w:top w:val="single" w:sz="4" w:space="0" w:color="auto"/>
              <w:bottom w:val="single" w:sz="4" w:space="0" w:color="auto"/>
            </w:tcBorders>
            <w:noWrap/>
            <w:vAlign w:val="center"/>
            <w:hideMark/>
          </w:tcPr>
          <w:p w14:paraId="62C165E8" w14:textId="77777777" w:rsidR="00E91614" w:rsidRPr="00B7479A" w:rsidRDefault="00E91614" w:rsidP="00761A41">
            <w:pPr>
              <w:bidi w:val="0"/>
              <w:spacing w:before="80" w:after="80"/>
              <w:rPr>
                <w:color w:val="000000" w:themeColor="text1"/>
                <w:sz w:val="18"/>
                <w:szCs w:val="18"/>
                <w:lang w:bidi="ar-EG"/>
              </w:rPr>
            </w:pPr>
            <w:r w:rsidRPr="00B7479A">
              <w:rPr>
                <w:color w:val="000000" w:themeColor="text1"/>
                <w:sz w:val="18"/>
                <w:szCs w:val="18"/>
                <w:lang w:bidi="ar-EG"/>
              </w:rPr>
              <w:t>Fistula</w:t>
            </w:r>
          </w:p>
          <w:p w14:paraId="306F684C"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 xml:space="preserve">group </w:t>
            </w:r>
          </w:p>
          <w:p w14:paraId="3D00FE7B"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 xml:space="preserve"> (Total=45)</w:t>
            </w:r>
          </w:p>
        </w:tc>
        <w:tc>
          <w:tcPr>
            <w:tcW w:w="1054" w:type="pct"/>
            <w:gridSpan w:val="2"/>
            <w:tcBorders>
              <w:top w:val="single" w:sz="4" w:space="0" w:color="auto"/>
              <w:bottom w:val="single" w:sz="4" w:space="0" w:color="auto"/>
            </w:tcBorders>
            <w:noWrap/>
            <w:vAlign w:val="center"/>
            <w:hideMark/>
          </w:tcPr>
          <w:p w14:paraId="6A2F8A79" w14:textId="77777777" w:rsidR="00E91614" w:rsidRPr="00B7479A" w:rsidRDefault="00E91614" w:rsidP="00761A41">
            <w:pPr>
              <w:bidi w:val="0"/>
              <w:spacing w:before="80" w:after="80"/>
              <w:rPr>
                <w:color w:val="000000" w:themeColor="text1"/>
                <w:sz w:val="18"/>
                <w:szCs w:val="18"/>
                <w:lang w:bidi="ar-EG"/>
              </w:rPr>
            </w:pPr>
            <w:r w:rsidRPr="00B7479A">
              <w:rPr>
                <w:color w:val="000000" w:themeColor="text1"/>
                <w:sz w:val="18"/>
                <w:szCs w:val="18"/>
                <w:lang w:bidi="ar-EG"/>
              </w:rPr>
              <w:t>Non-Fistula</w:t>
            </w:r>
          </w:p>
          <w:p w14:paraId="3CE04356"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group</w:t>
            </w:r>
          </w:p>
          <w:p w14:paraId="02840BFE"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 xml:space="preserve"> (Total=45)</w:t>
            </w:r>
          </w:p>
        </w:tc>
        <w:tc>
          <w:tcPr>
            <w:tcW w:w="439" w:type="pct"/>
            <w:tcBorders>
              <w:top w:val="single" w:sz="4" w:space="0" w:color="auto"/>
              <w:bottom w:val="single" w:sz="4" w:space="0" w:color="auto"/>
            </w:tcBorders>
            <w:noWrap/>
            <w:vAlign w:val="center"/>
            <w:hideMark/>
          </w:tcPr>
          <w:p w14:paraId="1ECCC945"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p-value</w:t>
            </w:r>
          </w:p>
        </w:tc>
      </w:tr>
      <w:tr w:rsidR="00761A41" w:rsidRPr="00B7479A" w14:paraId="675AA6E0" w14:textId="77777777" w:rsidTr="00E91614">
        <w:tc>
          <w:tcPr>
            <w:tcW w:w="1838" w:type="pct"/>
            <w:gridSpan w:val="2"/>
            <w:vMerge w:val="restart"/>
            <w:tcBorders>
              <w:top w:val="single" w:sz="4" w:space="0" w:color="auto"/>
            </w:tcBorders>
            <w:noWrap/>
            <w:vAlign w:val="center"/>
            <w:hideMark/>
          </w:tcPr>
          <w:p w14:paraId="0EF4C34B" w14:textId="506772CD" w:rsidR="00E91614" w:rsidRPr="00B7479A" w:rsidRDefault="00E91614" w:rsidP="00E27EC1">
            <w:pPr>
              <w:bidi w:val="0"/>
              <w:spacing w:before="60" w:after="60"/>
              <w:rPr>
                <w:color w:val="000000" w:themeColor="text1"/>
                <w:sz w:val="18"/>
                <w:szCs w:val="18"/>
                <w:lang w:bidi="ar-EG"/>
              </w:rPr>
            </w:pPr>
            <w:r w:rsidRPr="00B7479A">
              <w:rPr>
                <w:color w:val="000000" w:themeColor="text1"/>
                <w:sz w:val="18"/>
                <w:szCs w:val="18"/>
                <w:lang w:bidi="ar-EG"/>
              </w:rPr>
              <w:t>Age</w:t>
            </w:r>
            <w:r w:rsidR="00E27EC1" w:rsidRPr="00B7479A">
              <w:rPr>
                <w:color w:val="000000" w:themeColor="text1"/>
                <w:sz w:val="18"/>
                <w:szCs w:val="18"/>
                <w:lang w:bidi="ar-EG"/>
              </w:rPr>
              <w:t xml:space="preserve"> </w:t>
            </w:r>
            <w:r w:rsidRPr="00B7479A">
              <w:rPr>
                <w:color w:val="000000" w:themeColor="text1"/>
                <w:sz w:val="18"/>
                <w:szCs w:val="18"/>
                <w:lang w:bidi="ar-EG"/>
              </w:rPr>
              <w:t>(years)</w:t>
            </w:r>
          </w:p>
        </w:tc>
        <w:tc>
          <w:tcPr>
            <w:tcW w:w="642" w:type="pct"/>
            <w:tcBorders>
              <w:top w:val="single" w:sz="4" w:space="0" w:color="auto"/>
            </w:tcBorders>
            <w:noWrap/>
            <w:vAlign w:val="center"/>
            <w:hideMark/>
          </w:tcPr>
          <w:p w14:paraId="5EF4BAFC" w14:textId="77777777" w:rsidR="00E91614" w:rsidRPr="00B7479A" w:rsidRDefault="00E91614" w:rsidP="00761A41">
            <w:pPr>
              <w:bidi w:val="0"/>
              <w:spacing w:before="60" w:after="60"/>
              <w:rPr>
                <w:color w:val="000000" w:themeColor="text1"/>
                <w:sz w:val="18"/>
                <w:szCs w:val="18"/>
                <w:lang w:bidi="ar-EG"/>
              </w:rPr>
            </w:pPr>
            <w:proofErr w:type="spellStart"/>
            <w:r w:rsidRPr="00B7479A">
              <w:rPr>
                <w:color w:val="000000" w:themeColor="text1"/>
                <w:sz w:val="18"/>
                <w:szCs w:val="18"/>
                <w:lang w:bidi="ar-EG"/>
              </w:rPr>
              <w:t>Mean±SD</w:t>
            </w:r>
            <w:proofErr w:type="spellEnd"/>
          </w:p>
        </w:tc>
        <w:tc>
          <w:tcPr>
            <w:tcW w:w="1027" w:type="pct"/>
            <w:gridSpan w:val="2"/>
            <w:tcBorders>
              <w:top w:val="single" w:sz="4" w:space="0" w:color="auto"/>
            </w:tcBorders>
            <w:noWrap/>
            <w:vAlign w:val="center"/>
            <w:hideMark/>
          </w:tcPr>
          <w:p w14:paraId="6DB62BDD"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33.9±11.8</w:t>
            </w:r>
          </w:p>
        </w:tc>
        <w:tc>
          <w:tcPr>
            <w:tcW w:w="1054" w:type="pct"/>
            <w:gridSpan w:val="2"/>
            <w:tcBorders>
              <w:top w:val="single" w:sz="4" w:space="0" w:color="auto"/>
            </w:tcBorders>
            <w:noWrap/>
            <w:vAlign w:val="center"/>
            <w:hideMark/>
          </w:tcPr>
          <w:p w14:paraId="00BDA0B8"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33.5±13.1</w:t>
            </w:r>
          </w:p>
        </w:tc>
        <w:tc>
          <w:tcPr>
            <w:tcW w:w="439" w:type="pct"/>
            <w:vMerge w:val="restart"/>
            <w:tcBorders>
              <w:top w:val="single" w:sz="4" w:space="0" w:color="auto"/>
            </w:tcBorders>
            <w:noWrap/>
            <w:vAlign w:val="center"/>
            <w:hideMark/>
          </w:tcPr>
          <w:p w14:paraId="05CB67D2"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^0.893</w:t>
            </w:r>
          </w:p>
        </w:tc>
      </w:tr>
      <w:tr w:rsidR="00E91614" w:rsidRPr="00B7479A" w14:paraId="47495FDB" w14:textId="77777777" w:rsidTr="00E91614">
        <w:tc>
          <w:tcPr>
            <w:tcW w:w="0" w:type="auto"/>
            <w:gridSpan w:val="2"/>
            <w:vMerge/>
            <w:vAlign w:val="center"/>
            <w:hideMark/>
          </w:tcPr>
          <w:p w14:paraId="1BC0BE92" w14:textId="77777777" w:rsidR="00E91614" w:rsidRPr="00B7479A" w:rsidRDefault="00E91614" w:rsidP="00761A41">
            <w:pPr>
              <w:bidi w:val="0"/>
              <w:rPr>
                <w:color w:val="000000" w:themeColor="text1"/>
                <w:sz w:val="18"/>
                <w:szCs w:val="18"/>
                <w:lang w:bidi="ar-EG"/>
              </w:rPr>
            </w:pPr>
          </w:p>
        </w:tc>
        <w:tc>
          <w:tcPr>
            <w:tcW w:w="642" w:type="pct"/>
            <w:noWrap/>
            <w:vAlign w:val="center"/>
            <w:hideMark/>
          </w:tcPr>
          <w:p w14:paraId="4C5B9D70"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Range </w:t>
            </w:r>
          </w:p>
        </w:tc>
        <w:tc>
          <w:tcPr>
            <w:tcW w:w="1027" w:type="pct"/>
            <w:gridSpan w:val="2"/>
            <w:noWrap/>
            <w:vAlign w:val="center"/>
            <w:hideMark/>
          </w:tcPr>
          <w:p w14:paraId="71B3A694"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17.0–66.0</w:t>
            </w:r>
          </w:p>
        </w:tc>
        <w:tc>
          <w:tcPr>
            <w:tcW w:w="1054" w:type="pct"/>
            <w:gridSpan w:val="2"/>
            <w:noWrap/>
            <w:vAlign w:val="center"/>
            <w:hideMark/>
          </w:tcPr>
          <w:p w14:paraId="140A7441"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15.0–75.0</w:t>
            </w:r>
          </w:p>
        </w:tc>
        <w:tc>
          <w:tcPr>
            <w:tcW w:w="0" w:type="auto"/>
            <w:vMerge/>
            <w:vAlign w:val="center"/>
            <w:hideMark/>
          </w:tcPr>
          <w:p w14:paraId="701A9815" w14:textId="77777777" w:rsidR="00E91614" w:rsidRPr="00B7479A" w:rsidRDefault="00E91614" w:rsidP="00761A41">
            <w:pPr>
              <w:bidi w:val="0"/>
              <w:rPr>
                <w:color w:val="000000" w:themeColor="text1"/>
                <w:sz w:val="18"/>
                <w:szCs w:val="18"/>
                <w:lang w:bidi="ar-EG"/>
              </w:rPr>
            </w:pPr>
          </w:p>
        </w:tc>
      </w:tr>
      <w:tr w:rsidR="00E91614" w:rsidRPr="00B7479A" w14:paraId="45E00C08" w14:textId="77777777" w:rsidTr="00E91614">
        <w:tc>
          <w:tcPr>
            <w:tcW w:w="1838" w:type="pct"/>
            <w:gridSpan w:val="2"/>
            <w:vMerge w:val="restart"/>
            <w:noWrap/>
            <w:vAlign w:val="center"/>
            <w:hideMark/>
          </w:tcPr>
          <w:p w14:paraId="64EF22B5"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Sex</w:t>
            </w:r>
          </w:p>
        </w:tc>
        <w:tc>
          <w:tcPr>
            <w:tcW w:w="642" w:type="pct"/>
            <w:noWrap/>
            <w:vAlign w:val="center"/>
            <w:hideMark/>
          </w:tcPr>
          <w:p w14:paraId="451364E7"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Male</w:t>
            </w:r>
          </w:p>
        </w:tc>
        <w:tc>
          <w:tcPr>
            <w:tcW w:w="1027" w:type="pct"/>
            <w:gridSpan w:val="2"/>
            <w:noWrap/>
            <w:vAlign w:val="center"/>
            <w:hideMark/>
          </w:tcPr>
          <w:p w14:paraId="1412C205"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29 (64.4%)</w:t>
            </w:r>
          </w:p>
        </w:tc>
        <w:tc>
          <w:tcPr>
            <w:tcW w:w="1054" w:type="pct"/>
            <w:gridSpan w:val="2"/>
            <w:noWrap/>
            <w:vAlign w:val="center"/>
            <w:hideMark/>
          </w:tcPr>
          <w:p w14:paraId="2EA9F3F6"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26 (57.8%)</w:t>
            </w:r>
          </w:p>
        </w:tc>
        <w:tc>
          <w:tcPr>
            <w:tcW w:w="439" w:type="pct"/>
            <w:vMerge w:val="restart"/>
            <w:noWrap/>
            <w:vAlign w:val="center"/>
            <w:hideMark/>
          </w:tcPr>
          <w:p w14:paraId="4900FC68"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#0.517</w:t>
            </w:r>
          </w:p>
        </w:tc>
      </w:tr>
      <w:tr w:rsidR="00E91614" w:rsidRPr="00B7479A" w14:paraId="337F2C9A" w14:textId="77777777" w:rsidTr="00E91614">
        <w:tc>
          <w:tcPr>
            <w:tcW w:w="0" w:type="auto"/>
            <w:gridSpan w:val="2"/>
            <w:vMerge/>
            <w:vAlign w:val="center"/>
            <w:hideMark/>
          </w:tcPr>
          <w:p w14:paraId="3F3A581D" w14:textId="77777777" w:rsidR="00E91614" w:rsidRPr="00B7479A" w:rsidRDefault="00E91614" w:rsidP="00761A41">
            <w:pPr>
              <w:bidi w:val="0"/>
              <w:rPr>
                <w:color w:val="000000" w:themeColor="text1"/>
                <w:sz w:val="18"/>
                <w:szCs w:val="18"/>
                <w:lang w:bidi="ar-EG"/>
              </w:rPr>
            </w:pPr>
          </w:p>
        </w:tc>
        <w:tc>
          <w:tcPr>
            <w:tcW w:w="642" w:type="pct"/>
            <w:noWrap/>
            <w:vAlign w:val="center"/>
            <w:hideMark/>
          </w:tcPr>
          <w:p w14:paraId="3C5315C5"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Female </w:t>
            </w:r>
          </w:p>
        </w:tc>
        <w:tc>
          <w:tcPr>
            <w:tcW w:w="1027" w:type="pct"/>
            <w:gridSpan w:val="2"/>
            <w:noWrap/>
            <w:vAlign w:val="center"/>
            <w:hideMark/>
          </w:tcPr>
          <w:p w14:paraId="5A76FA1C"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16 (35.6%)</w:t>
            </w:r>
          </w:p>
        </w:tc>
        <w:tc>
          <w:tcPr>
            <w:tcW w:w="1054" w:type="pct"/>
            <w:gridSpan w:val="2"/>
            <w:noWrap/>
            <w:vAlign w:val="center"/>
            <w:hideMark/>
          </w:tcPr>
          <w:p w14:paraId="2165F252"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19 (42.2%)</w:t>
            </w:r>
          </w:p>
        </w:tc>
        <w:tc>
          <w:tcPr>
            <w:tcW w:w="0" w:type="auto"/>
            <w:vMerge/>
            <w:vAlign w:val="center"/>
            <w:hideMark/>
          </w:tcPr>
          <w:p w14:paraId="5F0DE7B6" w14:textId="77777777" w:rsidR="00E91614" w:rsidRPr="00B7479A" w:rsidRDefault="00E91614" w:rsidP="00761A41">
            <w:pPr>
              <w:bidi w:val="0"/>
              <w:rPr>
                <w:color w:val="000000" w:themeColor="text1"/>
                <w:sz w:val="18"/>
                <w:szCs w:val="18"/>
                <w:lang w:bidi="ar-EG"/>
              </w:rPr>
            </w:pPr>
          </w:p>
        </w:tc>
      </w:tr>
      <w:tr w:rsidR="00E91614" w:rsidRPr="00B7479A" w14:paraId="2716996A" w14:textId="77777777" w:rsidTr="00E91614">
        <w:tc>
          <w:tcPr>
            <w:tcW w:w="1838" w:type="pct"/>
            <w:gridSpan w:val="2"/>
            <w:vMerge w:val="restart"/>
            <w:noWrap/>
            <w:vAlign w:val="center"/>
            <w:hideMark/>
          </w:tcPr>
          <w:p w14:paraId="30DED09C" w14:textId="511C8265" w:rsidR="00E91614" w:rsidRPr="00B7479A" w:rsidRDefault="00E27EC1" w:rsidP="00761A41">
            <w:pPr>
              <w:bidi w:val="0"/>
              <w:spacing w:before="60" w:after="60"/>
              <w:rPr>
                <w:color w:val="000000" w:themeColor="text1"/>
                <w:sz w:val="18"/>
                <w:szCs w:val="18"/>
                <w:lang w:bidi="ar-EG"/>
              </w:rPr>
            </w:pPr>
            <w:r w:rsidRPr="00B7479A">
              <w:rPr>
                <w:color w:val="000000" w:themeColor="text1"/>
                <w:sz w:val="18"/>
                <w:szCs w:val="18"/>
                <w:lang w:bidi="ar-EG"/>
              </w:rPr>
              <w:t>Socioeconomic</w:t>
            </w:r>
            <w:r w:rsidR="00E91614" w:rsidRPr="00B7479A">
              <w:rPr>
                <w:color w:val="000000" w:themeColor="text1"/>
                <w:sz w:val="18"/>
                <w:szCs w:val="18"/>
                <w:lang w:bidi="ar-EG"/>
              </w:rPr>
              <w:t xml:space="preserve"> class</w:t>
            </w:r>
          </w:p>
        </w:tc>
        <w:tc>
          <w:tcPr>
            <w:tcW w:w="642" w:type="pct"/>
            <w:noWrap/>
            <w:vAlign w:val="center"/>
            <w:hideMark/>
          </w:tcPr>
          <w:p w14:paraId="6EF5C124"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Low</w:t>
            </w:r>
          </w:p>
        </w:tc>
        <w:tc>
          <w:tcPr>
            <w:tcW w:w="1027" w:type="pct"/>
            <w:gridSpan w:val="2"/>
            <w:noWrap/>
            <w:vAlign w:val="center"/>
            <w:hideMark/>
          </w:tcPr>
          <w:p w14:paraId="64FF856D"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14 (31.1%)</w:t>
            </w:r>
          </w:p>
        </w:tc>
        <w:tc>
          <w:tcPr>
            <w:tcW w:w="1054" w:type="pct"/>
            <w:gridSpan w:val="2"/>
            <w:noWrap/>
            <w:vAlign w:val="center"/>
            <w:hideMark/>
          </w:tcPr>
          <w:p w14:paraId="39AE9079"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8 (17.8%)</w:t>
            </w:r>
          </w:p>
        </w:tc>
        <w:tc>
          <w:tcPr>
            <w:tcW w:w="439" w:type="pct"/>
            <w:vMerge w:val="restart"/>
            <w:noWrap/>
            <w:vAlign w:val="center"/>
            <w:hideMark/>
          </w:tcPr>
          <w:p w14:paraId="78E93EAE"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#0.283</w:t>
            </w:r>
          </w:p>
        </w:tc>
      </w:tr>
      <w:tr w:rsidR="00E91614" w:rsidRPr="00B7479A" w14:paraId="4E266694" w14:textId="77777777" w:rsidTr="00E91614">
        <w:tc>
          <w:tcPr>
            <w:tcW w:w="0" w:type="auto"/>
            <w:gridSpan w:val="2"/>
            <w:vMerge/>
            <w:vAlign w:val="center"/>
            <w:hideMark/>
          </w:tcPr>
          <w:p w14:paraId="29084942" w14:textId="77777777" w:rsidR="00E91614" w:rsidRPr="00B7479A" w:rsidRDefault="00E91614" w:rsidP="00761A41">
            <w:pPr>
              <w:bidi w:val="0"/>
              <w:rPr>
                <w:color w:val="000000" w:themeColor="text1"/>
                <w:sz w:val="18"/>
                <w:szCs w:val="18"/>
                <w:lang w:bidi="ar-EG"/>
              </w:rPr>
            </w:pPr>
          </w:p>
        </w:tc>
        <w:tc>
          <w:tcPr>
            <w:tcW w:w="642" w:type="pct"/>
            <w:noWrap/>
            <w:vAlign w:val="center"/>
            <w:hideMark/>
          </w:tcPr>
          <w:p w14:paraId="3DEF22F9"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Average</w:t>
            </w:r>
          </w:p>
        </w:tc>
        <w:tc>
          <w:tcPr>
            <w:tcW w:w="1027" w:type="pct"/>
            <w:gridSpan w:val="2"/>
            <w:noWrap/>
            <w:vAlign w:val="center"/>
            <w:hideMark/>
          </w:tcPr>
          <w:p w14:paraId="1A1D7490"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19 (42.2%)</w:t>
            </w:r>
          </w:p>
        </w:tc>
        <w:tc>
          <w:tcPr>
            <w:tcW w:w="1054" w:type="pct"/>
            <w:gridSpan w:val="2"/>
            <w:noWrap/>
            <w:vAlign w:val="center"/>
            <w:hideMark/>
          </w:tcPr>
          <w:p w14:paraId="770D8470"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20 (44.4%)</w:t>
            </w:r>
          </w:p>
        </w:tc>
        <w:tc>
          <w:tcPr>
            <w:tcW w:w="0" w:type="auto"/>
            <w:vMerge/>
            <w:vAlign w:val="center"/>
            <w:hideMark/>
          </w:tcPr>
          <w:p w14:paraId="5C9EAB81" w14:textId="77777777" w:rsidR="00E91614" w:rsidRPr="00B7479A" w:rsidRDefault="00E91614" w:rsidP="00761A41">
            <w:pPr>
              <w:bidi w:val="0"/>
              <w:rPr>
                <w:color w:val="000000" w:themeColor="text1"/>
                <w:sz w:val="18"/>
                <w:szCs w:val="18"/>
                <w:lang w:bidi="ar-EG"/>
              </w:rPr>
            </w:pPr>
          </w:p>
        </w:tc>
      </w:tr>
      <w:tr w:rsidR="00E91614" w:rsidRPr="00B7479A" w14:paraId="5A20121A" w14:textId="77777777" w:rsidTr="00E91614">
        <w:tc>
          <w:tcPr>
            <w:tcW w:w="0" w:type="auto"/>
            <w:gridSpan w:val="2"/>
            <w:vMerge/>
            <w:vAlign w:val="center"/>
            <w:hideMark/>
          </w:tcPr>
          <w:p w14:paraId="323A1921" w14:textId="77777777" w:rsidR="00E91614" w:rsidRPr="00B7479A" w:rsidRDefault="00E91614" w:rsidP="00761A41">
            <w:pPr>
              <w:bidi w:val="0"/>
              <w:rPr>
                <w:color w:val="000000" w:themeColor="text1"/>
                <w:sz w:val="18"/>
                <w:szCs w:val="18"/>
                <w:lang w:bidi="ar-EG"/>
              </w:rPr>
            </w:pPr>
          </w:p>
        </w:tc>
        <w:tc>
          <w:tcPr>
            <w:tcW w:w="642" w:type="pct"/>
            <w:noWrap/>
            <w:vAlign w:val="center"/>
            <w:hideMark/>
          </w:tcPr>
          <w:p w14:paraId="79E2C6E6"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High</w:t>
            </w:r>
          </w:p>
        </w:tc>
        <w:tc>
          <w:tcPr>
            <w:tcW w:w="1027" w:type="pct"/>
            <w:gridSpan w:val="2"/>
            <w:noWrap/>
            <w:vAlign w:val="center"/>
            <w:hideMark/>
          </w:tcPr>
          <w:p w14:paraId="0BF56370"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12 (26.7%)</w:t>
            </w:r>
          </w:p>
        </w:tc>
        <w:tc>
          <w:tcPr>
            <w:tcW w:w="1054" w:type="pct"/>
            <w:gridSpan w:val="2"/>
            <w:noWrap/>
            <w:vAlign w:val="center"/>
            <w:hideMark/>
          </w:tcPr>
          <w:p w14:paraId="5FF47928"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17 (37.8%)</w:t>
            </w:r>
          </w:p>
        </w:tc>
        <w:tc>
          <w:tcPr>
            <w:tcW w:w="0" w:type="auto"/>
            <w:vMerge/>
            <w:vAlign w:val="center"/>
            <w:hideMark/>
          </w:tcPr>
          <w:p w14:paraId="40D8D995" w14:textId="77777777" w:rsidR="00E91614" w:rsidRPr="00B7479A" w:rsidRDefault="00E91614" w:rsidP="00761A41">
            <w:pPr>
              <w:bidi w:val="0"/>
              <w:rPr>
                <w:color w:val="000000" w:themeColor="text1"/>
                <w:sz w:val="18"/>
                <w:szCs w:val="18"/>
                <w:lang w:bidi="ar-EG"/>
              </w:rPr>
            </w:pPr>
          </w:p>
        </w:tc>
      </w:tr>
      <w:tr w:rsidR="00E91614" w:rsidRPr="00B7479A" w14:paraId="6C6D9FB2" w14:textId="77777777" w:rsidTr="00E91614">
        <w:tc>
          <w:tcPr>
            <w:tcW w:w="2480" w:type="pct"/>
            <w:gridSpan w:val="3"/>
            <w:noWrap/>
            <w:vAlign w:val="center"/>
            <w:hideMark/>
          </w:tcPr>
          <w:p w14:paraId="1B635BA5"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Smoking</w:t>
            </w:r>
          </w:p>
        </w:tc>
        <w:tc>
          <w:tcPr>
            <w:tcW w:w="1027" w:type="pct"/>
            <w:gridSpan w:val="2"/>
            <w:noWrap/>
            <w:vAlign w:val="center"/>
            <w:hideMark/>
          </w:tcPr>
          <w:p w14:paraId="4DBF8782"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17 (37.8%)</w:t>
            </w:r>
          </w:p>
        </w:tc>
        <w:tc>
          <w:tcPr>
            <w:tcW w:w="1054" w:type="pct"/>
            <w:gridSpan w:val="2"/>
            <w:noWrap/>
            <w:vAlign w:val="center"/>
            <w:hideMark/>
          </w:tcPr>
          <w:p w14:paraId="47BE5367"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12 (26.7%)</w:t>
            </w:r>
          </w:p>
        </w:tc>
        <w:tc>
          <w:tcPr>
            <w:tcW w:w="439" w:type="pct"/>
            <w:noWrap/>
            <w:vAlign w:val="center"/>
            <w:hideMark/>
          </w:tcPr>
          <w:p w14:paraId="6B9273B4"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#0.259</w:t>
            </w:r>
          </w:p>
        </w:tc>
      </w:tr>
      <w:tr w:rsidR="00E91614" w:rsidRPr="00B7479A" w14:paraId="33A67600" w14:textId="77777777" w:rsidTr="00E91614">
        <w:tc>
          <w:tcPr>
            <w:tcW w:w="2480" w:type="pct"/>
            <w:gridSpan w:val="3"/>
            <w:noWrap/>
            <w:vAlign w:val="center"/>
            <w:hideMark/>
          </w:tcPr>
          <w:p w14:paraId="449471AA"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Family history of IBD</w:t>
            </w:r>
          </w:p>
        </w:tc>
        <w:tc>
          <w:tcPr>
            <w:tcW w:w="1027" w:type="pct"/>
            <w:gridSpan w:val="2"/>
            <w:noWrap/>
            <w:vAlign w:val="center"/>
            <w:hideMark/>
          </w:tcPr>
          <w:p w14:paraId="0DD9664B"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5 (11.1%)</w:t>
            </w:r>
          </w:p>
        </w:tc>
        <w:tc>
          <w:tcPr>
            <w:tcW w:w="1054" w:type="pct"/>
            <w:gridSpan w:val="2"/>
            <w:noWrap/>
            <w:vAlign w:val="center"/>
            <w:hideMark/>
          </w:tcPr>
          <w:p w14:paraId="6836156C"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3 (6.7%)</w:t>
            </w:r>
          </w:p>
        </w:tc>
        <w:tc>
          <w:tcPr>
            <w:tcW w:w="439" w:type="pct"/>
            <w:noWrap/>
            <w:vAlign w:val="center"/>
            <w:hideMark/>
          </w:tcPr>
          <w:p w14:paraId="7DE0C9B1"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§0.714</w:t>
            </w:r>
          </w:p>
        </w:tc>
      </w:tr>
      <w:tr w:rsidR="00E91614" w:rsidRPr="00B7479A" w14:paraId="6506D548" w14:textId="77777777" w:rsidTr="00E91614">
        <w:tc>
          <w:tcPr>
            <w:tcW w:w="2480" w:type="pct"/>
            <w:gridSpan w:val="3"/>
            <w:noWrap/>
            <w:vAlign w:val="center"/>
            <w:hideMark/>
          </w:tcPr>
          <w:p w14:paraId="1409AAA8" w14:textId="77777777" w:rsidR="00E91614" w:rsidRPr="00B7479A" w:rsidRDefault="00E91614" w:rsidP="00761A41">
            <w:pPr>
              <w:bidi w:val="0"/>
              <w:spacing w:before="60" w:after="60"/>
              <w:rPr>
                <w:color w:val="000000" w:themeColor="text1"/>
                <w:sz w:val="18"/>
                <w:szCs w:val="18"/>
                <w:lang w:bidi="ar-EG"/>
              </w:rPr>
            </w:pPr>
            <w:proofErr w:type="spellStart"/>
            <w:r w:rsidRPr="00B7479A">
              <w:rPr>
                <w:color w:val="000000" w:themeColor="text1"/>
                <w:sz w:val="18"/>
                <w:szCs w:val="18"/>
                <w:lang w:bidi="ar-EG"/>
              </w:rPr>
              <w:t>Comrobidities</w:t>
            </w:r>
            <w:proofErr w:type="spellEnd"/>
          </w:p>
        </w:tc>
        <w:tc>
          <w:tcPr>
            <w:tcW w:w="1027" w:type="pct"/>
            <w:gridSpan w:val="2"/>
            <w:noWrap/>
            <w:vAlign w:val="center"/>
            <w:hideMark/>
          </w:tcPr>
          <w:p w14:paraId="51E49B8A"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8 (17.8%)</w:t>
            </w:r>
          </w:p>
        </w:tc>
        <w:tc>
          <w:tcPr>
            <w:tcW w:w="1054" w:type="pct"/>
            <w:gridSpan w:val="2"/>
            <w:noWrap/>
            <w:vAlign w:val="center"/>
            <w:hideMark/>
          </w:tcPr>
          <w:p w14:paraId="4A2FD2ED"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6 (13.3%)</w:t>
            </w:r>
          </w:p>
        </w:tc>
        <w:tc>
          <w:tcPr>
            <w:tcW w:w="439" w:type="pct"/>
            <w:noWrap/>
            <w:vAlign w:val="center"/>
            <w:hideMark/>
          </w:tcPr>
          <w:p w14:paraId="27BBA71D"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#0.561</w:t>
            </w:r>
          </w:p>
        </w:tc>
      </w:tr>
      <w:tr w:rsidR="00E91614" w:rsidRPr="00B7479A" w14:paraId="3B652CFC" w14:textId="77777777" w:rsidTr="00E91614">
        <w:tc>
          <w:tcPr>
            <w:tcW w:w="2480" w:type="pct"/>
            <w:gridSpan w:val="3"/>
            <w:noWrap/>
            <w:vAlign w:val="center"/>
            <w:hideMark/>
          </w:tcPr>
          <w:p w14:paraId="52310B83"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 xml:space="preserve">Hypertension </w:t>
            </w:r>
          </w:p>
        </w:tc>
        <w:tc>
          <w:tcPr>
            <w:tcW w:w="1027" w:type="pct"/>
            <w:gridSpan w:val="2"/>
            <w:noWrap/>
            <w:vAlign w:val="center"/>
            <w:hideMark/>
          </w:tcPr>
          <w:p w14:paraId="3E93910F"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6 (13.3%)</w:t>
            </w:r>
          </w:p>
        </w:tc>
        <w:tc>
          <w:tcPr>
            <w:tcW w:w="1054" w:type="pct"/>
            <w:gridSpan w:val="2"/>
            <w:noWrap/>
            <w:vAlign w:val="center"/>
            <w:hideMark/>
          </w:tcPr>
          <w:p w14:paraId="3E30B894"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4 (8.9%)</w:t>
            </w:r>
          </w:p>
        </w:tc>
        <w:tc>
          <w:tcPr>
            <w:tcW w:w="439" w:type="pct"/>
            <w:noWrap/>
            <w:vAlign w:val="center"/>
            <w:hideMark/>
          </w:tcPr>
          <w:p w14:paraId="6E25CE38"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#0.502</w:t>
            </w:r>
          </w:p>
        </w:tc>
      </w:tr>
      <w:tr w:rsidR="00E91614" w:rsidRPr="00B7479A" w14:paraId="652E5949" w14:textId="77777777" w:rsidTr="00E91614">
        <w:tc>
          <w:tcPr>
            <w:tcW w:w="2480" w:type="pct"/>
            <w:gridSpan w:val="3"/>
            <w:noWrap/>
            <w:vAlign w:val="center"/>
            <w:hideMark/>
          </w:tcPr>
          <w:p w14:paraId="337B9617" w14:textId="24B1B699"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Diabetes mellitus</w:t>
            </w:r>
          </w:p>
        </w:tc>
        <w:tc>
          <w:tcPr>
            <w:tcW w:w="1027" w:type="pct"/>
            <w:gridSpan w:val="2"/>
            <w:noWrap/>
            <w:vAlign w:val="center"/>
            <w:hideMark/>
          </w:tcPr>
          <w:p w14:paraId="2739C254"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2 (4.5%)</w:t>
            </w:r>
          </w:p>
        </w:tc>
        <w:tc>
          <w:tcPr>
            <w:tcW w:w="1054" w:type="pct"/>
            <w:gridSpan w:val="2"/>
            <w:noWrap/>
            <w:vAlign w:val="center"/>
            <w:hideMark/>
          </w:tcPr>
          <w:p w14:paraId="6DE0DF6A"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 (2.3%)</w:t>
            </w:r>
          </w:p>
        </w:tc>
        <w:tc>
          <w:tcPr>
            <w:tcW w:w="439" w:type="pct"/>
            <w:noWrap/>
            <w:vAlign w:val="center"/>
            <w:hideMark/>
          </w:tcPr>
          <w:p w14:paraId="66E7C99C"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§0.999</w:t>
            </w:r>
          </w:p>
        </w:tc>
      </w:tr>
      <w:tr w:rsidR="00E91614" w:rsidRPr="00B7479A" w14:paraId="3744DD19" w14:textId="77777777" w:rsidTr="00E91614">
        <w:tc>
          <w:tcPr>
            <w:tcW w:w="2480" w:type="pct"/>
            <w:gridSpan w:val="3"/>
            <w:noWrap/>
            <w:vAlign w:val="center"/>
            <w:hideMark/>
          </w:tcPr>
          <w:p w14:paraId="3E2429C6"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Rheumatoid arthritis</w:t>
            </w:r>
          </w:p>
        </w:tc>
        <w:tc>
          <w:tcPr>
            <w:tcW w:w="1027" w:type="pct"/>
            <w:gridSpan w:val="2"/>
            <w:noWrap/>
            <w:vAlign w:val="center"/>
            <w:hideMark/>
          </w:tcPr>
          <w:p w14:paraId="0C636C1F"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 (0.0%)</w:t>
            </w:r>
          </w:p>
        </w:tc>
        <w:tc>
          <w:tcPr>
            <w:tcW w:w="1054" w:type="pct"/>
            <w:gridSpan w:val="2"/>
            <w:noWrap/>
            <w:vAlign w:val="center"/>
            <w:hideMark/>
          </w:tcPr>
          <w:p w14:paraId="5D3796E9"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 (2.3%)</w:t>
            </w:r>
          </w:p>
        </w:tc>
        <w:tc>
          <w:tcPr>
            <w:tcW w:w="439" w:type="pct"/>
            <w:noWrap/>
            <w:vAlign w:val="center"/>
            <w:hideMark/>
          </w:tcPr>
          <w:p w14:paraId="38A54495"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§0.494</w:t>
            </w:r>
          </w:p>
        </w:tc>
      </w:tr>
      <w:tr w:rsidR="00E91614" w:rsidRPr="00B7479A" w14:paraId="4AAC4AAE" w14:textId="77777777" w:rsidTr="00E91614">
        <w:tc>
          <w:tcPr>
            <w:tcW w:w="2480" w:type="pct"/>
            <w:gridSpan w:val="3"/>
            <w:vMerge w:val="restart"/>
            <w:noWrap/>
            <w:vAlign w:val="center"/>
            <w:hideMark/>
          </w:tcPr>
          <w:p w14:paraId="67E2E12B"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NSAID</w:t>
            </w:r>
          </w:p>
        </w:tc>
        <w:tc>
          <w:tcPr>
            <w:tcW w:w="1027" w:type="pct"/>
            <w:gridSpan w:val="2"/>
            <w:noWrap/>
            <w:vAlign w:val="center"/>
            <w:hideMark/>
          </w:tcPr>
          <w:p w14:paraId="05E52DB4"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18 (40 %)</w:t>
            </w:r>
          </w:p>
        </w:tc>
        <w:tc>
          <w:tcPr>
            <w:tcW w:w="1054" w:type="pct"/>
            <w:gridSpan w:val="2"/>
            <w:noWrap/>
            <w:vAlign w:val="center"/>
            <w:hideMark/>
          </w:tcPr>
          <w:p w14:paraId="44170844"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7 (15.6%)</w:t>
            </w:r>
          </w:p>
        </w:tc>
        <w:tc>
          <w:tcPr>
            <w:tcW w:w="439" w:type="pct"/>
            <w:noWrap/>
            <w:vAlign w:val="center"/>
            <w:hideMark/>
          </w:tcPr>
          <w:p w14:paraId="42A4E32F"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#0.008*</w:t>
            </w:r>
          </w:p>
        </w:tc>
      </w:tr>
      <w:tr w:rsidR="00E91614" w:rsidRPr="00B7479A" w14:paraId="295B914A" w14:textId="77777777" w:rsidTr="00E91614">
        <w:tc>
          <w:tcPr>
            <w:tcW w:w="0" w:type="auto"/>
            <w:gridSpan w:val="3"/>
            <w:vMerge/>
            <w:vAlign w:val="center"/>
            <w:hideMark/>
          </w:tcPr>
          <w:p w14:paraId="4EB9CF6D" w14:textId="77777777" w:rsidR="00E91614" w:rsidRPr="00B7479A" w:rsidRDefault="00E91614" w:rsidP="00761A41">
            <w:pPr>
              <w:bidi w:val="0"/>
              <w:rPr>
                <w:color w:val="000000" w:themeColor="text1"/>
                <w:sz w:val="18"/>
                <w:szCs w:val="18"/>
                <w:lang w:bidi="ar-EG"/>
              </w:rPr>
            </w:pPr>
          </w:p>
        </w:tc>
        <w:tc>
          <w:tcPr>
            <w:tcW w:w="587" w:type="pct"/>
            <w:noWrap/>
            <w:vAlign w:val="center"/>
            <w:hideMark/>
          </w:tcPr>
          <w:p w14:paraId="495756BF"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For arthritis</w:t>
            </w:r>
          </w:p>
        </w:tc>
        <w:tc>
          <w:tcPr>
            <w:tcW w:w="439" w:type="pct"/>
            <w:vAlign w:val="center"/>
            <w:hideMark/>
          </w:tcPr>
          <w:p w14:paraId="36A7C889"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Not for arthritis</w:t>
            </w:r>
          </w:p>
        </w:tc>
        <w:tc>
          <w:tcPr>
            <w:tcW w:w="587" w:type="pct"/>
            <w:noWrap/>
            <w:vAlign w:val="center"/>
            <w:hideMark/>
          </w:tcPr>
          <w:p w14:paraId="5DC4FFDE"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For arthritis</w:t>
            </w:r>
          </w:p>
        </w:tc>
        <w:tc>
          <w:tcPr>
            <w:tcW w:w="467" w:type="pct"/>
            <w:vAlign w:val="center"/>
            <w:hideMark/>
          </w:tcPr>
          <w:p w14:paraId="6998C827"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Not for arthritis</w:t>
            </w:r>
          </w:p>
        </w:tc>
        <w:tc>
          <w:tcPr>
            <w:tcW w:w="439" w:type="pct"/>
            <w:vMerge w:val="restart"/>
            <w:noWrap/>
            <w:vAlign w:val="center"/>
            <w:hideMark/>
          </w:tcPr>
          <w:p w14:paraId="25437E93"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#0.748</w:t>
            </w:r>
          </w:p>
        </w:tc>
      </w:tr>
      <w:tr w:rsidR="00761A41" w:rsidRPr="00B7479A" w14:paraId="2B201D07" w14:textId="77777777" w:rsidTr="00E91614">
        <w:tc>
          <w:tcPr>
            <w:tcW w:w="0" w:type="auto"/>
            <w:gridSpan w:val="3"/>
            <w:vMerge/>
            <w:vAlign w:val="center"/>
            <w:hideMark/>
          </w:tcPr>
          <w:p w14:paraId="38E18D17" w14:textId="77777777" w:rsidR="00E91614" w:rsidRPr="00B7479A" w:rsidRDefault="00E91614" w:rsidP="00761A41">
            <w:pPr>
              <w:bidi w:val="0"/>
              <w:rPr>
                <w:color w:val="000000" w:themeColor="text1"/>
                <w:sz w:val="18"/>
                <w:szCs w:val="18"/>
                <w:lang w:bidi="ar-EG"/>
              </w:rPr>
            </w:pPr>
          </w:p>
        </w:tc>
        <w:tc>
          <w:tcPr>
            <w:tcW w:w="587" w:type="pct"/>
            <w:noWrap/>
            <w:vAlign w:val="center"/>
            <w:hideMark/>
          </w:tcPr>
          <w:p w14:paraId="3FEE7097"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9 (20%)</w:t>
            </w:r>
          </w:p>
        </w:tc>
        <w:tc>
          <w:tcPr>
            <w:tcW w:w="439" w:type="pct"/>
            <w:vAlign w:val="center"/>
            <w:hideMark/>
          </w:tcPr>
          <w:p w14:paraId="39622467"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9 (20%)</w:t>
            </w:r>
          </w:p>
        </w:tc>
        <w:tc>
          <w:tcPr>
            <w:tcW w:w="587" w:type="pct"/>
            <w:noWrap/>
            <w:vAlign w:val="center"/>
            <w:hideMark/>
          </w:tcPr>
          <w:p w14:paraId="051B4B34"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4 (8.9%)</w:t>
            </w:r>
          </w:p>
        </w:tc>
        <w:tc>
          <w:tcPr>
            <w:tcW w:w="467" w:type="pct"/>
            <w:vAlign w:val="center"/>
            <w:hideMark/>
          </w:tcPr>
          <w:p w14:paraId="0320BDD2"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3 (6.7%)</w:t>
            </w:r>
          </w:p>
        </w:tc>
        <w:tc>
          <w:tcPr>
            <w:tcW w:w="0" w:type="auto"/>
            <w:vMerge/>
            <w:vAlign w:val="center"/>
            <w:hideMark/>
          </w:tcPr>
          <w:p w14:paraId="1A1ED00C" w14:textId="77777777" w:rsidR="00E91614" w:rsidRPr="00B7479A" w:rsidRDefault="00E91614" w:rsidP="00761A41">
            <w:pPr>
              <w:bidi w:val="0"/>
              <w:rPr>
                <w:color w:val="000000" w:themeColor="text1"/>
                <w:sz w:val="18"/>
                <w:szCs w:val="18"/>
                <w:lang w:bidi="ar-EG"/>
              </w:rPr>
            </w:pPr>
          </w:p>
        </w:tc>
      </w:tr>
      <w:tr w:rsidR="00E91614" w:rsidRPr="00B7479A" w14:paraId="2E1DD5D9" w14:textId="77777777" w:rsidTr="00E91614">
        <w:tc>
          <w:tcPr>
            <w:tcW w:w="1838" w:type="pct"/>
            <w:gridSpan w:val="2"/>
            <w:vMerge w:val="restart"/>
            <w:noWrap/>
            <w:vAlign w:val="center"/>
            <w:hideMark/>
          </w:tcPr>
          <w:p w14:paraId="30373EF4" w14:textId="017109ED" w:rsidR="00E91614" w:rsidRPr="00B7479A" w:rsidRDefault="00E91614" w:rsidP="00E27EC1">
            <w:pPr>
              <w:bidi w:val="0"/>
              <w:spacing w:before="60" w:after="60"/>
              <w:rPr>
                <w:color w:val="000000" w:themeColor="text1"/>
                <w:sz w:val="18"/>
                <w:szCs w:val="18"/>
                <w:lang w:bidi="ar-EG"/>
              </w:rPr>
            </w:pPr>
            <w:r w:rsidRPr="00B7479A">
              <w:rPr>
                <w:color w:val="000000" w:themeColor="text1"/>
                <w:sz w:val="18"/>
                <w:szCs w:val="18"/>
                <w:lang w:bidi="ar-EG"/>
              </w:rPr>
              <w:t>Age of onset</w:t>
            </w:r>
            <w:r w:rsidR="00E27EC1" w:rsidRPr="00B7479A">
              <w:rPr>
                <w:color w:val="000000" w:themeColor="text1"/>
                <w:sz w:val="18"/>
                <w:szCs w:val="18"/>
                <w:lang w:bidi="ar-EG"/>
              </w:rPr>
              <w:t xml:space="preserve"> </w:t>
            </w:r>
            <w:r w:rsidRPr="00B7479A">
              <w:rPr>
                <w:color w:val="000000" w:themeColor="text1"/>
                <w:sz w:val="18"/>
                <w:szCs w:val="18"/>
                <w:lang w:bidi="ar-EG"/>
              </w:rPr>
              <w:t>(years)</w:t>
            </w:r>
          </w:p>
        </w:tc>
        <w:tc>
          <w:tcPr>
            <w:tcW w:w="642" w:type="pct"/>
            <w:vAlign w:val="center"/>
            <w:hideMark/>
          </w:tcPr>
          <w:p w14:paraId="5276DAE6" w14:textId="77777777" w:rsidR="00E91614" w:rsidRPr="00B7479A" w:rsidRDefault="00E91614" w:rsidP="00761A41">
            <w:pPr>
              <w:bidi w:val="0"/>
              <w:spacing w:before="60" w:after="60"/>
              <w:rPr>
                <w:color w:val="000000" w:themeColor="text1"/>
                <w:sz w:val="18"/>
                <w:szCs w:val="18"/>
                <w:lang w:bidi="ar-EG"/>
              </w:rPr>
            </w:pPr>
            <w:proofErr w:type="spellStart"/>
            <w:r w:rsidRPr="00B7479A">
              <w:rPr>
                <w:color w:val="000000" w:themeColor="text1"/>
                <w:sz w:val="18"/>
                <w:szCs w:val="18"/>
                <w:lang w:bidi="ar-EG"/>
              </w:rPr>
              <w:t>Mean±SD</w:t>
            </w:r>
            <w:proofErr w:type="spellEnd"/>
          </w:p>
        </w:tc>
        <w:tc>
          <w:tcPr>
            <w:tcW w:w="1027" w:type="pct"/>
            <w:gridSpan w:val="2"/>
            <w:noWrap/>
            <w:vAlign w:val="center"/>
            <w:hideMark/>
          </w:tcPr>
          <w:p w14:paraId="34B8959A"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26.8±10.6</w:t>
            </w:r>
          </w:p>
        </w:tc>
        <w:tc>
          <w:tcPr>
            <w:tcW w:w="1054" w:type="pct"/>
            <w:gridSpan w:val="2"/>
            <w:noWrap/>
            <w:vAlign w:val="center"/>
            <w:hideMark/>
          </w:tcPr>
          <w:p w14:paraId="28500BF0"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26.8±13.0</w:t>
            </w:r>
          </w:p>
        </w:tc>
        <w:tc>
          <w:tcPr>
            <w:tcW w:w="439" w:type="pct"/>
            <w:vMerge w:val="restart"/>
            <w:noWrap/>
            <w:vAlign w:val="center"/>
            <w:hideMark/>
          </w:tcPr>
          <w:p w14:paraId="21E6CB9C" w14:textId="77777777" w:rsidR="00E91614" w:rsidRPr="00B7479A" w:rsidRDefault="00E91614" w:rsidP="00761A41">
            <w:pPr>
              <w:bidi w:val="0"/>
              <w:spacing w:before="60" w:after="60"/>
              <w:rPr>
                <w:color w:val="000000" w:themeColor="text1"/>
                <w:sz w:val="18"/>
                <w:szCs w:val="18"/>
                <w:lang w:bidi="ar-EG"/>
              </w:rPr>
            </w:pPr>
            <w:r w:rsidRPr="00B7479A">
              <w:rPr>
                <w:rFonts w:hint="cs"/>
                <w:color w:val="000000" w:themeColor="text1"/>
                <w:sz w:val="18"/>
                <w:szCs w:val="18"/>
                <w:rtl/>
                <w:lang w:bidi="ar-EG"/>
              </w:rPr>
              <w:t>^</w:t>
            </w:r>
            <w:r w:rsidRPr="00B7479A">
              <w:rPr>
                <w:color w:val="000000" w:themeColor="text1"/>
                <w:sz w:val="18"/>
                <w:szCs w:val="18"/>
                <w:lang w:bidi="ar-EG"/>
              </w:rPr>
              <w:t>0.986</w:t>
            </w:r>
          </w:p>
        </w:tc>
      </w:tr>
      <w:tr w:rsidR="00E91614" w:rsidRPr="00B7479A" w14:paraId="31F48C85" w14:textId="77777777" w:rsidTr="00E91614">
        <w:tc>
          <w:tcPr>
            <w:tcW w:w="0" w:type="auto"/>
            <w:gridSpan w:val="2"/>
            <w:vMerge/>
            <w:vAlign w:val="center"/>
            <w:hideMark/>
          </w:tcPr>
          <w:p w14:paraId="49A1A5D2" w14:textId="77777777" w:rsidR="00E91614" w:rsidRPr="00B7479A" w:rsidRDefault="00E91614" w:rsidP="00761A41">
            <w:pPr>
              <w:bidi w:val="0"/>
              <w:rPr>
                <w:color w:val="000000" w:themeColor="text1"/>
                <w:sz w:val="18"/>
                <w:szCs w:val="18"/>
                <w:lang w:bidi="ar-EG"/>
              </w:rPr>
            </w:pPr>
          </w:p>
        </w:tc>
        <w:tc>
          <w:tcPr>
            <w:tcW w:w="642" w:type="pct"/>
            <w:vAlign w:val="center"/>
            <w:hideMark/>
          </w:tcPr>
          <w:p w14:paraId="596347C6"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Range </w:t>
            </w:r>
          </w:p>
        </w:tc>
        <w:tc>
          <w:tcPr>
            <w:tcW w:w="1027" w:type="pct"/>
            <w:gridSpan w:val="2"/>
            <w:noWrap/>
            <w:vAlign w:val="center"/>
            <w:hideMark/>
          </w:tcPr>
          <w:p w14:paraId="50C552A4"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13.0–64.0</w:t>
            </w:r>
          </w:p>
        </w:tc>
        <w:tc>
          <w:tcPr>
            <w:tcW w:w="1054" w:type="pct"/>
            <w:gridSpan w:val="2"/>
            <w:noWrap/>
            <w:vAlign w:val="center"/>
            <w:hideMark/>
          </w:tcPr>
          <w:p w14:paraId="3D004401"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9.0–71.0</w:t>
            </w:r>
          </w:p>
        </w:tc>
        <w:tc>
          <w:tcPr>
            <w:tcW w:w="0" w:type="auto"/>
            <w:vMerge/>
            <w:vAlign w:val="center"/>
            <w:hideMark/>
          </w:tcPr>
          <w:p w14:paraId="4E3DBFD1" w14:textId="77777777" w:rsidR="00E91614" w:rsidRPr="00B7479A" w:rsidRDefault="00E91614" w:rsidP="00761A41">
            <w:pPr>
              <w:bidi w:val="0"/>
              <w:rPr>
                <w:color w:val="000000" w:themeColor="text1"/>
                <w:sz w:val="18"/>
                <w:szCs w:val="18"/>
                <w:lang w:bidi="ar-EG"/>
              </w:rPr>
            </w:pPr>
          </w:p>
        </w:tc>
      </w:tr>
      <w:tr w:rsidR="00E91614" w:rsidRPr="00B7479A" w14:paraId="3019B4C1" w14:textId="77777777" w:rsidTr="00E91614">
        <w:tc>
          <w:tcPr>
            <w:tcW w:w="1838" w:type="pct"/>
            <w:gridSpan w:val="2"/>
            <w:vMerge w:val="restart"/>
            <w:noWrap/>
            <w:vAlign w:val="center"/>
            <w:hideMark/>
          </w:tcPr>
          <w:p w14:paraId="0DBF8AC2" w14:textId="0DEEA0B9"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Duration of illness (years)</w:t>
            </w:r>
          </w:p>
        </w:tc>
        <w:tc>
          <w:tcPr>
            <w:tcW w:w="642" w:type="pct"/>
            <w:vAlign w:val="center"/>
            <w:hideMark/>
          </w:tcPr>
          <w:p w14:paraId="083AF00C" w14:textId="77777777" w:rsidR="00E91614" w:rsidRPr="00B7479A" w:rsidRDefault="00E91614" w:rsidP="00761A41">
            <w:pPr>
              <w:bidi w:val="0"/>
              <w:spacing w:before="60" w:after="60"/>
              <w:rPr>
                <w:color w:val="000000" w:themeColor="text1"/>
                <w:sz w:val="18"/>
                <w:szCs w:val="18"/>
                <w:lang w:bidi="ar-EG"/>
              </w:rPr>
            </w:pPr>
            <w:proofErr w:type="spellStart"/>
            <w:r w:rsidRPr="00B7479A">
              <w:rPr>
                <w:color w:val="000000" w:themeColor="text1"/>
                <w:sz w:val="18"/>
                <w:szCs w:val="18"/>
                <w:lang w:bidi="ar-EG"/>
              </w:rPr>
              <w:t>Mean±SD</w:t>
            </w:r>
            <w:proofErr w:type="spellEnd"/>
          </w:p>
        </w:tc>
        <w:tc>
          <w:tcPr>
            <w:tcW w:w="1027" w:type="pct"/>
            <w:gridSpan w:val="2"/>
            <w:noWrap/>
            <w:vAlign w:val="center"/>
            <w:hideMark/>
          </w:tcPr>
          <w:p w14:paraId="5817BF58"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7.1±4.8</w:t>
            </w:r>
          </w:p>
        </w:tc>
        <w:tc>
          <w:tcPr>
            <w:tcW w:w="1054" w:type="pct"/>
            <w:gridSpan w:val="2"/>
            <w:noWrap/>
            <w:vAlign w:val="center"/>
            <w:hideMark/>
          </w:tcPr>
          <w:p w14:paraId="22147BA5"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6.6±3.9</w:t>
            </w:r>
          </w:p>
        </w:tc>
        <w:tc>
          <w:tcPr>
            <w:tcW w:w="439" w:type="pct"/>
            <w:vMerge w:val="restart"/>
            <w:noWrap/>
            <w:vAlign w:val="center"/>
            <w:hideMark/>
          </w:tcPr>
          <w:p w14:paraId="06D83945" w14:textId="77777777" w:rsidR="00E91614" w:rsidRPr="00B7479A" w:rsidRDefault="00E91614" w:rsidP="00761A41">
            <w:pPr>
              <w:bidi w:val="0"/>
              <w:spacing w:before="60" w:after="60"/>
              <w:rPr>
                <w:color w:val="000000" w:themeColor="text1"/>
                <w:sz w:val="18"/>
                <w:szCs w:val="18"/>
                <w:lang w:bidi="ar-EG"/>
              </w:rPr>
            </w:pPr>
            <w:r w:rsidRPr="00B7479A">
              <w:rPr>
                <w:rFonts w:hint="cs"/>
                <w:color w:val="000000" w:themeColor="text1"/>
                <w:sz w:val="18"/>
                <w:szCs w:val="18"/>
                <w:rtl/>
                <w:lang w:bidi="ar-EG"/>
              </w:rPr>
              <w:t>^</w:t>
            </w:r>
            <w:r w:rsidRPr="00B7479A">
              <w:rPr>
                <w:color w:val="000000" w:themeColor="text1"/>
                <w:sz w:val="18"/>
                <w:szCs w:val="18"/>
                <w:lang w:bidi="ar-EG"/>
              </w:rPr>
              <w:t>0.647</w:t>
            </w:r>
          </w:p>
        </w:tc>
      </w:tr>
      <w:tr w:rsidR="00E91614" w:rsidRPr="00B7479A" w14:paraId="55857673" w14:textId="77777777" w:rsidTr="00E91614">
        <w:tc>
          <w:tcPr>
            <w:tcW w:w="0" w:type="auto"/>
            <w:gridSpan w:val="2"/>
            <w:vMerge/>
            <w:vAlign w:val="center"/>
            <w:hideMark/>
          </w:tcPr>
          <w:p w14:paraId="65381BCA" w14:textId="77777777" w:rsidR="00E91614" w:rsidRPr="00B7479A" w:rsidRDefault="00E91614" w:rsidP="00761A41">
            <w:pPr>
              <w:bidi w:val="0"/>
              <w:rPr>
                <w:color w:val="000000" w:themeColor="text1"/>
                <w:sz w:val="18"/>
                <w:szCs w:val="18"/>
                <w:lang w:bidi="ar-EG"/>
              </w:rPr>
            </w:pPr>
          </w:p>
        </w:tc>
        <w:tc>
          <w:tcPr>
            <w:tcW w:w="642" w:type="pct"/>
            <w:vAlign w:val="center"/>
            <w:hideMark/>
          </w:tcPr>
          <w:p w14:paraId="348EFFC2"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Range </w:t>
            </w:r>
          </w:p>
        </w:tc>
        <w:tc>
          <w:tcPr>
            <w:tcW w:w="1027" w:type="pct"/>
            <w:gridSpan w:val="2"/>
            <w:noWrap/>
            <w:vAlign w:val="center"/>
            <w:hideMark/>
          </w:tcPr>
          <w:p w14:paraId="6CF6741D"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2.0–22.0</w:t>
            </w:r>
          </w:p>
        </w:tc>
        <w:tc>
          <w:tcPr>
            <w:tcW w:w="1054" w:type="pct"/>
            <w:gridSpan w:val="2"/>
            <w:noWrap/>
            <w:vAlign w:val="center"/>
            <w:hideMark/>
          </w:tcPr>
          <w:p w14:paraId="45D1770B"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2.0–21.0</w:t>
            </w:r>
          </w:p>
        </w:tc>
        <w:tc>
          <w:tcPr>
            <w:tcW w:w="0" w:type="auto"/>
            <w:vMerge/>
            <w:vAlign w:val="center"/>
            <w:hideMark/>
          </w:tcPr>
          <w:p w14:paraId="0FD0BA3D" w14:textId="77777777" w:rsidR="00E91614" w:rsidRPr="00B7479A" w:rsidRDefault="00E91614" w:rsidP="00761A41">
            <w:pPr>
              <w:bidi w:val="0"/>
              <w:rPr>
                <w:color w:val="000000" w:themeColor="text1"/>
                <w:sz w:val="18"/>
                <w:szCs w:val="18"/>
                <w:lang w:bidi="ar-EG"/>
              </w:rPr>
            </w:pPr>
          </w:p>
        </w:tc>
      </w:tr>
      <w:tr w:rsidR="00E91614" w:rsidRPr="00B7479A" w14:paraId="683A2393" w14:textId="77777777" w:rsidTr="00E91614">
        <w:tc>
          <w:tcPr>
            <w:tcW w:w="1838" w:type="pct"/>
            <w:gridSpan w:val="2"/>
            <w:vMerge w:val="restart"/>
            <w:noWrap/>
            <w:vAlign w:val="center"/>
            <w:hideMark/>
          </w:tcPr>
          <w:p w14:paraId="7C1DEDC5"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Extra-intestinal manifestations(arthritis)</w:t>
            </w:r>
          </w:p>
        </w:tc>
        <w:tc>
          <w:tcPr>
            <w:tcW w:w="642" w:type="pct"/>
            <w:vAlign w:val="center"/>
            <w:hideMark/>
          </w:tcPr>
          <w:p w14:paraId="23379029"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total</w:t>
            </w:r>
          </w:p>
        </w:tc>
        <w:tc>
          <w:tcPr>
            <w:tcW w:w="1027" w:type="pct"/>
            <w:gridSpan w:val="2"/>
            <w:noWrap/>
            <w:vAlign w:val="center"/>
            <w:hideMark/>
          </w:tcPr>
          <w:p w14:paraId="25A23675"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19 (42.2%)</w:t>
            </w:r>
          </w:p>
        </w:tc>
        <w:tc>
          <w:tcPr>
            <w:tcW w:w="1054" w:type="pct"/>
            <w:gridSpan w:val="2"/>
            <w:noWrap/>
            <w:vAlign w:val="center"/>
            <w:hideMark/>
          </w:tcPr>
          <w:p w14:paraId="5B0FFDDE"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12 (26.6%)</w:t>
            </w:r>
          </w:p>
        </w:tc>
        <w:tc>
          <w:tcPr>
            <w:tcW w:w="439" w:type="pct"/>
            <w:noWrap/>
            <w:vAlign w:val="center"/>
            <w:hideMark/>
          </w:tcPr>
          <w:p w14:paraId="0F8B25E9"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#0.120</w:t>
            </w:r>
          </w:p>
        </w:tc>
      </w:tr>
      <w:tr w:rsidR="00E91614" w:rsidRPr="00B7479A" w14:paraId="76E049F0" w14:textId="77777777" w:rsidTr="00E91614">
        <w:trPr>
          <w:trHeight w:val="173"/>
        </w:trPr>
        <w:tc>
          <w:tcPr>
            <w:tcW w:w="0" w:type="auto"/>
            <w:gridSpan w:val="2"/>
            <w:vMerge/>
            <w:vAlign w:val="center"/>
            <w:hideMark/>
          </w:tcPr>
          <w:p w14:paraId="1973A6A1" w14:textId="77777777" w:rsidR="00E91614" w:rsidRPr="00B7479A" w:rsidRDefault="00E91614" w:rsidP="00761A41">
            <w:pPr>
              <w:bidi w:val="0"/>
              <w:rPr>
                <w:color w:val="000000" w:themeColor="text1"/>
                <w:sz w:val="18"/>
                <w:szCs w:val="18"/>
                <w:lang w:bidi="ar-EG"/>
              </w:rPr>
            </w:pPr>
          </w:p>
        </w:tc>
        <w:tc>
          <w:tcPr>
            <w:tcW w:w="642" w:type="pct"/>
            <w:vMerge w:val="restart"/>
            <w:vAlign w:val="center"/>
            <w:hideMark/>
          </w:tcPr>
          <w:p w14:paraId="04CC3B5E"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types</w:t>
            </w:r>
          </w:p>
        </w:tc>
        <w:tc>
          <w:tcPr>
            <w:tcW w:w="587" w:type="pct"/>
            <w:noWrap/>
            <w:vAlign w:val="center"/>
            <w:hideMark/>
          </w:tcPr>
          <w:p w14:paraId="2A0E4690"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peripheral</w:t>
            </w:r>
          </w:p>
        </w:tc>
        <w:tc>
          <w:tcPr>
            <w:tcW w:w="439" w:type="pct"/>
            <w:vAlign w:val="center"/>
            <w:hideMark/>
          </w:tcPr>
          <w:p w14:paraId="00B5CBBF" w14:textId="5DB69711" w:rsidR="00E91614" w:rsidRPr="00B7479A" w:rsidRDefault="00E80492" w:rsidP="00761A41">
            <w:pPr>
              <w:bidi w:val="0"/>
              <w:spacing w:before="60" w:after="60"/>
              <w:rPr>
                <w:color w:val="000000" w:themeColor="text1"/>
                <w:sz w:val="18"/>
                <w:szCs w:val="18"/>
                <w:lang w:bidi="ar-EG"/>
              </w:rPr>
            </w:pPr>
            <w:r w:rsidRPr="00B7479A">
              <w:rPr>
                <w:color w:val="000000" w:themeColor="text1"/>
                <w:sz w:val="18"/>
                <w:szCs w:val="18"/>
                <w:lang w:bidi="ar-EG"/>
              </w:rPr>
              <w:t>A</w:t>
            </w:r>
            <w:r w:rsidR="00E91614" w:rsidRPr="00B7479A">
              <w:rPr>
                <w:color w:val="000000" w:themeColor="text1"/>
                <w:sz w:val="18"/>
                <w:szCs w:val="18"/>
                <w:lang w:bidi="ar-EG"/>
              </w:rPr>
              <w:t>xial</w:t>
            </w:r>
          </w:p>
        </w:tc>
        <w:tc>
          <w:tcPr>
            <w:tcW w:w="587" w:type="pct"/>
            <w:noWrap/>
            <w:vAlign w:val="center"/>
            <w:hideMark/>
          </w:tcPr>
          <w:p w14:paraId="59561229"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peripheral</w:t>
            </w:r>
          </w:p>
        </w:tc>
        <w:tc>
          <w:tcPr>
            <w:tcW w:w="467" w:type="pct"/>
            <w:vAlign w:val="center"/>
            <w:hideMark/>
          </w:tcPr>
          <w:p w14:paraId="56039C71"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axial</w:t>
            </w:r>
          </w:p>
        </w:tc>
        <w:tc>
          <w:tcPr>
            <w:tcW w:w="439" w:type="pct"/>
            <w:vMerge w:val="restart"/>
            <w:noWrap/>
            <w:vAlign w:val="center"/>
            <w:hideMark/>
          </w:tcPr>
          <w:p w14:paraId="63956F6B"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#0.546</w:t>
            </w:r>
          </w:p>
        </w:tc>
      </w:tr>
      <w:tr w:rsidR="00E91614" w:rsidRPr="00B7479A" w14:paraId="4A10F198" w14:textId="77777777" w:rsidTr="00E91614">
        <w:trPr>
          <w:trHeight w:val="172"/>
        </w:trPr>
        <w:tc>
          <w:tcPr>
            <w:tcW w:w="0" w:type="auto"/>
            <w:gridSpan w:val="2"/>
            <w:vMerge/>
            <w:vAlign w:val="center"/>
            <w:hideMark/>
          </w:tcPr>
          <w:p w14:paraId="158175E0" w14:textId="77777777" w:rsidR="00E91614" w:rsidRPr="00B7479A" w:rsidRDefault="00E91614" w:rsidP="00761A41">
            <w:pPr>
              <w:bidi w:val="0"/>
              <w:rPr>
                <w:color w:val="000000" w:themeColor="text1"/>
                <w:sz w:val="18"/>
                <w:szCs w:val="18"/>
                <w:lang w:bidi="ar-EG"/>
              </w:rPr>
            </w:pPr>
          </w:p>
        </w:tc>
        <w:tc>
          <w:tcPr>
            <w:tcW w:w="0" w:type="auto"/>
            <w:vMerge/>
            <w:vAlign w:val="center"/>
            <w:hideMark/>
          </w:tcPr>
          <w:p w14:paraId="2293C541" w14:textId="77777777" w:rsidR="00E91614" w:rsidRPr="00B7479A" w:rsidRDefault="00E91614" w:rsidP="00761A41">
            <w:pPr>
              <w:bidi w:val="0"/>
              <w:rPr>
                <w:color w:val="000000" w:themeColor="text1"/>
                <w:sz w:val="18"/>
                <w:szCs w:val="18"/>
                <w:lang w:bidi="ar-EG"/>
              </w:rPr>
            </w:pPr>
          </w:p>
        </w:tc>
        <w:tc>
          <w:tcPr>
            <w:tcW w:w="587" w:type="pct"/>
            <w:noWrap/>
            <w:vAlign w:val="center"/>
            <w:hideMark/>
          </w:tcPr>
          <w:p w14:paraId="1A030EE8"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16(35.6%)</w:t>
            </w:r>
          </w:p>
        </w:tc>
        <w:tc>
          <w:tcPr>
            <w:tcW w:w="439" w:type="pct"/>
            <w:vAlign w:val="center"/>
            <w:hideMark/>
          </w:tcPr>
          <w:p w14:paraId="025F87EB"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3(6.6%)</w:t>
            </w:r>
          </w:p>
        </w:tc>
        <w:tc>
          <w:tcPr>
            <w:tcW w:w="587" w:type="pct"/>
            <w:noWrap/>
            <w:vAlign w:val="center"/>
            <w:hideMark/>
          </w:tcPr>
          <w:p w14:paraId="25EDE73D"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11(24.4%)</w:t>
            </w:r>
          </w:p>
        </w:tc>
        <w:tc>
          <w:tcPr>
            <w:tcW w:w="467" w:type="pct"/>
            <w:vAlign w:val="center"/>
            <w:hideMark/>
          </w:tcPr>
          <w:p w14:paraId="32CCD0BA" w14:textId="77777777" w:rsidR="00E91614" w:rsidRPr="00B7479A" w:rsidRDefault="00E91614" w:rsidP="00761A41">
            <w:pPr>
              <w:bidi w:val="0"/>
              <w:spacing w:before="60" w:after="60"/>
              <w:rPr>
                <w:color w:val="000000" w:themeColor="text1"/>
                <w:sz w:val="18"/>
                <w:szCs w:val="18"/>
                <w:lang w:bidi="ar-EG"/>
              </w:rPr>
            </w:pPr>
            <w:r w:rsidRPr="00B7479A">
              <w:rPr>
                <w:color w:val="000000" w:themeColor="text1"/>
                <w:sz w:val="18"/>
                <w:szCs w:val="18"/>
                <w:lang w:bidi="ar-EG"/>
              </w:rPr>
              <w:t>1(2.2%)</w:t>
            </w:r>
          </w:p>
        </w:tc>
        <w:tc>
          <w:tcPr>
            <w:tcW w:w="0" w:type="auto"/>
            <w:vMerge/>
            <w:vAlign w:val="center"/>
            <w:hideMark/>
          </w:tcPr>
          <w:p w14:paraId="76703793" w14:textId="77777777" w:rsidR="00E91614" w:rsidRPr="00B7479A" w:rsidRDefault="00E91614" w:rsidP="00761A41">
            <w:pPr>
              <w:bidi w:val="0"/>
              <w:rPr>
                <w:color w:val="000000" w:themeColor="text1"/>
                <w:sz w:val="18"/>
                <w:szCs w:val="18"/>
                <w:lang w:bidi="ar-EG"/>
              </w:rPr>
            </w:pPr>
          </w:p>
        </w:tc>
      </w:tr>
      <w:tr w:rsidR="00E91614" w:rsidRPr="00B7479A" w14:paraId="74BAD651" w14:textId="77777777" w:rsidTr="00E91614">
        <w:tc>
          <w:tcPr>
            <w:tcW w:w="1071" w:type="pct"/>
            <w:vAlign w:val="center"/>
            <w:hideMark/>
          </w:tcPr>
          <w:p w14:paraId="07114357"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Factors</w:t>
            </w:r>
          </w:p>
        </w:tc>
        <w:tc>
          <w:tcPr>
            <w:tcW w:w="767" w:type="pct"/>
            <w:vAlign w:val="center"/>
            <w:hideMark/>
          </w:tcPr>
          <w:p w14:paraId="3C512265"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β</w:t>
            </w:r>
          </w:p>
        </w:tc>
        <w:tc>
          <w:tcPr>
            <w:tcW w:w="642" w:type="pct"/>
            <w:vAlign w:val="center"/>
            <w:hideMark/>
          </w:tcPr>
          <w:p w14:paraId="0FA1429A"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SE</w:t>
            </w:r>
          </w:p>
        </w:tc>
        <w:tc>
          <w:tcPr>
            <w:tcW w:w="1027" w:type="pct"/>
            <w:gridSpan w:val="2"/>
            <w:vAlign w:val="center"/>
            <w:hideMark/>
          </w:tcPr>
          <w:p w14:paraId="3884D37B"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p-value</w:t>
            </w:r>
          </w:p>
        </w:tc>
        <w:tc>
          <w:tcPr>
            <w:tcW w:w="1493" w:type="pct"/>
            <w:gridSpan w:val="3"/>
            <w:vAlign w:val="center"/>
            <w:hideMark/>
          </w:tcPr>
          <w:p w14:paraId="5AB1DEBD"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Odds ratio (95% CI)</w:t>
            </w:r>
          </w:p>
        </w:tc>
      </w:tr>
      <w:tr w:rsidR="00E91614" w:rsidRPr="00B7479A" w14:paraId="455CB5FE" w14:textId="77777777" w:rsidTr="00E91614">
        <w:tc>
          <w:tcPr>
            <w:tcW w:w="1071" w:type="pct"/>
            <w:vAlign w:val="center"/>
            <w:hideMark/>
          </w:tcPr>
          <w:p w14:paraId="3EBCE394"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NSAID</w:t>
            </w:r>
          </w:p>
        </w:tc>
        <w:tc>
          <w:tcPr>
            <w:tcW w:w="767" w:type="pct"/>
            <w:noWrap/>
            <w:vAlign w:val="center"/>
            <w:hideMark/>
          </w:tcPr>
          <w:p w14:paraId="6F736BDF"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1.39</w:t>
            </w:r>
          </w:p>
        </w:tc>
        <w:tc>
          <w:tcPr>
            <w:tcW w:w="642" w:type="pct"/>
            <w:noWrap/>
            <w:vAlign w:val="center"/>
            <w:hideMark/>
          </w:tcPr>
          <w:p w14:paraId="39FE3250"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0.54</w:t>
            </w:r>
          </w:p>
        </w:tc>
        <w:tc>
          <w:tcPr>
            <w:tcW w:w="1027" w:type="pct"/>
            <w:gridSpan w:val="2"/>
            <w:noWrap/>
            <w:vAlign w:val="center"/>
            <w:hideMark/>
          </w:tcPr>
          <w:p w14:paraId="67DCFAE8"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0.010</w:t>
            </w:r>
          </w:p>
        </w:tc>
        <w:tc>
          <w:tcPr>
            <w:tcW w:w="1493" w:type="pct"/>
            <w:gridSpan w:val="3"/>
            <w:noWrap/>
            <w:vAlign w:val="center"/>
            <w:hideMark/>
          </w:tcPr>
          <w:p w14:paraId="239279F0"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4.03 (1.40−11.61)</w:t>
            </w:r>
          </w:p>
        </w:tc>
      </w:tr>
      <w:tr w:rsidR="00E91614" w:rsidRPr="00B7479A" w14:paraId="41A2219A" w14:textId="77777777" w:rsidTr="00E91614">
        <w:tc>
          <w:tcPr>
            <w:tcW w:w="1071" w:type="pct"/>
            <w:tcBorders>
              <w:bottom w:val="single" w:sz="4" w:space="0" w:color="auto"/>
            </w:tcBorders>
            <w:vAlign w:val="center"/>
            <w:hideMark/>
          </w:tcPr>
          <w:p w14:paraId="10BEA7E5"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Constant</w:t>
            </w:r>
          </w:p>
        </w:tc>
        <w:tc>
          <w:tcPr>
            <w:tcW w:w="767" w:type="pct"/>
            <w:tcBorders>
              <w:bottom w:val="single" w:sz="4" w:space="0" w:color="auto"/>
            </w:tcBorders>
            <w:noWrap/>
            <w:vAlign w:val="center"/>
            <w:hideMark/>
          </w:tcPr>
          <w:p w14:paraId="7D3BAEC4"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-0.35</w:t>
            </w:r>
          </w:p>
        </w:tc>
        <w:tc>
          <w:tcPr>
            <w:tcW w:w="642" w:type="pct"/>
            <w:tcBorders>
              <w:bottom w:val="single" w:sz="4" w:space="0" w:color="auto"/>
            </w:tcBorders>
            <w:noWrap/>
            <w:vAlign w:val="center"/>
            <w:hideMark/>
          </w:tcPr>
          <w:p w14:paraId="75AC8658"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0.26</w:t>
            </w:r>
          </w:p>
        </w:tc>
        <w:tc>
          <w:tcPr>
            <w:tcW w:w="1027" w:type="pct"/>
            <w:gridSpan w:val="2"/>
            <w:tcBorders>
              <w:bottom w:val="single" w:sz="4" w:space="0" w:color="auto"/>
            </w:tcBorders>
            <w:noWrap/>
            <w:vAlign w:val="center"/>
            <w:hideMark/>
          </w:tcPr>
          <w:p w14:paraId="76AAC298" w14:textId="77777777" w:rsidR="00E91614" w:rsidRPr="00B7479A" w:rsidRDefault="00E91614" w:rsidP="00761A41">
            <w:pPr>
              <w:bidi w:val="0"/>
              <w:spacing w:after="120"/>
              <w:rPr>
                <w:color w:val="000000" w:themeColor="text1"/>
                <w:sz w:val="18"/>
                <w:szCs w:val="18"/>
                <w:lang w:bidi="ar-EG"/>
              </w:rPr>
            </w:pPr>
            <w:r w:rsidRPr="00B7479A">
              <w:rPr>
                <w:color w:val="000000" w:themeColor="text1"/>
                <w:sz w:val="18"/>
                <w:szCs w:val="18"/>
                <w:lang w:bidi="ar-EG"/>
              </w:rPr>
              <w:t>0.168</w:t>
            </w:r>
          </w:p>
        </w:tc>
        <w:tc>
          <w:tcPr>
            <w:tcW w:w="1493" w:type="pct"/>
            <w:gridSpan w:val="3"/>
            <w:tcBorders>
              <w:bottom w:val="single" w:sz="4" w:space="0" w:color="auto"/>
            </w:tcBorders>
            <w:noWrap/>
            <w:vAlign w:val="center"/>
            <w:hideMark/>
          </w:tcPr>
          <w:p w14:paraId="0FF83F54" w14:textId="77777777" w:rsidR="00E91614" w:rsidRPr="00B7479A" w:rsidRDefault="00E91614" w:rsidP="00761A41">
            <w:pPr>
              <w:keepNext/>
              <w:bidi w:val="0"/>
              <w:spacing w:after="120"/>
              <w:rPr>
                <w:color w:val="000000" w:themeColor="text1"/>
                <w:sz w:val="18"/>
                <w:szCs w:val="18"/>
                <w:lang w:bidi="ar-EG"/>
              </w:rPr>
            </w:pPr>
            <w:r w:rsidRPr="00B7479A">
              <w:rPr>
                <w:color w:val="000000" w:themeColor="text1"/>
                <w:sz w:val="18"/>
                <w:szCs w:val="18"/>
                <w:lang w:bidi="ar-EG"/>
              </w:rPr>
              <w:t>0.70</w:t>
            </w:r>
          </w:p>
        </w:tc>
      </w:tr>
    </w:tbl>
    <w:p w14:paraId="2CC4282C" w14:textId="77777777" w:rsidR="00E91614" w:rsidRPr="00E91614" w:rsidRDefault="00E91614" w:rsidP="00B7479A">
      <w:pPr>
        <w:pStyle w:val="Heading1"/>
        <w:rPr>
          <w:b w:val="0"/>
          <w:bCs w:val="0"/>
          <w:sz w:val="18"/>
          <w:szCs w:val="18"/>
        </w:rPr>
      </w:pPr>
      <w:r w:rsidRPr="00E91614">
        <w:rPr>
          <w:b w:val="0"/>
          <w:bCs w:val="0"/>
          <w:sz w:val="18"/>
          <w:szCs w:val="18"/>
        </w:rPr>
        <w:t xml:space="preserve">Data are presented as n (%) unless mentioned otherwise. NA: Not ^Independent t-test. # Chi-square test. §Fisher’s Exact test. *Significant. β: Regression coefficient. SE: Standard error. CI: confidence interval. </w:t>
      </w:r>
    </w:p>
    <w:p w14:paraId="0C5ABAB5" w14:textId="4E26DD69" w:rsidR="003D2DCE" w:rsidRDefault="00E2052B" w:rsidP="00761A41">
      <w:pPr>
        <w:pStyle w:val="Heading1"/>
        <w:ind w:firstLine="720"/>
        <w:rPr>
          <w:rFonts w:eastAsia="SimSun"/>
          <w:color w:val="auto"/>
          <w:sz w:val="24"/>
          <w:szCs w:val="24"/>
          <w:lang w:eastAsia="zh-CN"/>
        </w:rPr>
      </w:pPr>
      <w:r w:rsidRPr="00E7572F">
        <w:rPr>
          <w:rFonts w:eastAsia="SimSun"/>
          <w:b w:val="0"/>
          <w:bCs w:val="0"/>
          <w:color w:val="auto"/>
          <w:sz w:val="24"/>
          <w:szCs w:val="24"/>
          <w:lang w:eastAsia="zh-CN"/>
        </w:rPr>
        <w:t>Our study indicated that several factors, including male sex, smoking, lower socioeconomic status, family history of disease, presence of comorbidities (particularly hypertension and diabetes mellitus), age at disease onset, duration of illness, extra-intestinal manifestations, and NSAID use, were more frequently observed in the fistula group. However, among these variables, only NSAID use demonstrated a statistically significant association, being notably h</w:t>
      </w:r>
      <w:r w:rsidR="00AE2BBD">
        <w:rPr>
          <w:rFonts w:eastAsia="SimSun"/>
          <w:b w:val="0"/>
          <w:bCs w:val="0"/>
          <w:color w:val="auto"/>
          <w:sz w:val="24"/>
          <w:szCs w:val="24"/>
          <w:lang w:eastAsia="zh-CN"/>
        </w:rPr>
        <w:t>igher in the fistula group (p =</w:t>
      </w:r>
      <w:r w:rsidRPr="00E7572F">
        <w:rPr>
          <w:rFonts w:eastAsia="SimSun"/>
          <w:b w:val="0"/>
          <w:bCs w:val="0"/>
          <w:color w:val="auto"/>
          <w:sz w:val="24"/>
          <w:szCs w:val="24"/>
          <w:lang w:eastAsia="zh-CN"/>
        </w:rPr>
        <w:t>0.008). Furthermore, logistic regression analysis identified NSAID use as an independent risk factor significantly contributing to the development of fistulas</w:t>
      </w:r>
      <w:r w:rsidR="00773BAC" w:rsidRPr="00E7572F">
        <w:rPr>
          <w:rFonts w:eastAsia="SimSun"/>
          <w:b w:val="0"/>
          <w:bCs w:val="0"/>
          <w:color w:val="auto"/>
          <w:sz w:val="24"/>
          <w:szCs w:val="24"/>
          <w:lang w:eastAsia="zh-CN"/>
        </w:rPr>
        <w:t xml:space="preserve">. </w:t>
      </w:r>
      <w:r w:rsidR="00735F0A" w:rsidRPr="00E7572F">
        <w:rPr>
          <w:rFonts w:eastAsia="SimSun"/>
          <w:b w:val="0"/>
          <w:bCs w:val="0"/>
          <w:color w:val="auto"/>
          <w:sz w:val="24"/>
          <w:szCs w:val="24"/>
          <w:lang w:eastAsia="zh-CN"/>
        </w:rPr>
        <w:t>Regarding extra-intestinal manifestations, 19 patients in the fistula group had arthritis, and one of them had pyoderma gangrenosum (16 with peripheral arthritis and 3 with axial arthritis). In the non-fistula group, 12 patients had arthritis, and two of them had pyoderma gangrenosum (11 with peripheral arthritis and 1 with axial arthritis).</w:t>
      </w:r>
      <w:r w:rsidR="00141AE3" w:rsidRPr="00E7572F">
        <w:rPr>
          <w:color w:val="auto"/>
        </w:rPr>
        <w:t xml:space="preserve"> </w:t>
      </w:r>
      <w:r w:rsidR="00141AE3" w:rsidRPr="00E7572F">
        <w:rPr>
          <w:rFonts w:eastAsia="SimSun"/>
          <w:b w:val="0"/>
          <w:bCs w:val="0"/>
          <w:color w:val="auto"/>
          <w:sz w:val="24"/>
          <w:szCs w:val="24"/>
          <w:lang w:eastAsia="zh-CN"/>
        </w:rPr>
        <w:t xml:space="preserve">No other </w:t>
      </w:r>
      <w:r w:rsidR="00E27EC1">
        <w:rPr>
          <w:rFonts w:eastAsia="SimSun"/>
          <w:b w:val="0"/>
          <w:bCs w:val="0"/>
          <w:color w:val="auto"/>
          <w:sz w:val="24"/>
          <w:szCs w:val="24"/>
          <w:lang w:eastAsia="zh-CN"/>
        </w:rPr>
        <w:t>extraintestinal manifestations were observed in either group</w:t>
      </w:r>
      <w:r w:rsidR="00141AE3" w:rsidRPr="00E7572F">
        <w:rPr>
          <w:rFonts w:eastAsia="SimSun"/>
          <w:b w:val="0"/>
          <w:bCs w:val="0"/>
          <w:color w:val="auto"/>
          <w:sz w:val="24"/>
          <w:szCs w:val="24"/>
          <w:lang w:eastAsia="zh-CN"/>
        </w:rPr>
        <w:t xml:space="preserve"> </w:t>
      </w:r>
      <w:r w:rsidR="00353DAD" w:rsidRPr="00E7572F">
        <w:rPr>
          <w:rFonts w:eastAsia="SimSun"/>
          <w:color w:val="auto"/>
          <w:sz w:val="24"/>
          <w:szCs w:val="24"/>
          <w:lang w:eastAsia="zh-CN"/>
        </w:rPr>
        <w:t>Tab 1</w:t>
      </w:r>
      <w:r w:rsidR="00A94B4B">
        <w:rPr>
          <w:rFonts w:eastAsia="SimSun"/>
          <w:color w:val="auto"/>
          <w:sz w:val="24"/>
          <w:szCs w:val="24"/>
          <w:lang w:eastAsia="zh-CN"/>
        </w:rPr>
        <w:t>.</w:t>
      </w:r>
    </w:p>
    <w:p w14:paraId="12128656" w14:textId="74EFB10B" w:rsidR="00E81A71" w:rsidRPr="00E7572F" w:rsidRDefault="00280B3D" w:rsidP="00761A41">
      <w:pPr>
        <w:bidi w:val="0"/>
        <w:spacing w:after="160" w:line="480" w:lineRule="auto"/>
        <w:ind w:firstLine="720"/>
        <w:jc w:val="both"/>
        <w:rPr>
          <w:rFonts w:eastAsia="SimSun"/>
          <w:b/>
          <w:bCs/>
          <w:lang w:eastAsia="zh-CN"/>
        </w:rPr>
      </w:pPr>
      <w:r w:rsidRPr="00E7572F">
        <w:rPr>
          <w:rFonts w:eastAsia="SimSun"/>
          <w:lang w:eastAsia="zh-CN"/>
        </w:rPr>
        <w:t xml:space="preserve">The impact of NSAID use on treatment outcomes, as assessed through imaging studies (MRE and CTE) conducted before and after treatment, demonstrated that patients who did not use NSAIDs achieved the most favorable therapeutic responses. This association was statistically significant in both study groups, with a p-value of &lt;0.001 </w:t>
      </w:r>
      <w:r w:rsidR="00A0329D" w:rsidRPr="00E7572F">
        <w:rPr>
          <w:rFonts w:eastAsia="SimSun"/>
          <w:b/>
          <w:bCs/>
          <w:lang w:eastAsia="zh-CN"/>
        </w:rPr>
        <w:t>Tab 2</w:t>
      </w:r>
      <w:r w:rsidR="00EF7B83">
        <w:rPr>
          <w:rFonts w:eastAsia="SimSun"/>
          <w:b/>
          <w:bCs/>
          <w:lang w:eastAsia="zh-CN"/>
        </w:rPr>
        <w:t>.</w:t>
      </w:r>
    </w:p>
    <w:p w14:paraId="3FAFF83C" w14:textId="1BE52C07" w:rsidR="007515C7" w:rsidRPr="007515C7" w:rsidRDefault="007515C7" w:rsidP="007515C7">
      <w:pPr>
        <w:pStyle w:val="Caption"/>
        <w:rPr>
          <w:b w:val="0"/>
          <w:bCs w:val="0"/>
          <w:sz w:val="18"/>
          <w:szCs w:val="18"/>
          <w:lang w:val="en-US"/>
        </w:rPr>
      </w:pPr>
      <w:r w:rsidRPr="007515C7">
        <w:rPr>
          <w:b w:val="0"/>
          <w:bCs w:val="0"/>
          <w:sz w:val="18"/>
          <w:szCs w:val="18"/>
        </w:rPr>
        <w:t xml:space="preserve">Tab </w:t>
      </w:r>
      <w:r w:rsidRPr="007515C7">
        <w:rPr>
          <w:b w:val="0"/>
          <w:bCs w:val="0"/>
          <w:sz w:val="18"/>
          <w:szCs w:val="18"/>
        </w:rPr>
        <w:fldChar w:fldCharType="begin"/>
      </w:r>
      <w:r w:rsidRPr="007515C7">
        <w:rPr>
          <w:b w:val="0"/>
          <w:bCs w:val="0"/>
          <w:sz w:val="18"/>
          <w:szCs w:val="18"/>
        </w:rPr>
        <w:instrText xml:space="preserve"> SEQ Table \* ARABIC </w:instrText>
      </w:r>
      <w:r w:rsidRPr="007515C7">
        <w:rPr>
          <w:b w:val="0"/>
          <w:bCs w:val="0"/>
          <w:sz w:val="18"/>
          <w:szCs w:val="18"/>
        </w:rPr>
        <w:fldChar w:fldCharType="separate"/>
      </w:r>
      <w:r w:rsidR="00042FA0">
        <w:rPr>
          <w:b w:val="0"/>
          <w:bCs w:val="0"/>
          <w:noProof/>
          <w:sz w:val="18"/>
          <w:szCs w:val="18"/>
        </w:rPr>
        <w:t>2</w:t>
      </w:r>
      <w:r w:rsidRPr="007515C7">
        <w:rPr>
          <w:b w:val="0"/>
          <w:bCs w:val="0"/>
          <w:sz w:val="18"/>
          <w:szCs w:val="18"/>
        </w:rPr>
        <w:fldChar w:fldCharType="end"/>
      </w:r>
      <w:r w:rsidRPr="007515C7">
        <w:rPr>
          <w:b w:val="0"/>
          <w:bCs w:val="0"/>
          <w:sz w:val="18"/>
          <w:szCs w:val="18"/>
        </w:rPr>
        <w:t xml:space="preserve">. </w:t>
      </w:r>
      <w:r w:rsidRPr="007515C7">
        <w:rPr>
          <w:b w:val="0"/>
          <w:bCs w:val="0"/>
          <w:sz w:val="18"/>
          <w:szCs w:val="18"/>
          <w:lang w:val="en-US"/>
        </w:rPr>
        <w:t>Relationship between the NSAID intake and the outcome of the treatment plan regarding the imaging study.</w:t>
      </w:r>
    </w:p>
    <w:tbl>
      <w:tblPr>
        <w:tblW w:w="5000" w:type="pct"/>
        <w:tblLook w:val="04A0" w:firstRow="1" w:lastRow="0" w:firstColumn="1" w:lastColumn="0" w:noHBand="0" w:noVBand="1"/>
        <w:tblCaption w:val="Tab 2. Relationship between the NSAID intake and the outcome of the treatment plan regarding the imaging study."/>
        <w:tblDescription w:val="Imaging outcome according to MRI or CT scan. *Significant."/>
      </w:tblPr>
      <w:tblGrid>
        <w:gridCol w:w="2368"/>
        <w:gridCol w:w="2400"/>
        <w:gridCol w:w="523"/>
        <w:gridCol w:w="732"/>
        <w:gridCol w:w="407"/>
        <w:gridCol w:w="856"/>
        <w:gridCol w:w="802"/>
        <w:gridCol w:w="13"/>
        <w:gridCol w:w="926"/>
      </w:tblGrid>
      <w:tr w:rsidR="003558C9" w:rsidRPr="007006ED" w14:paraId="127E61C4" w14:textId="77777777" w:rsidTr="007515C7">
        <w:trPr>
          <w:trHeight w:val="20"/>
        </w:trPr>
        <w:tc>
          <w:tcPr>
            <w:tcW w:w="2577" w:type="pct"/>
            <w:gridSpan w:val="2"/>
            <w:vMerge w:val="restart"/>
            <w:tcBorders>
              <w:top w:val="single" w:sz="4" w:space="0" w:color="auto"/>
            </w:tcBorders>
            <w:noWrap/>
            <w:vAlign w:val="center"/>
            <w:hideMark/>
          </w:tcPr>
          <w:p w14:paraId="4BE477F5" w14:textId="2BEA928A" w:rsidR="003558C9" w:rsidRPr="007006ED" w:rsidRDefault="003558C9" w:rsidP="002807B8">
            <w:pPr>
              <w:bidi w:val="0"/>
              <w:rPr>
                <w:color w:val="000000" w:themeColor="text1"/>
                <w:sz w:val="18"/>
                <w:szCs w:val="18"/>
              </w:rPr>
            </w:pPr>
            <w:r w:rsidRPr="007006ED">
              <w:rPr>
                <w:color w:val="000000" w:themeColor="text1"/>
                <w:sz w:val="18"/>
                <w:szCs w:val="18"/>
              </w:rPr>
              <w:t>Number (Total=90)</w:t>
            </w:r>
          </w:p>
        </w:tc>
        <w:tc>
          <w:tcPr>
            <w:tcW w:w="1432" w:type="pct"/>
            <w:gridSpan w:val="4"/>
            <w:tcBorders>
              <w:top w:val="single" w:sz="4" w:space="0" w:color="auto"/>
            </w:tcBorders>
            <w:noWrap/>
            <w:vAlign w:val="center"/>
            <w:hideMark/>
          </w:tcPr>
          <w:p w14:paraId="16DACA46" w14:textId="77777777" w:rsidR="003558C9" w:rsidRPr="007006ED" w:rsidRDefault="003558C9" w:rsidP="002807B8">
            <w:pPr>
              <w:bidi w:val="0"/>
              <w:rPr>
                <w:color w:val="000000" w:themeColor="text1"/>
                <w:sz w:val="18"/>
                <w:szCs w:val="18"/>
              </w:rPr>
            </w:pPr>
            <w:r w:rsidRPr="007006ED">
              <w:rPr>
                <w:color w:val="000000" w:themeColor="text1"/>
                <w:sz w:val="18"/>
                <w:szCs w:val="18"/>
              </w:rPr>
              <w:t>NSAIDs</w:t>
            </w:r>
          </w:p>
        </w:tc>
        <w:tc>
          <w:tcPr>
            <w:tcW w:w="991" w:type="pct"/>
            <w:gridSpan w:val="3"/>
            <w:vMerge w:val="restart"/>
            <w:tcBorders>
              <w:top w:val="single" w:sz="4" w:space="0" w:color="auto"/>
            </w:tcBorders>
            <w:noWrap/>
            <w:vAlign w:val="center"/>
            <w:hideMark/>
          </w:tcPr>
          <w:p w14:paraId="628E91DB" w14:textId="77777777" w:rsidR="003558C9" w:rsidRPr="007006ED" w:rsidRDefault="003558C9" w:rsidP="002807B8">
            <w:pPr>
              <w:bidi w:val="0"/>
              <w:rPr>
                <w:color w:val="000000" w:themeColor="text1"/>
                <w:sz w:val="18"/>
                <w:szCs w:val="18"/>
              </w:rPr>
            </w:pPr>
            <w:r w:rsidRPr="007006ED">
              <w:rPr>
                <w:color w:val="000000" w:themeColor="text1"/>
                <w:sz w:val="18"/>
                <w:szCs w:val="18"/>
              </w:rPr>
              <w:t>Chi-Square</w:t>
            </w:r>
          </w:p>
        </w:tc>
      </w:tr>
      <w:tr w:rsidR="007006ED" w:rsidRPr="007006ED" w14:paraId="1A843E9D" w14:textId="77777777" w:rsidTr="007515C7">
        <w:trPr>
          <w:trHeight w:val="20"/>
        </w:trPr>
        <w:tc>
          <w:tcPr>
            <w:tcW w:w="2577" w:type="pct"/>
            <w:gridSpan w:val="2"/>
            <w:vMerge/>
            <w:vAlign w:val="center"/>
            <w:hideMark/>
          </w:tcPr>
          <w:p w14:paraId="15796290" w14:textId="77777777" w:rsidR="003558C9" w:rsidRPr="007006ED" w:rsidRDefault="003558C9" w:rsidP="002807B8">
            <w:pPr>
              <w:bidi w:val="0"/>
              <w:rPr>
                <w:color w:val="000000" w:themeColor="text1"/>
                <w:sz w:val="18"/>
                <w:szCs w:val="18"/>
              </w:rPr>
            </w:pPr>
          </w:p>
        </w:tc>
        <w:tc>
          <w:tcPr>
            <w:tcW w:w="714" w:type="pct"/>
            <w:gridSpan w:val="2"/>
            <w:noWrap/>
            <w:vAlign w:val="center"/>
            <w:hideMark/>
          </w:tcPr>
          <w:p w14:paraId="6CC6F74A" w14:textId="77777777" w:rsidR="003558C9" w:rsidRPr="007006ED" w:rsidRDefault="003558C9" w:rsidP="002807B8">
            <w:pPr>
              <w:bidi w:val="0"/>
              <w:rPr>
                <w:color w:val="000000" w:themeColor="text1"/>
                <w:sz w:val="18"/>
                <w:szCs w:val="18"/>
              </w:rPr>
            </w:pPr>
            <w:r w:rsidRPr="007006ED">
              <w:rPr>
                <w:color w:val="000000" w:themeColor="text1"/>
                <w:sz w:val="18"/>
                <w:szCs w:val="18"/>
              </w:rPr>
              <w:t>Yes</w:t>
            </w:r>
          </w:p>
        </w:tc>
        <w:tc>
          <w:tcPr>
            <w:tcW w:w="718" w:type="pct"/>
            <w:gridSpan w:val="2"/>
            <w:noWrap/>
            <w:vAlign w:val="center"/>
            <w:hideMark/>
          </w:tcPr>
          <w:p w14:paraId="2809CEF1" w14:textId="77777777" w:rsidR="003558C9" w:rsidRPr="007006ED" w:rsidRDefault="003558C9" w:rsidP="002807B8">
            <w:pPr>
              <w:bidi w:val="0"/>
              <w:rPr>
                <w:color w:val="000000" w:themeColor="text1"/>
                <w:sz w:val="18"/>
                <w:szCs w:val="18"/>
              </w:rPr>
            </w:pPr>
            <w:r w:rsidRPr="007006ED">
              <w:rPr>
                <w:color w:val="000000" w:themeColor="text1"/>
                <w:sz w:val="18"/>
                <w:szCs w:val="18"/>
              </w:rPr>
              <w:t>No</w:t>
            </w:r>
          </w:p>
        </w:tc>
        <w:tc>
          <w:tcPr>
            <w:tcW w:w="991" w:type="pct"/>
            <w:gridSpan w:val="3"/>
            <w:vMerge/>
            <w:vAlign w:val="center"/>
            <w:hideMark/>
          </w:tcPr>
          <w:p w14:paraId="1B54AD2C" w14:textId="77777777" w:rsidR="003558C9" w:rsidRPr="007006ED" w:rsidRDefault="003558C9" w:rsidP="002807B8">
            <w:pPr>
              <w:bidi w:val="0"/>
              <w:rPr>
                <w:color w:val="000000" w:themeColor="text1"/>
                <w:sz w:val="18"/>
                <w:szCs w:val="18"/>
              </w:rPr>
            </w:pPr>
          </w:p>
        </w:tc>
      </w:tr>
      <w:tr w:rsidR="007006ED" w:rsidRPr="007006ED" w14:paraId="47948A14" w14:textId="77777777" w:rsidTr="007515C7">
        <w:trPr>
          <w:trHeight w:val="20"/>
        </w:trPr>
        <w:tc>
          <w:tcPr>
            <w:tcW w:w="2577" w:type="pct"/>
            <w:gridSpan w:val="2"/>
            <w:vMerge/>
            <w:tcBorders>
              <w:bottom w:val="single" w:sz="4" w:space="0" w:color="auto"/>
            </w:tcBorders>
            <w:vAlign w:val="center"/>
            <w:hideMark/>
          </w:tcPr>
          <w:p w14:paraId="5E62C767" w14:textId="77777777" w:rsidR="003558C9" w:rsidRPr="007006ED" w:rsidRDefault="003558C9" w:rsidP="002807B8">
            <w:pPr>
              <w:bidi w:val="0"/>
              <w:rPr>
                <w:color w:val="000000" w:themeColor="text1"/>
                <w:sz w:val="18"/>
                <w:szCs w:val="18"/>
              </w:rPr>
            </w:pPr>
          </w:p>
        </w:tc>
        <w:tc>
          <w:tcPr>
            <w:tcW w:w="299" w:type="pct"/>
            <w:tcBorders>
              <w:bottom w:val="single" w:sz="4" w:space="0" w:color="auto"/>
            </w:tcBorders>
            <w:noWrap/>
            <w:vAlign w:val="center"/>
            <w:hideMark/>
          </w:tcPr>
          <w:p w14:paraId="0E88A75E" w14:textId="77777777" w:rsidR="003558C9" w:rsidRPr="007006ED" w:rsidRDefault="003558C9" w:rsidP="002807B8">
            <w:pPr>
              <w:bidi w:val="0"/>
              <w:rPr>
                <w:color w:val="000000" w:themeColor="text1"/>
                <w:sz w:val="18"/>
                <w:szCs w:val="18"/>
              </w:rPr>
            </w:pPr>
            <w:r w:rsidRPr="007006ED">
              <w:rPr>
                <w:color w:val="000000" w:themeColor="text1"/>
                <w:sz w:val="18"/>
                <w:szCs w:val="18"/>
              </w:rPr>
              <w:t>N</w:t>
            </w:r>
          </w:p>
        </w:tc>
        <w:tc>
          <w:tcPr>
            <w:tcW w:w="415" w:type="pct"/>
            <w:tcBorders>
              <w:bottom w:val="single" w:sz="4" w:space="0" w:color="auto"/>
            </w:tcBorders>
            <w:noWrap/>
            <w:vAlign w:val="center"/>
            <w:hideMark/>
          </w:tcPr>
          <w:p w14:paraId="2B8978AC" w14:textId="77777777" w:rsidR="003558C9" w:rsidRPr="007006ED" w:rsidRDefault="003558C9" w:rsidP="002807B8">
            <w:pPr>
              <w:bidi w:val="0"/>
              <w:rPr>
                <w:color w:val="000000" w:themeColor="text1"/>
                <w:sz w:val="18"/>
                <w:szCs w:val="18"/>
              </w:rPr>
            </w:pPr>
            <w:r w:rsidRPr="007006ED">
              <w:rPr>
                <w:color w:val="000000" w:themeColor="text1"/>
                <w:sz w:val="18"/>
                <w:szCs w:val="18"/>
              </w:rPr>
              <w:t>%</w:t>
            </w:r>
          </w:p>
        </w:tc>
        <w:tc>
          <w:tcPr>
            <w:tcW w:w="235" w:type="pct"/>
            <w:tcBorders>
              <w:bottom w:val="single" w:sz="4" w:space="0" w:color="auto"/>
            </w:tcBorders>
            <w:noWrap/>
            <w:vAlign w:val="center"/>
            <w:hideMark/>
          </w:tcPr>
          <w:p w14:paraId="53E728D0" w14:textId="77777777" w:rsidR="003558C9" w:rsidRPr="007006ED" w:rsidRDefault="003558C9" w:rsidP="002807B8">
            <w:pPr>
              <w:bidi w:val="0"/>
              <w:rPr>
                <w:color w:val="000000" w:themeColor="text1"/>
                <w:sz w:val="18"/>
                <w:szCs w:val="18"/>
              </w:rPr>
            </w:pPr>
            <w:r w:rsidRPr="007006ED">
              <w:rPr>
                <w:color w:val="000000" w:themeColor="text1"/>
                <w:sz w:val="18"/>
                <w:szCs w:val="18"/>
              </w:rPr>
              <w:t>N</w:t>
            </w:r>
          </w:p>
        </w:tc>
        <w:tc>
          <w:tcPr>
            <w:tcW w:w="483" w:type="pct"/>
            <w:tcBorders>
              <w:bottom w:val="single" w:sz="4" w:space="0" w:color="auto"/>
            </w:tcBorders>
            <w:noWrap/>
            <w:vAlign w:val="center"/>
            <w:hideMark/>
          </w:tcPr>
          <w:p w14:paraId="66159498" w14:textId="77777777" w:rsidR="003558C9" w:rsidRPr="007006ED" w:rsidRDefault="003558C9" w:rsidP="002807B8">
            <w:pPr>
              <w:bidi w:val="0"/>
              <w:rPr>
                <w:color w:val="000000" w:themeColor="text1"/>
                <w:sz w:val="18"/>
                <w:szCs w:val="18"/>
              </w:rPr>
            </w:pPr>
            <w:r w:rsidRPr="007006ED">
              <w:rPr>
                <w:color w:val="000000" w:themeColor="text1"/>
                <w:sz w:val="18"/>
                <w:szCs w:val="18"/>
              </w:rPr>
              <w:t>%</w:t>
            </w:r>
          </w:p>
        </w:tc>
        <w:tc>
          <w:tcPr>
            <w:tcW w:w="462" w:type="pct"/>
            <w:gridSpan w:val="2"/>
            <w:tcBorders>
              <w:bottom w:val="single" w:sz="4" w:space="0" w:color="auto"/>
            </w:tcBorders>
            <w:noWrap/>
            <w:vAlign w:val="center"/>
            <w:hideMark/>
          </w:tcPr>
          <w:p w14:paraId="64F26DAC" w14:textId="77777777" w:rsidR="003558C9" w:rsidRPr="007006ED" w:rsidRDefault="003558C9" w:rsidP="002807B8">
            <w:pPr>
              <w:bidi w:val="0"/>
              <w:rPr>
                <w:color w:val="000000" w:themeColor="text1"/>
                <w:sz w:val="18"/>
                <w:szCs w:val="18"/>
              </w:rPr>
            </w:pPr>
            <w:r w:rsidRPr="007006ED">
              <w:rPr>
                <w:color w:val="000000" w:themeColor="text1"/>
                <w:sz w:val="18"/>
                <w:szCs w:val="18"/>
              </w:rPr>
              <w:t>X</w:t>
            </w:r>
            <w:r w:rsidRPr="007006ED">
              <w:rPr>
                <w:color w:val="000000" w:themeColor="text1"/>
                <w:sz w:val="18"/>
                <w:szCs w:val="18"/>
                <w:vertAlign w:val="superscript"/>
              </w:rPr>
              <w:t>2</w:t>
            </w:r>
          </w:p>
        </w:tc>
        <w:tc>
          <w:tcPr>
            <w:tcW w:w="529" w:type="pct"/>
            <w:noWrap/>
            <w:vAlign w:val="center"/>
            <w:hideMark/>
          </w:tcPr>
          <w:p w14:paraId="43665340" w14:textId="77777777" w:rsidR="003558C9" w:rsidRPr="007006ED" w:rsidRDefault="003558C9" w:rsidP="002807B8">
            <w:pPr>
              <w:bidi w:val="0"/>
              <w:rPr>
                <w:color w:val="000000" w:themeColor="text1"/>
                <w:sz w:val="18"/>
                <w:szCs w:val="18"/>
              </w:rPr>
            </w:pPr>
            <w:r w:rsidRPr="007006ED">
              <w:rPr>
                <w:color w:val="000000" w:themeColor="text1"/>
                <w:sz w:val="18"/>
                <w:szCs w:val="18"/>
              </w:rPr>
              <w:t>P-value</w:t>
            </w:r>
          </w:p>
        </w:tc>
      </w:tr>
      <w:tr w:rsidR="007006ED" w:rsidRPr="007006ED" w14:paraId="63A8E301" w14:textId="77777777" w:rsidTr="007515C7">
        <w:trPr>
          <w:trHeight w:val="20"/>
        </w:trPr>
        <w:tc>
          <w:tcPr>
            <w:tcW w:w="1238" w:type="pct"/>
            <w:vMerge w:val="restart"/>
            <w:tcBorders>
              <w:top w:val="single" w:sz="4" w:space="0" w:color="auto"/>
            </w:tcBorders>
            <w:noWrap/>
            <w:vAlign w:val="center"/>
            <w:hideMark/>
          </w:tcPr>
          <w:p w14:paraId="2881F437" w14:textId="77777777" w:rsidR="003558C9" w:rsidRPr="007006ED" w:rsidRDefault="003558C9" w:rsidP="002807B8">
            <w:pPr>
              <w:bidi w:val="0"/>
              <w:rPr>
                <w:color w:val="000000" w:themeColor="text1"/>
                <w:sz w:val="18"/>
                <w:szCs w:val="18"/>
              </w:rPr>
            </w:pPr>
            <w:r w:rsidRPr="007006ED">
              <w:rPr>
                <w:color w:val="000000" w:themeColor="text1"/>
                <w:sz w:val="18"/>
                <w:szCs w:val="18"/>
              </w:rPr>
              <w:t>Imaging Outcome</w:t>
            </w:r>
          </w:p>
        </w:tc>
        <w:tc>
          <w:tcPr>
            <w:tcW w:w="1339" w:type="pct"/>
            <w:tcBorders>
              <w:top w:val="single" w:sz="4" w:space="0" w:color="auto"/>
            </w:tcBorders>
            <w:noWrap/>
            <w:vAlign w:val="center"/>
            <w:hideMark/>
          </w:tcPr>
          <w:p w14:paraId="1C829862" w14:textId="77777777" w:rsidR="003558C9" w:rsidRPr="007006ED" w:rsidRDefault="003558C9" w:rsidP="002807B8">
            <w:pPr>
              <w:bidi w:val="0"/>
              <w:rPr>
                <w:color w:val="000000" w:themeColor="text1"/>
                <w:sz w:val="18"/>
                <w:szCs w:val="18"/>
              </w:rPr>
            </w:pPr>
            <w:r w:rsidRPr="007006ED">
              <w:rPr>
                <w:color w:val="000000" w:themeColor="text1"/>
                <w:sz w:val="18"/>
                <w:szCs w:val="18"/>
              </w:rPr>
              <w:t>Remission</w:t>
            </w:r>
          </w:p>
        </w:tc>
        <w:tc>
          <w:tcPr>
            <w:tcW w:w="299" w:type="pct"/>
            <w:tcBorders>
              <w:top w:val="single" w:sz="4" w:space="0" w:color="auto"/>
            </w:tcBorders>
            <w:noWrap/>
            <w:vAlign w:val="center"/>
            <w:hideMark/>
          </w:tcPr>
          <w:p w14:paraId="591C9621" w14:textId="77777777" w:rsidR="003558C9" w:rsidRPr="007006ED" w:rsidRDefault="003558C9" w:rsidP="002807B8">
            <w:pPr>
              <w:bidi w:val="0"/>
              <w:rPr>
                <w:color w:val="000000" w:themeColor="text1"/>
                <w:sz w:val="18"/>
                <w:szCs w:val="18"/>
              </w:rPr>
            </w:pPr>
            <w:r w:rsidRPr="007006ED">
              <w:rPr>
                <w:color w:val="000000" w:themeColor="text1"/>
                <w:sz w:val="18"/>
                <w:szCs w:val="18"/>
              </w:rPr>
              <w:t>12</w:t>
            </w:r>
          </w:p>
        </w:tc>
        <w:tc>
          <w:tcPr>
            <w:tcW w:w="415" w:type="pct"/>
            <w:tcBorders>
              <w:top w:val="single" w:sz="4" w:space="0" w:color="auto"/>
            </w:tcBorders>
            <w:noWrap/>
            <w:vAlign w:val="center"/>
            <w:hideMark/>
          </w:tcPr>
          <w:p w14:paraId="38B86879" w14:textId="77777777" w:rsidR="003558C9" w:rsidRPr="007006ED" w:rsidRDefault="003558C9" w:rsidP="002807B8">
            <w:pPr>
              <w:bidi w:val="0"/>
              <w:rPr>
                <w:color w:val="000000" w:themeColor="text1"/>
                <w:sz w:val="18"/>
                <w:szCs w:val="18"/>
              </w:rPr>
            </w:pPr>
            <w:r w:rsidRPr="007006ED">
              <w:rPr>
                <w:color w:val="000000" w:themeColor="text1"/>
                <w:sz w:val="18"/>
                <w:szCs w:val="18"/>
              </w:rPr>
              <w:t>48.00</w:t>
            </w:r>
          </w:p>
        </w:tc>
        <w:tc>
          <w:tcPr>
            <w:tcW w:w="235" w:type="pct"/>
            <w:tcBorders>
              <w:top w:val="single" w:sz="4" w:space="0" w:color="auto"/>
            </w:tcBorders>
            <w:noWrap/>
            <w:vAlign w:val="center"/>
            <w:hideMark/>
          </w:tcPr>
          <w:p w14:paraId="158CC6CC" w14:textId="77777777" w:rsidR="003558C9" w:rsidRPr="007006ED" w:rsidRDefault="003558C9" w:rsidP="002807B8">
            <w:pPr>
              <w:bidi w:val="0"/>
              <w:rPr>
                <w:color w:val="000000" w:themeColor="text1"/>
                <w:sz w:val="18"/>
                <w:szCs w:val="18"/>
              </w:rPr>
            </w:pPr>
            <w:r w:rsidRPr="007006ED">
              <w:rPr>
                <w:color w:val="000000" w:themeColor="text1"/>
                <w:sz w:val="18"/>
                <w:szCs w:val="18"/>
              </w:rPr>
              <w:t>58</w:t>
            </w:r>
          </w:p>
        </w:tc>
        <w:tc>
          <w:tcPr>
            <w:tcW w:w="483" w:type="pct"/>
            <w:tcBorders>
              <w:top w:val="single" w:sz="4" w:space="0" w:color="auto"/>
            </w:tcBorders>
            <w:noWrap/>
            <w:vAlign w:val="center"/>
            <w:hideMark/>
          </w:tcPr>
          <w:p w14:paraId="54B3359B" w14:textId="77777777" w:rsidR="003558C9" w:rsidRPr="007006ED" w:rsidRDefault="003558C9" w:rsidP="002807B8">
            <w:pPr>
              <w:bidi w:val="0"/>
              <w:rPr>
                <w:color w:val="000000" w:themeColor="text1"/>
                <w:sz w:val="18"/>
                <w:szCs w:val="18"/>
              </w:rPr>
            </w:pPr>
            <w:r w:rsidRPr="007006ED">
              <w:rPr>
                <w:color w:val="000000" w:themeColor="text1"/>
                <w:sz w:val="18"/>
                <w:szCs w:val="18"/>
              </w:rPr>
              <w:t>89.23</w:t>
            </w:r>
          </w:p>
        </w:tc>
        <w:tc>
          <w:tcPr>
            <w:tcW w:w="462" w:type="pct"/>
            <w:gridSpan w:val="2"/>
            <w:vMerge w:val="restart"/>
            <w:tcBorders>
              <w:top w:val="single" w:sz="4" w:space="0" w:color="auto"/>
            </w:tcBorders>
            <w:noWrap/>
            <w:vAlign w:val="center"/>
            <w:hideMark/>
          </w:tcPr>
          <w:p w14:paraId="7A1C6FAB" w14:textId="77777777" w:rsidR="003558C9" w:rsidRPr="007006ED" w:rsidRDefault="003558C9" w:rsidP="002807B8">
            <w:pPr>
              <w:bidi w:val="0"/>
              <w:rPr>
                <w:color w:val="000000" w:themeColor="text1"/>
                <w:sz w:val="18"/>
                <w:szCs w:val="18"/>
              </w:rPr>
            </w:pPr>
            <w:r w:rsidRPr="007006ED">
              <w:rPr>
                <w:color w:val="000000" w:themeColor="text1"/>
                <w:sz w:val="18"/>
                <w:szCs w:val="18"/>
              </w:rPr>
              <w:t>17.759</w:t>
            </w:r>
          </w:p>
        </w:tc>
        <w:tc>
          <w:tcPr>
            <w:tcW w:w="529" w:type="pct"/>
            <w:vMerge w:val="restart"/>
            <w:noWrap/>
            <w:vAlign w:val="center"/>
            <w:hideMark/>
          </w:tcPr>
          <w:p w14:paraId="2FF4F6B2" w14:textId="77777777" w:rsidR="003558C9" w:rsidRPr="007006ED" w:rsidRDefault="003558C9" w:rsidP="002807B8">
            <w:pPr>
              <w:bidi w:val="0"/>
              <w:rPr>
                <w:color w:val="000000" w:themeColor="text1"/>
                <w:sz w:val="18"/>
                <w:szCs w:val="18"/>
              </w:rPr>
            </w:pPr>
            <w:r w:rsidRPr="007006ED">
              <w:rPr>
                <w:color w:val="000000" w:themeColor="text1"/>
                <w:sz w:val="18"/>
                <w:szCs w:val="18"/>
              </w:rPr>
              <w:t>&lt;0.001*</w:t>
            </w:r>
          </w:p>
        </w:tc>
      </w:tr>
      <w:tr w:rsidR="007006ED" w:rsidRPr="007006ED" w14:paraId="3D618628" w14:textId="77777777" w:rsidTr="007515C7">
        <w:trPr>
          <w:trHeight w:val="20"/>
        </w:trPr>
        <w:tc>
          <w:tcPr>
            <w:tcW w:w="1238" w:type="pct"/>
            <w:vMerge/>
            <w:vAlign w:val="center"/>
            <w:hideMark/>
          </w:tcPr>
          <w:p w14:paraId="61197D1F" w14:textId="77777777" w:rsidR="003558C9" w:rsidRPr="007006ED" w:rsidRDefault="003558C9" w:rsidP="002807B8">
            <w:pPr>
              <w:bidi w:val="0"/>
              <w:rPr>
                <w:color w:val="000000" w:themeColor="text1"/>
                <w:sz w:val="18"/>
                <w:szCs w:val="18"/>
              </w:rPr>
            </w:pPr>
          </w:p>
        </w:tc>
        <w:tc>
          <w:tcPr>
            <w:tcW w:w="1339" w:type="pct"/>
            <w:noWrap/>
            <w:vAlign w:val="center"/>
            <w:hideMark/>
          </w:tcPr>
          <w:p w14:paraId="29E1ED59" w14:textId="77777777" w:rsidR="003558C9" w:rsidRPr="007006ED" w:rsidRDefault="003558C9" w:rsidP="002807B8">
            <w:pPr>
              <w:bidi w:val="0"/>
              <w:rPr>
                <w:color w:val="000000" w:themeColor="text1"/>
                <w:sz w:val="18"/>
                <w:szCs w:val="18"/>
              </w:rPr>
            </w:pPr>
            <w:r w:rsidRPr="007006ED">
              <w:rPr>
                <w:color w:val="000000" w:themeColor="text1"/>
                <w:sz w:val="18"/>
                <w:szCs w:val="18"/>
              </w:rPr>
              <w:t>Incomplete Remission</w:t>
            </w:r>
          </w:p>
        </w:tc>
        <w:tc>
          <w:tcPr>
            <w:tcW w:w="299" w:type="pct"/>
            <w:noWrap/>
            <w:vAlign w:val="center"/>
            <w:hideMark/>
          </w:tcPr>
          <w:p w14:paraId="5B5B3610" w14:textId="77777777" w:rsidR="003558C9" w:rsidRPr="007006ED" w:rsidRDefault="003558C9" w:rsidP="002807B8">
            <w:pPr>
              <w:bidi w:val="0"/>
              <w:rPr>
                <w:color w:val="000000" w:themeColor="text1"/>
                <w:sz w:val="18"/>
                <w:szCs w:val="18"/>
              </w:rPr>
            </w:pPr>
            <w:r w:rsidRPr="007006ED">
              <w:rPr>
                <w:color w:val="000000" w:themeColor="text1"/>
                <w:sz w:val="18"/>
                <w:szCs w:val="18"/>
              </w:rPr>
              <w:t>13</w:t>
            </w:r>
          </w:p>
        </w:tc>
        <w:tc>
          <w:tcPr>
            <w:tcW w:w="415" w:type="pct"/>
            <w:noWrap/>
            <w:vAlign w:val="center"/>
            <w:hideMark/>
          </w:tcPr>
          <w:p w14:paraId="5535EFA2" w14:textId="77777777" w:rsidR="003558C9" w:rsidRPr="007006ED" w:rsidRDefault="003558C9" w:rsidP="002807B8">
            <w:pPr>
              <w:bidi w:val="0"/>
              <w:rPr>
                <w:color w:val="000000" w:themeColor="text1"/>
                <w:sz w:val="18"/>
                <w:szCs w:val="18"/>
              </w:rPr>
            </w:pPr>
            <w:r w:rsidRPr="007006ED">
              <w:rPr>
                <w:color w:val="000000" w:themeColor="text1"/>
                <w:sz w:val="18"/>
                <w:szCs w:val="18"/>
              </w:rPr>
              <w:t>52.00</w:t>
            </w:r>
          </w:p>
        </w:tc>
        <w:tc>
          <w:tcPr>
            <w:tcW w:w="235" w:type="pct"/>
            <w:noWrap/>
            <w:vAlign w:val="center"/>
            <w:hideMark/>
          </w:tcPr>
          <w:p w14:paraId="1137024E" w14:textId="77777777" w:rsidR="003558C9" w:rsidRPr="007006ED" w:rsidRDefault="003558C9" w:rsidP="002807B8">
            <w:pPr>
              <w:bidi w:val="0"/>
              <w:rPr>
                <w:color w:val="000000" w:themeColor="text1"/>
                <w:sz w:val="18"/>
                <w:szCs w:val="18"/>
              </w:rPr>
            </w:pPr>
            <w:r w:rsidRPr="007006ED">
              <w:rPr>
                <w:color w:val="000000" w:themeColor="text1"/>
                <w:sz w:val="18"/>
                <w:szCs w:val="18"/>
              </w:rPr>
              <w:t>7</w:t>
            </w:r>
          </w:p>
        </w:tc>
        <w:tc>
          <w:tcPr>
            <w:tcW w:w="483" w:type="pct"/>
            <w:noWrap/>
            <w:vAlign w:val="center"/>
            <w:hideMark/>
          </w:tcPr>
          <w:p w14:paraId="066025C2" w14:textId="77777777" w:rsidR="003558C9" w:rsidRPr="007006ED" w:rsidRDefault="003558C9" w:rsidP="002807B8">
            <w:pPr>
              <w:bidi w:val="0"/>
              <w:rPr>
                <w:color w:val="000000" w:themeColor="text1"/>
                <w:sz w:val="18"/>
                <w:szCs w:val="18"/>
              </w:rPr>
            </w:pPr>
            <w:r w:rsidRPr="007006ED">
              <w:rPr>
                <w:color w:val="000000" w:themeColor="text1"/>
                <w:sz w:val="18"/>
                <w:szCs w:val="18"/>
              </w:rPr>
              <w:t>10.77</w:t>
            </w:r>
          </w:p>
        </w:tc>
        <w:tc>
          <w:tcPr>
            <w:tcW w:w="462" w:type="pct"/>
            <w:gridSpan w:val="2"/>
            <w:vMerge/>
            <w:vAlign w:val="center"/>
            <w:hideMark/>
          </w:tcPr>
          <w:p w14:paraId="31953887" w14:textId="77777777" w:rsidR="003558C9" w:rsidRPr="007006ED" w:rsidRDefault="003558C9" w:rsidP="002807B8">
            <w:pPr>
              <w:bidi w:val="0"/>
              <w:rPr>
                <w:color w:val="000000" w:themeColor="text1"/>
                <w:sz w:val="18"/>
                <w:szCs w:val="18"/>
              </w:rPr>
            </w:pPr>
          </w:p>
        </w:tc>
        <w:tc>
          <w:tcPr>
            <w:tcW w:w="529" w:type="pct"/>
            <w:vMerge/>
            <w:vAlign w:val="center"/>
            <w:hideMark/>
          </w:tcPr>
          <w:p w14:paraId="44A65D99" w14:textId="77777777" w:rsidR="003558C9" w:rsidRPr="007006ED" w:rsidRDefault="003558C9" w:rsidP="002807B8">
            <w:pPr>
              <w:bidi w:val="0"/>
              <w:rPr>
                <w:color w:val="000000" w:themeColor="text1"/>
                <w:sz w:val="18"/>
                <w:szCs w:val="18"/>
              </w:rPr>
            </w:pPr>
          </w:p>
        </w:tc>
      </w:tr>
      <w:tr w:rsidR="007006ED" w:rsidRPr="007006ED" w14:paraId="2D6C2ACF" w14:textId="77777777" w:rsidTr="007515C7">
        <w:trPr>
          <w:trHeight w:val="20"/>
        </w:trPr>
        <w:tc>
          <w:tcPr>
            <w:tcW w:w="1238" w:type="pct"/>
            <w:vMerge w:val="restart"/>
            <w:noWrap/>
            <w:vAlign w:val="center"/>
            <w:hideMark/>
          </w:tcPr>
          <w:p w14:paraId="6164829F" w14:textId="77777777" w:rsidR="003558C9" w:rsidRPr="007006ED" w:rsidRDefault="003558C9" w:rsidP="002807B8">
            <w:pPr>
              <w:bidi w:val="0"/>
              <w:rPr>
                <w:color w:val="000000" w:themeColor="text1"/>
                <w:sz w:val="18"/>
                <w:szCs w:val="18"/>
              </w:rPr>
            </w:pPr>
          </w:p>
        </w:tc>
        <w:tc>
          <w:tcPr>
            <w:tcW w:w="1339" w:type="pct"/>
            <w:vMerge w:val="restart"/>
            <w:noWrap/>
            <w:vAlign w:val="center"/>
            <w:hideMark/>
          </w:tcPr>
          <w:p w14:paraId="67F402A6" w14:textId="77777777" w:rsidR="003558C9" w:rsidRPr="007006ED" w:rsidRDefault="003558C9" w:rsidP="002807B8">
            <w:pPr>
              <w:bidi w:val="0"/>
              <w:rPr>
                <w:color w:val="000000" w:themeColor="text1"/>
                <w:sz w:val="18"/>
                <w:szCs w:val="18"/>
              </w:rPr>
            </w:pPr>
            <w:r w:rsidRPr="007006ED">
              <w:rPr>
                <w:color w:val="000000" w:themeColor="text1"/>
                <w:sz w:val="18"/>
                <w:szCs w:val="18"/>
              </w:rPr>
              <w:t>Imaging Outcome</w:t>
            </w:r>
          </w:p>
        </w:tc>
        <w:tc>
          <w:tcPr>
            <w:tcW w:w="1432" w:type="pct"/>
            <w:gridSpan w:val="4"/>
            <w:noWrap/>
            <w:vAlign w:val="center"/>
            <w:hideMark/>
          </w:tcPr>
          <w:p w14:paraId="171681EF" w14:textId="77777777" w:rsidR="003558C9" w:rsidRPr="007006ED" w:rsidRDefault="003558C9" w:rsidP="002807B8">
            <w:pPr>
              <w:bidi w:val="0"/>
              <w:rPr>
                <w:color w:val="000000" w:themeColor="text1"/>
                <w:sz w:val="18"/>
                <w:szCs w:val="18"/>
              </w:rPr>
            </w:pPr>
            <w:r w:rsidRPr="007006ED">
              <w:rPr>
                <w:color w:val="000000" w:themeColor="text1"/>
                <w:sz w:val="18"/>
                <w:szCs w:val="18"/>
              </w:rPr>
              <w:t>NSAIDs</w:t>
            </w:r>
          </w:p>
        </w:tc>
        <w:tc>
          <w:tcPr>
            <w:tcW w:w="991" w:type="pct"/>
            <w:gridSpan w:val="3"/>
            <w:vMerge w:val="restart"/>
            <w:noWrap/>
            <w:vAlign w:val="center"/>
            <w:hideMark/>
          </w:tcPr>
          <w:p w14:paraId="55836951" w14:textId="77777777" w:rsidR="003558C9" w:rsidRPr="007006ED" w:rsidRDefault="003558C9" w:rsidP="002807B8">
            <w:pPr>
              <w:bidi w:val="0"/>
              <w:rPr>
                <w:color w:val="000000" w:themeColor="text1"/>
                <w:sz w:val="18"/>
                <w:szCs w:val="18"/>
              </w:rPr>
            </w:pPr>
            <w:r w:rsidRPr="007006ED">
              <w:rPr>
                <w:color w:val="000000" w:themeColor="text1"/>
                <w:sz w:val="18"/>
                <w:szCs w:val="18"/>
              </w:rPr>
              <w:t>Chi-Square</w:t>
            </w:r>
          </w:p>
        </w:tc>
      </w:tr>
      <w:tr w:rsidR="007006ED" w:rsidRPr="007006ED" w14:paraId="43CB327F" w14:textId="77777777" w:rsidTr="007515C7">
        <w:trPr>
          <w:trHeight w:val="20"/>
        </w:trPr>
        <w:tc>
          <w:tcPr>
            <w:tcW w:w="1238" w:type="pct"/>
            <w:vMerge/>
            <w:vAlign w:val="center"/>
            <w:hideMark/>
          </w:tcPr>
          <w:p w14:paraId="29B30DA2" w14:textId="77777777" w:rsidR="003558C9" w:rsidRPr="007006ED" w:rsidRDefault="003558C9" w:rsidP="002807B8">
            <w:pPr>
              <w:bidi w:val="0"/>
              <w:rPr>
                <w:color w:val="000000" w:themeColor="text1"/>
                <w:sz w:val="18"/>
                <w:szCs w:val="18"/>
              </w:rPr>
            </w:pPr>
          </w:p>
        </w:tc>
        <w:tc>
          <w:tcPr>
            <w:tcW w:w="1339" w:type="pct"/>
            <w:vMerge/>
            <w:vAlign w:val="center"/>
            <w:hideMark/>
          </w:tcPr>
          <w:p w14:paraId="551ECFCD" w14:textId="77777777" w:rsidR="003558C9" w:rsidRPr="007006ED" w:rsidRDefault="003558C9" w:rsidP="002807B8">
            <w:pPr>
              <w:bidi w:val="0"/>
              <w:rPr>
                <w:color w:val="000000" w:themeColor="text1"/>
                <w:sz w:val="18"/>
                <w:szCs w:val="18"/>
              </w:rPr>
            </w:pPr>
          </w:p>
        </w:tc>
        <w:tc>
          <w:tcPr>
            <w:tcW w:w="714" w:type="pct"/>
            <w:gridSpan w:val="2"/>
            <w:noWrap/>
            <w:vAlign w:val="center"/>
            <w:hideMark/>
          </w:tcPr>
          <w:p w14:paraId="1A16BE0C" w14:textId="77777777" w:rsidR="003558C9" w:rsidRPr="007006ED" w:rsidRDefault="003558C9" w:rsidP="002807B8">
            <w:pPr>
              <w:bidi w:val="0"/>
              <w:rPr>
                <w:color w:val="000000" w:themeColor="text1"/>
                <w:sz w:val="18"/>
                <w:szCs w:val="18"/>
              </w:rPr>
            </w:pPr>
            <w:r w:rsidRPr="007006ED">
              <w:rPr>
                <w:color w:val="000000" w:themeColor="text1"/>
                <w:sz w:val="18"/>
                <w:szCs w:val="18"/>
              </w:rPr>
              <w:t>Yes</w:t>
            </w:r>
          </w:p>
        </w:tc>
        <w:tc>
          <w:tcPr>
            <w:tcW w:w="718" w:type="pct"/>
            <w:gridSpan w:val="2"/>
            <w:noWrap/>
            <w:vAlign w:val="center"/>
            <w:hideMark/>
          </w:tcPr>
          <w:p w14:paraId="75858C47" w14:textId="77777777" w:rsidR="003558C9" w:rsidRPr="007006ED" w:rsidRDefault="003558C9" w:rsidP="002807B8">
            <w:pPr>
              <w:bidi w:val="0"/>
              <w:rPr>
                <w:color w:val="000000" w:themeColor="text1"/>
                <w:sz w:val="18"/>
                <w:szCs w:val="18"/>
              </w:rPr>
            </w:pPr>
            <w:r w:rsidRPr="007006ED">
              <w:rPr>
                <w:color w:val="000000" w:themeColor="text1"/>
                <w:sz w:val="18"/>
                <w:szCs w:val="18"/>
              </w:rPr>
              <w:t>No</w:t>
            </w:r>
          </w:p>
        </w:tc>
        <w:tc>
          <w:tcPr>
            <w:tcW w:w="991" w:type="pct"/>
            <w:gridSpan w:val="3"/>
            <w:vMerge/>
            <w:vAlign w:val="center"/>
            <w:hideMark/>
          </w:tcPr>
          <w:p w14:paraId="1F63694B" w14:textId="77777777" w:rsidR="003558C9" w:rsidRPr="007006ED" w:rsidRDefault="003558C9" w:rsidP="002807B8">
            <w:pPr>
              <w:bidi w:val="0"/>
              <w:rPr>
                <w:color w:val="000000" w:themeColor="text1"/>
                <w:sz w:val="18"/>
                <w:szCs w:val="18"/>
              </w:rPr>
            </w:pPr>
          </w:p>
        </w:tc>
      </w:tr>
      <w:tr w:rsidR="007006ED" w:rsidRPr="007006ED" w14:paraId="11937E92" w14:textId="77777777" w:rsidTr="007515C7">
        <w:trPr>
          <w:trHeight w:val="20"/>
        </w:trPr>
        <w:tc>
          <w:tcPr>
            <w:tcW w:w="1238" w:type="pct"/>
            <w:vMerge/>
            <w:vAlign w:val="center"/>
            <w:hideMark/>
          </w:tcPr>
          <w:p w14:paraId="655CFA37" w14:textId="77777777" w:rsidR="003558C9" w:rsidRPr="007006ED" w:rsidRDefault="003558C9" w:rsidP="002807B8">
            <w:pPr>
              <w:bidi w:val="0"/>
              <w:rPr>
                <w:color w:val="000000" w:themeColor="text1"/>
                <w:sz w:val="18"/>
                <w:szCs w:val="18"/>
              </w:rPr>
            </w:pPr>
          </w:p>
        </w:tc>
        <w:tc>
          <w:tcPr>
            <w:tcW w:w="1339" w:type="pct"/>
            <w:vMerge/>
            <w:vAlign w:val="center"/>
            <w:hideMark/>
          </w:tcPr>
          <w:p w14:paraId="3AF80625" w14:textId="77777777" w:rsidR="003558C9" w:rsidRPr="007006ED" w:rsidRDefault="003558C9" w:rsidP="002807B8">
            <w:pPr>
              <w:bidi w:val="0"/>
              <w:rPr>
                <w:color w:val="000000" w:themeColor="text1"/>
                <w:sz w:val="18"/>
                <w:szCs w:val="18"/>
              </w:rPr>
            </w:pPr>
          </w:p>
        </w:tc>
        <w:tc>
          <w:tcPr>
            <w:tcW w:w="299" w:type="pct"/>
            <w:noWrap/>
            <w:vAlign w:val="center"/>
            <w:hideMark/>
          </w:tcPr>
          <w:p w14:paraId="58107E13" w14:textId="77777777" w:rsidR="003558C9" w:rsidRPr="007006ED" w:rsidRDefault="003558C9" w:rsidP="002807B8">
            <w:pPr>
              <w:bidi w:val="0"/>
              <w:rPr>
                <w:color w:val="000000" w:themeColor="text1"/>
                <w:sz w:val="18"/>
                <w:szCs w:val="18"/>
              </w:rPr>
            </w:pPr>
            <w:r w:rsidRPr="007006ED">
              <w:rPr>
                <w:color w:val="000000" w:themeColor="text1"/>
                <w:sz w:val="18"/>
                <w:szCs w:val="18"/>
              </w:rPr>
              <w:t>N</w:t>
            </w:r>
          </w:p>
        </w:tc>
        <w:tc>
          <w:tcPr>
            <w:tcW w:w="415" w:type="pct"/>
            <w:noWrap/>
            <w:vAlign w:val="center"/>
            <w:hideMark/>
          </w:tcPr>
          <w:p w14:paraId="0BC1876E" w14:textId="77777777" w:rsidR="003558C9" w:rsidRPr="007006ED" w:rsidRDefault="003558C9" w:rsidP="002807B8">
            <w:pPr>
              <w:bidi w:val="0"/>
              <w:rPr>
                <w:color w:val="000000" w:themeColor="text1"/>
                <w:sz w:val="18"/>
                <w:szCs w:val="18"/>
              </w:rPr>
            </w:pPr>
            <w:r w:rsidRPr="007006ED">
              <w:rPr>
                <w:color w:val="000000" w:themeColor="text1"/>
                <w:sz w:val="18"/>
                <w:szCs w:val="18"/>
              </w:rPr>
              <w:t>%</w:t>
            </w:r>
          </w:p>
        </w:tc>
        <w:tc>
          <w:tcPr>
            <w:tcW w:w="235" w:type="pct"/>
            <w:noWrap/>
            <w:vAlign w:val="center"/>
            <w:hideMark/>
          </w:tcPr>
          <w:p w14:paraId="1A75495A" w14:textId="77777777" w:rsidR="003558C9" w:rsidRPr="007006ED" w:rsidRDefault="003558C9" w:rsidP="002807B8">
            <w:pPr>
              <w:bidi w:val="0"/>
              <w:rPr>
                <w:color w:val="000000" w:themeColor="text1"/>
                <w:sz w:val="18"/>
                <w:szCs w:val="18"/>
              </w:rPr>
            </w:pPr>
            <w:r w:rsidRPr="007006ED">
              <w:rPr>
                <w:color w:val="000000" w:themeColor="text1"/>
                <w:sz w:val="18"/>
                <w:szCs w:val="18"/>
              </w:rPr>
              <w:t>N</w:t>
            </w:r>
          </w:p>
        </w:tc>
        <w:tc>
          <w:tcPr>
            <w:tcW w:w="483" w:type="pct"/>
            <w:noWrap/>
            <w:vAlign w:val="center"/>
            <w:hideMark/>
          </w:tcPr>
          <w:p w14:paraId="208BB2A0" w14:textId="77777777" w:rsidR="003558C9" w:rsidRPr="007006ED" w:rsidRDefault="003558C9" w:rsidP="002807B8">
            <w:pPr>
              <w:bidi w:val="0"/>
              <w:rPr>
                <w:color w:val="000000" w:themeColor="text1"/>
                <w:sz w:val="18"/>
                <w:szCs w:val="18"/>
              </w:rPr>
            </w:pPr>
            <w:r w:rsidRPr="007006ED">
              <w:rPr>
                <w:color w:val="000000" w:themeColor="text1"/>
                <w:sz w:val="18"/>
                <w:szCs w:val="18"/>
              </w:rPr>
              <w:t>%</w:t>
            </w:r>
          </w:p>
        </w:tc>
        <w:tc>
          <w:tcPr>
            <w:tcW w:w="453" w:type="pct"/>
            <w:noWrap/>
            <w:vAlign w:val="center"/>
            <w:hideMark/>
          </w:tcPr>
          <w:p w14:paraId="2A506F0E" w14:textId="77777777" w:rsidR="003558C9" w:rsidRPr="007006ED" w:rsidRDefault="003558C9" w:rsidP="002807B8">
            <w:pPr>
              <w:bidi w:val="0"/>
              <w:rPr>
                <w:color w:val="000000" w:themeColor="text1"/>
                <w:sz w:val="18"/>
                <w:szCs w:val="18"/>
              </w:rPr>
            </w:pPr>
            <w:r w:rsidRPr="007006ED">
              <w:rPr>
                <w:color w:val="000000" w:themeColor="text1"/>
                <w:sz w:val="18"/>
                <w:szCs w:val="18"/>
              </w:rPr>
              <w:t>X</w:t>
            </w:r>
            <w:r w:rsidRPr="007006ED">
              <w:rPr>
                <w:color w:val="000000" w:themeColor="text1"/>
                <w:sz w:val="18"/>
                <w:szCs w:val="18"/>
                <w:vertAlign w:val="superscript"/>
              </w:rPr>
              <w:t>2</w:t>
            </w:r>
          </w:p>
        </w:tc>
        <w:tc>
          <w:tcPr>
            <w:tcW w:w="538" w:type="pct"/>
            <w:gridSpan w:val="2"/>
            <w:noWrap/>
            <w:vAlign w:val="center"/>
            <w:hideMark/>
          </w:tcPr>
          <w:p w14:paraId="6AC13823" w14:textId="77777777" w:rsidR="003558C9" w:rsidRPr="007006ED" w:rsidRDefault="003558C9" w:rsidP="002807B8">
            <w:pPr>
              <w:bidi w:val="0"/>
              <w:rPr>
                <w:color w:val="000000" w:themeColor="text1"/>
                <w:sz w:val="18"/>
                <w:szCs w:val="18"/>
              </w:rPr>
            </w:pPr>
            <w:r w:rsidRPr="007006ED">
              <w:rPr>
                <w:color w:val="000000" w:themeColor="text1"/>
                <w:sz w:val="18"/>
                <w:szCs w:val="18"/>
              </w:rPr>
              <w:t>P-value</w:t>
            </w:r>
          </w:p>
        </w:tc>
      </w:tr>
      <w:tr w:rsidR="007006ED" w:rsidRPr="007006ED" w14:paraId="70B0FF34" w14:textId="77777777" w:rsidTr="007515C7">
        <w:trPr>
          <w:trHeight w:val="20"/>
        </w:trPr>
        <w:tc>
          <w:tcPr>
            <w:tcW w:w="1238" w:type="pct"/>
            <w:vMerge w:val="restart"/>
            <w:noWrap/>
            <w:vAlign w:val="center"/>
            <w:hideMark/>
          </w:tcPr>
          <w:p w14:paraId="33C5F44B" w14:textId="1F53E59B" w:rsidR="003558C9" w:rsidRPr="007006ED" w:rsidRDefault="003558C9" w:rsidP="007006ED">
            <w:pPr>
              <w:bidi w:val="0"/>
              <w:spacing w:before="80" w:after="80"/>
              <w:rPr>
                <w:color w:val="000000" w:themeColor="text1"/>
                <w:sz w:val="18"/>
                <w:szCs w:val="18"/>
              </w:rPr>
            </w:pPr>
            <w:r w:rsidRPr="007006ED">
              <w:rPr>
                <w:color w:val="000000" w:themeColor="text1"/>
                <w:sz w:val="18"/>
                <w:szCs w:val="18"/>
                <w:lang w:bidi="ar-EG"/>
              </w:rPr>
              <w:t>Fistula</w:t>
            </w:r>
            <w:r w:rsidR="007006ED" w:rsidRPr="007006ED">
              <w:rPr>
                <w:color w:val="000000" w:themeColor="text1"/>
                <w:sz w:val="18"/>
                <w:szCs w:val="18"/>
                <w:lang w:bidi="ar-EG"/>
              </w:rPr>
              <w:t xml:space="preserve"> </w:t>
            </w:r>
            <w:r w:rsidRPr="007006ED">
              <w:rPr>
                <w:color w:val="000000" w:themeColor="text1"/>
                <w:sz w:val="18"/>
                <w:szCs w:val="18"/>
                <w:lang w:bidi="ar-EG"/>
              </w:rPr>
              <w:t>group</w:t>
            </w:r>
            <w:r w:rsidR="007006ED" w:rsidRPr="007006ED">
              <w:rPr>
                <w:color w:val="000000" w:themeColor="text1"/>
                <w:sz w:val="18"/>
                <w:szCs w:val="18"/>
                <w:lang w:bidi="ar-EG"/>
              </w:rPr>
              <w:t xml:space="preserve"> </w:t>
            </w:r>
            <w:r w:rsidRPr="007006ED">
              <w:rPr>
                <w:color w:val="000000" w:themeColor="text1"/>
                <w:sz w:val="18"/>
                <w:szCs w:val="18"/>
                <w:lang w:bidi="ar-EG"/>
              </w:rPr>
              <w:t>(Total=45)</w:t>
            </w:r>
          </w:p>
        </w:tc>
        <w:tc>
          <w:tcPr>
            <w:tcW w:w="1339" w:type="pct"/>
            <w:noWrap/>
            <w:vAlign w:val="center"/>
            <w:hideMark/>
          </w:tcPr>
          <w:p w14:paraId="4C39A6A1" w14:textId="77777777" w:rsidR="003558C9" w:rsidRPr="007006ED" w:rsidRDefault="003558C9" w:rsidP="002807B8">
            <w:pPr>
              <w:bidi w:val="0"/>
              <w:rPr>
                <w:color w:val="000000" w:themeColor="text1"/>
                <w:sz w:val="18"/>
                <w:szCs w:val="18"/>
              </w:rPr>
            </w:pPr>
            <w:r w:rsidRPr="007006ED">
              <w:rPr>
                <w:color w:val="000000" w:themeColor="text1"/>
                <w:sz w:val="18"/>
                <w:szCs w:val="18"/>
              </w:rPr>
              <w:t>Remission</w:t>
            </w:r>
          </w:p>
        </w:tc>
        <w:tc>
          <w:tcPr>
            <w:tcW w:w="299" w:type="pct"/>
            <w:noWrap/>
            <w:vAlign w:val="center"/>
            <w:hideMark/>
          </w:tcPr>
          <w:p w14:paraId="5ABA4FF8" w14:textId="77777777" w:rsidR="003558C9" w:rsidRPr="007006ED" w:rsidRDefault="003558C9" w:rsidP="002807B8">
            <w:pPr>
              <w:bidi w:val="0"/>
              <w:rPr>
                <w:color w:val="000000" w:themeColor="text1"/>
                <w:sz w:val="18"/>
                <w:szCs w:val="18"/>
              </w:rPr>
            </w:pPr>
            <w:r w:rsidRPr="007006ED">
              <w:rPr>
                <w:color w:val="000000" w:themeColor="text1"/>
                <w:sz w:val="18"/>
                <w:szCs w:val="18"/>
              </w:rPr>
              <w:t>7</w:t>
            </w:r>
          </w:p>
        </w:tc>
        <w:tc>
          <w:tcPr>
            <w:tcW w:w="415" w:type="pct"/>
            <w:noWrap/>
            <w:vAlign w:val="center"/>
            <w:hideMark/>
          </w:tcPr>
          <w:p w14:paraId="389AC2FF" w14:textId="77777777" w:rsidR="003558C9" w:rsidRPr="007006ED" w:rsidRDefault="003558C9" w:rsidP="002807B8">
            <w:pPr>
              <w:bidi w:val="0"/>
              <w:rPr>
                <w:color w:val="000000" w:themeColor="text1"/>
                <w:sz w:val="18"/>
                <w:szCs w:val="18"/>
              </w:rPr>
            </w:pPr>
            <w:r w:rsidRPr="007006ED">
              <w:rPr>
                <w:color w:val="000000" w:themeColor="text1"/>
                <w:sz w:val="18"/>
                <w:szCs w:val="18"/>
              </w:rPr>
              <w:t>38.89</w:t>
            </w:r>
          </w:p>
        </w:tc>
        <w:tc>
          <w:tcPr>
            <w:tcW w:w="235" w:type="pct"/>
            <w:noWrap/>
            <w:vAlign w:val="center"/>
            <w:hideMark/>
          </w:tcPr>
          <w:p w14:paraId="24378BAD" w14:textId="77777777" w:rsidR="003558C9" w:rsidRPr="007006ED" w:rsidRDefault="003558C9" w:rsidP="002807B8">
            <w:pPr>
              <w:bidi w:val="0"/>
              <w:rPr>
                <w:color w:val="000000" w:themeColor="text1"/>
                <w:sz w:val="18"/>
                <w:szCs w:val="18"/>
              </w:rPr>
            </w:pPr>
            <w:r w:rsidRPr="007006ED">
              <w:rPr>
                <w:color w:val="000000" w:themeColor="text1"/>
                <w:sz w:val="18"/>
                <w:szCs w:val="18"/>
              </w:rPr>
              <w:t>22</w:t>
            </w:r>
          </w:p>
        </w:tc>
        <w:tc>
          <w:tcPr>
            <w:tcW w:w="483" w:type="pct"/>
            <w:noWrap/>
            <w:vAlign w:val="center"/>
            <w:hideMark/>
          </w:tcPr>
          <w:p w14:paraId="01F639ED" w14:textId="77777777" w:rsidR="003558C9" w:rsidRPr="007006ED" w:rsidRDefault="003558C9" w:rsidP="002807B8">
            <w:pPr>
              <w:bidi w:val="0"/>
              <w:rPr>
                <w:color w:val="000000" w:themeColor="text1"/>
                <w:sz w:val="18"/>
                <w:szCs w:val="18"/>
              </w:rPr>
            </w:pPr>
            <w:r w:rsidRPr="007006ED">
              <w:rPr>
                <w:color w:val="000000" w:themeColor="text1"/>
                <w:sz w:val="18"/>
                <w:szCs w:val="18"/>
              </w:rPr>
              <w:t>81.48</w:t>
            </w:r>
          </w:p>
        </w:tc>
        <w:tc>
          <w:tcPr>
            <w:tcW w:w="453" w:type="pct"/>
            <w:vMerge w:val="restart"/>
            <w:noWrap/>
            <w:vAlign w:val="center"/>
            <w:hideMark/>
          </w:tcPr>
          <w:p w14:paraId="5E18F6E9" w14:textId="77777777" w:rsidR="003558C9" w:rsidRPr="007006ED" w:rsidRDefault="003558C9" w:rsidP="002807B8">
            <w:pPr>
              <w:bidi w:val="0"/>
              <w:rPr>
                <w:color w:val="000000" w:themeColor="text1"/>
                <w:sz w:val="18"/>
                <w:szCs w:val="18"/>
              </w:rPr>
            </w:pPr>
            <w:r w:rsidRPr="007006ED">
              <w:rPr>
                <w:color w:val="000000" w:themeColor="text1"/>
                <w:sz w:val="18"/>
                <w:szCs w:val="18"/>
              </w:rPr>
              <w:t>8.551</w:t>
            </w:r>
          </w:p>
        </w:tc>
        <w:tc>
          <w:tcPr>
            <w:tcW w:w="538" w:type="pct"/>
            <w:gridSpan w:val="2"/>
            <w:vMerge w:val="restart"/>
            <w:noWrap/>
            <w:vAlign w:val="center"/>
            <w:hideMark/>
          </w:tcPr>
          <w:p w14:paraId="7EC5433A" w14:textId="77777777" w:rsidR="003558C9" w:rsidRPr="007006ED" w:rsidRDefault="003558C9" w:rsidP="002807B8">
            <w:pPr>
              <w:bidi w:val="0"/>
              <w:rPr>
                <w:color w:val="000000" w:themeColor="text1"/>
                <w:sz w:val="18"/>
                <w:szCs w:val="18"/>
              </w:rPr>
            </w:pPr>
            <w:r w:rsidRPr="007006ED">
              <w:rPr>
                <w:color w:val="000000" w:themeColor="text1"/>
                <w:sz w:val="18"/>
                <w:szCs w:val="18"/>
              </w:rPr>
              <w:t>0.003*</w:t>
            </w:r>
          </w:p>
        </w:tc>
      </w:tr>
      <w:tr w:rsidR="007006ED" w:rsidRPr="007006ED" w14:paraId="7EF3B18D" w14:textId="77777777" w:rsidTr="007515C7">
        <w:trPr>
          <w:trHeight w:val="20"/>
        </w:trPr>
        <w:tc>
          <w:tcPr>
            <w:tcW w:w="1238" w:type="pct"/>
            <w:vMerge/>
            <w:vAlign w:val="center"/>
            <w:hideMark/>
          </w:tcPr>
          <w:p w14:paraId="513B66E6" w14:textId="77777777" w:rsidR="003558C9" w:rsidRPr="007006ED" w:rsidRDefault="003558C9" w:rsidP="002807B8">
            <w:pPr>
              <w:bidi w:val="0"/>
              <w:rPr>
                <w:color w:val="000000" w:themeColor="text1"/>
                <w:sz w:val="18"/>
                <w:szCs w:val="18"/>
              </w:rPr>
            </w:pPr>
          </w:p>
        </w:tc>
        <w:tc>
          <w:tcPr>
            <w:tcW w:w="1339" w:type="pct"/>
            <w:noWrap/>
            <w:vAlign w:val="center"/>
            <w:hideMark/>
          </w:tcPr>
          <w:p w14:paraId="6EE76CE1" w14:textId="77777777" w:rsidR="003558C9" w:rsidRPr="007006ED" w:rsidRDefault="003558C9" w:rsidP="002807B8">
            <w:pPr>
              <w:bidi w:val="0"/>
              <w:rPr>
                <w:color w:val="000000" w:themeColor="text1"/>
                <w:sz w:val="18"/>
                <w:szCs w:val="18"/>
              </w:rPr>
            </w:pPr>
            <w:r w:rsidRPr="007006ED">
              <w:rPr>
                <w:color w:val="000000" w:themeColor="text1"/>
                <w:sz w:val="18"/>
                <w:szCs w:val="18"/>
              </w:rPr>
              <w:t>Incomplete Remission</w:t>
            </w:r>
          </w:p>
        </w:tc>
        <w:tc>
          <w:tcPr>
            <w:tcW w:w="299" w:type="pct"/>
            <w:noWrap/>
            <w:vAlign w:val="center"/>
            <w:hideMark/>
          </w:tcPr>
          <w:p w14:paraId="3F48E016" w14:textId="77777777" w:rsidR="003558C9" w:rsidRPr="007006ED" w:rsidRDefault="003558C9" w:rsidP="002807B8">
            <w:pPr>
              <w:bidi w:val="0"/>
              <w:rPr>
                <w:color w:val="000000" w:themeColor="text1"/>
                <w:sz w:val="18"/>
                <w:szCs w:val="18"/>
              </w:rPr>
            </w:pPr>
            <w:r w:rsidRPr="007006ED">
              <w:rPr>
                <w:color w:val="000000" w:themeColor="text1"/>
                <w:sz w:val="18"/>
                <w:szCs w:val="18"/>
              </w:rPr>
              <w:t>11</w:t>
            </w:r>
          </w:p>
        </w:tc>
        <w:tc>
          <w:tcPr>
            <w:tcW w:w="415" w:type="pct"/>
            <w:noWrap/>
            <w:vAlign w:val="center"/>
            <w:hideMark/>
          </w:tcPr>
          <w:p w14:paraId="69C978A4" w14:textId="77777777" w:rsidR="003558C9" w:rsidRPr="007006ED" w:rsidRDefault="003558C9" w:rsidP="002807B8">
            <w:pPr>
              <w:bidi w:val="0"/>
              <w:rPr>
                <w:color w:val="000000" w:themeColor="text1"/>
                <w:sz w:val="18"/>
                <w:szCs w:val="18"/>
              </w:rPr>
            </w:pPr>
            <w:r w:rsidRPr="007006ED">
              <w:rPr>
                <w:color w:val="000000" w:themeColor="text1"/>
                <w:sz w:val="18"/>
                <w:szCs w:val="18"/>
              </w:rPr>
              <w:t>61.11</w:t>
            </w:r>
          </w:p>
        </w:tc>
        <w:tc>
          <w:tcPr>
            <w:tcW w:w="235" w:type="pct"/>
            <w:noWrap/>
            <w:vAlign w:val="center"/>
            <w:hideMark/>
          </w:tcPr>
          <w:p w14:paraId="712624CF" w14:textId="77777777" w:rsidR="003558C9" w:rsidRPr="007006ED" w:rsidRDefault="003558C9" w:rsidP="002807B8">
            <w:pPr>
              <w:bidi w:val="0"/>
              <w:rPr>
                <w:color w:val="000000" w:themeColor="text1"/>
                <w:sz w:val="18"/>
                <w:szCs w:val="18"/>
              </w:rPr>
            </w:pPr>
            <w:r w:rsidRPr="007006ED">
              <w:rPr>
                <w:color w:val="000000" w:themeColor="text1"/>
                <w:sz w:val="18"/>
                <w:szCs w:val="18"/>
              </w:rPr>
              <w:t>5</w:t>
            </w:r>
          </w:p>
        </w:tc>
        <w:tc>
          <w:tcPr>
            <w:tcW w:w="483" w:type="pct"/>
            <w:noWrap/>
            <w:vAlign w:val="center"/>
            <w:hideMark/>
          </w:tcPr>
          <w:p w14:paraId="5F5F155B" w14:textId="77777777" w:rsidR="003558C9" w:rsidRPr="007006ED" w:rsidRDefault="003558C9" w:rsidP="002807B8">
            <w:pPr>
              <w:bidi w:val="0"/>
              <w:rPr>
                <w:color w:val="000000" w:themeColor="text1"/>
                <w:sz w:val="18"/>
                <w:szCs w:val="18"/>
              </w:rPr>
            </w:pPr>
            <w:r w:rsidRPr="007006ED">
              <w:rPr>
                <w:color w:val="000000" w:themeColor="text1"/>
                <w:sz w:val="18"/>
                <w:szCs w:val="18"/>
              </w:rPr>
              <w:t>18.52</w:t>
            </w:r>
          </w:p>
        </w:tc>
        <w:tc>
          <w:tcPr>
            <w:tcW w:w="453" w:type="pct"/>
            <w:vMerge/>
            <w:vAlign w:val="center"/>
            <w:hideMark/>
          </w:tcPr>
          <w:p w14:paraId="5DC31D26" w14:textId="77777777" w:rsidR="003558C9" w:rsidRPr="007006ED" w:rsidRDefault="003558C9" w:rsidP="002807B8">
            <w:pPr>
              <w:bidi w:val="0"/>
              <w:rPr>
                <w:color w:val="000000" w:themeColor="text1"/>
                <w:sz w:val="18"/>
                <w:szCs w:val="18"/>
              </w:rPr>
            </w:pPr>
          </w:p>
        </w:tc>
        <w:tc>
          <w:tcPr>
            <w:tcW w:w="538" w:type="pct"/>
            <w:gridSpan w:val="2"/>
            <w:vMerge/>
            <w:vAlign w:val="center"/>
            <w:hideMark/>
          </w:tcPr>
          <w:p w14:paraId="21421386" w14:textId="77777777" w:rsidR="003558C9" w:rsidRPr="007006ED" w:rsidRDefault="003558C9" w:rsidP="002807B8">
            <w:pPr>
              <w:bidi w:val="0"/>
              <w:rPr>
                <w:color w:val="000000" w:themeColor="text1"/>
                <w:sz w:val="18"/>
                <w:szCs w:val="18"/>
              </w:rPr>
            </w:pPr>
          </w:p>
        </w:tc>
      </w:tr>
      <w:tr w:rsidR="007006ED" w:rsidRPr="007006ED" w14:paraId="50FA5F3C" w14:textId="77777777" w:rsidTr="007515C7">
        <w:trPr>
          <w:trHeight w:val="20"/>
        </w:trPr>
        <w:tc>
          <w:tcPr>
            <w:tcW w:w="1238" w:type="pct"/>
            <w:vMerge w:val="restart"/>
            <w:noWrap/>
            <w:vAlign w:val="center"/>
            <w:hideMark/>
          </w:tcPr>
          <w:p w14:paraId="594EAD9C" w14:textId="327FEBAC" w:rsidR="003558C9" w:rsidRPr="007006ED" w:rsidRDefault="003558C9" w:rsidP="007006ED">
            <w:pPr>
              <w:bidi w:val="0"/>
              <w:spacing w:before="80" w:after="80"/>
              <w:rPr>
                <w:color w:val="000000" w:themeColor="text1"/>
                <w:sz w:val="18"/>
                <w:szCs w:val="18"/>
              </w:rPr>
            </w:pPr>
            <w:r w:rsidRPr="007006ED">
              <w:rPr>
                <w:color w:val="000000" w:themeColor="text1"/>
                <w:sz w:val="18"/>
                <w:szCs w:val="18"/>
                <w:lang w:bidi="ar-EG"/>
              </w:rPr>
              <w:t>Non-Fistula</w:t>
            </w:r>
            <w:r w:rsidR="007006ED" w:rsidRPr="007006ED">
              <w:rPr>
                <w:color w:val="000000" w:themeColor="text1"/>
                <w:sz w:val="18"/>
                <w:szCs w:val="18"/>
                <w:lang w:bidi="ar-EG"/>
              </w:rPr>
              <w:t xml:space="preserve"> </w:t>
            </w:r>
            <w:r w:rsidRPr="007006ED">
              <w:rPr>
                <w:color w:val="000000" w:themeColor="text1"/>
                <w:sz w:val="18"/>
                <w:szCs w:val="18"/>
                <w:lang w:bidi="ar-EG"/>
              </w:rPr>
              <w:t>group</w:t>
            </w:r>
            <w:r w:rsidR="007006ED" w:rsidRPr="007006ED">
              <w:rPr>
                <w:color w:val="000000" w:themeColor="text1"/>
                <w:sz w:val="18"/>
                <w:szCs w:val="18"/>
                <w:lang w:bidi="ar-EG"/>
              </w:rPr>
              <w:t xml:space="preserve"> </w:t>
            </w:r>
            <w:r w:rsidRPr="007006ED">
              <w:rPr>
                <w:color w:val="000000" w:themeColor="text1"/>
                <w:sz w:val="18"/>
                <w:szCs w:val="18"/>
                <w:lang w:bidi="ar-EG"/>
              </w:rPr>
              <w:t>(Total=45)</w:t>
            </w:r>
          </w:p>
        </w:tc>
        <w:tc>
          <w:tcPr>
            <w:tcW w:w="1339" w:type="pct"/>
            <w:noWrap/>
            <w:vAlign w:val="center"/>
            <w:hideMark/>
          </w:tcPr>
          <w:p w14:paraId="3A6725F2" w14:textId="77777777" w:rsidR="003558C9" w:rsidRPr="007006ED" w:rsidRDefault="003558C9" w:rsidP="002807B8">
            <w:pPr>
              <w:bidi w:val="0"/>
              <w:rPr>
                <w:color w:val="000000" w:themeColor="text1"/>
                <w:sz w:val="18"/>
                <w:szCs w:val="18"/>
              </w:rPr>
            </w:pPr>
            <w:r w:rsidRPr="007006ED">
              <w:rPr>
                <w:color w:val="000000" w:themeColor="text1"/>
                <w:sz w:val="18"/>
                <w:szCs w:val="18"/>
              </w:rPr>
              <w:t>Remission</w:t>
            </w:r>
          </w:p>
        </w:tc>
        <w:tc>
          <w:tcPr>
            <w:tcW w:w="299" w:type="pct"/>
            <w:noWrap/>
            <w:vAlign w:val="center"/>
            <w:hideMark/>
          </w:tcPr>
          <w:p w14:paraId="22277A73" w14:textId="77777777" w:rsidR="003558C9" w:rsidRPr="007006ED" w:rsidRDefault="003558C9" w:rsidP="002807B8">
            <w:pPr>
              <w:bidi w:val="0"/>
              <w:rPr>
                <w:color w:val="000000" w:themeColor="text1"/>
                <w:sz w:val="18"/>
                <w:szCs w:val="18"/>
              </w:rPr>
            </w:pPr>
            <w:r w:rsidRPr="007006ED">
              <w:rPr>
                <w:color w:val="000000" w:themeColor="text1"/>
                <w:sz w:val="18"/>
                <w:szCs w:val="18"/>
              </w:rPr>
              <w:t>5</w:t>
            </w:r>
          </w:p>
        </w:tc>
        <w:tc>
          <w:tcPr>
            <w:tcW w:w="415" w:type="pct"/>
            <w:noWrap/>
            <w:vAlign w:val="center"/>
            <w:hideMark/>
          </w:tcPr>
          <w:p w14:paraId="5F9156D5" w14:textId="77777777" w:rsidR="003558C9" w:rsidRPr="007006ED" w:rsidRDefault="003558C9" w:rsidP="002807B8">
            <w:pPr>
              <w:bidi w:val="0"/>
              <w:rPr>
                <w:color w:val="000000" w:themeColor="text1"/>
                <w:sz w:val="18"/>
                <w:szCs w:val="18"/>
              </w:rPr>
            </w:pPr>
            <w:r w:rsidRPr="007006ED">
              <w:rPr>
                <w:color w:val="000000" w:themeColor="text1"/>
                <w:sz w:val="18"/>
                <w:szCs w:val="18"/>
              </w:rPr>
              <w:t>71.43</w:t>
            </w:r>
          </w:p>
        </w:tc>
        <w:tc>
          <w:tcPr>
            <w:tcW w:w="235" w:type="pct"/>
            <w:noWrap/>
            <w:vAlign w:val="center"/>
            <w:hideMark/>
          </w:tcPr>
          <w:p w14:paraId="65BD070A" w14:textId="77777777" w:rsidR="003558C9" w:rsidRPr="007006ED" w:rsidRDefault="003558C9" w:rsidP="002807B8">
            <w:pPr>
              <w:bidi w:val="0"/>
              <w:rPr>
                <w:color w:val="000000" w:themeColor="text1"/>
                <w:sz w:val="18"/>
                <w:szCs w:val="18"/>
              </w:rPr>
            </w:pPr>
            <w:r w:rsidRPr="007006ED">
              <w:rPr>
                <w:color w:val="000000" w:themeColor="text1"/>
                <w:sz w:val="18"/>
                <w:szCs w:val="18"/>
              </w:rPr>
              <w:t>36</w:t>
            </w:r>
          </w:p>
        </w:tc>
        <w:tc>
          <w:tcPr>
            <w:tcW w:w="483" w:type="pct"/>
            <w:noWrap/>
            <w:vAlign w:val="center"/>
            <w:hideMark/>
          </w:tcPr>
          <w:p w14:paraId="1FC3E66C" w14:textId="77777777" w:rsidR="003558C9" w:rsidRPr="007006ED" w:rsidRDefault="003558C9" w:rsidP="002807B8">
            <w:pPr>
              <w:bidi w:val="0"/>
              <w:rPr>
                <w:color w:val="000000" w:themeColor="text1"/>
                <w:sz w:val="18"/>
                <w:szCs w:val="18"/>
              </w:rPr>
            </w:pPr>
            <w:r w:rsidRPr="007006ED">
              <w:rPr>
                <w:color w:val="000000" w:themeColor="text1"/>
                <w:sz w:val="18"/>
                <w:szCs w:val="18"/>
              </w:rPr>
              <w:t>94.74</w:t>
            </w:r>
          </w:p>
        </w:tc>
        <w:tc>
          <w:tcPr>
            <w:tcW w:w="453" w:type="pct"/>
            <w:vMerge w:val="restart"/>
            <w:noWrap/>
            <w:vAlign w:val="center"/>
            <w:hideMark/>
          </w:tcPr>
          <w:p w14:paraId="396B8444" w14:textId="77777777" w:rsidR="003558C9" w:rsidRPr="007006ED" w:rsidRDefault="003558C9" w:rsidP="002807B8">
            <w:pPr>
              <w:bidi w:val="0"/>
              <w:rPr>
                <w:color w:val="000000" w:themeColor="text1"/>
                <w:sz w:val="18"/>
                <w:szCs w:val="18"/>
              </w:rPr>
            </w:pPr>
            <w:r w:rsidRPr="007006ED">
              <w:rPr>
                <w:color w:val="000000" w:themeColor="text1"/>
                <w:sz w:val="18"/>
                <w:szCs w:val="18"/>
              </w:rPr>
              <w:t>3.965</w:t>
            </w:r>
          </w:p>
        </w:tc>
        <w:tc>
          <w:tcPr>
            <w:tcW w:w="538" w:type="pct"/>
            <w:gridSpan w:val="2"/>
            <w:vMerge w:val="restart"/>
            <w:noWrap/>
            <w:vAlign w:val="center"/>
            <w:hideMark/>
          </w:tcPr>
          <w:p w14:paraId="6CBE0608" w14:textId="77777777" w:rsidR="003558C9" w:rsidRPr="007006ED" w:rsidRDefault="003558C9" w:rsidP="002807B8">
            <w:pPr>
              <w:bidi w:val="0"/>
              <w:rPr>
                <w:color w:val="000000" w:themeColor="text1"/>
                <w:sz w:val="18"/>
                <w:szCs w:val="18"/>
              </w:rPr>
            </w:pPr>
            <w:r w:rsidRPr="007006ED">
              <w:rPr>
                <w:color w:val="000000" w:themeColor="text1"/>
                <w:sz w:val="18"/>
                <w:szCs w:val="18"/>
              </w:rPr>
              <w:t>0.046*</w:t>
            </w:r>
          </w:p>
        </w:tc>
      </w:tr>
      <w:tr w:rsidR="007006ED" w:rsidRPr="007006ED" w14:paraId="1E864D56" w14:textId="77777777" w:rsidTr="007515C7">
        <w:trPr>
          <w:trHeight w:val="20"/>
        </w:trPr>
        <w:tc>
          <w:tcPr>
            <w:tcW w:w="1238" w:type="pct"/>
            <w:vMerge/>
            <w:tcBorders>
              <w:bottom w:val="single" w:sz="4" w:space="0" w:color="auto"/>
            </w:tcBorders>
            <w:vAlign w:val="center"/>
            <w:hideMark/>
          </w:tcPr>
          <w:p w14:paraId="3024643A" w14:textId="77777777" w:rsidR="003558C9" w:rsidRPr="007006ED" w:rsidRDefault="003558C9" w:rsidP="002807B8">
            <w:pPr>
              <w:bidi w:val="0"/>
              <w:rPr>
                <w:color w:val="000000" w:themeColor="text1"/>
                <w:sz w:val="18"/>
                <w:szCs w:val="18"/>
              </w:rPr>
            </w:pPr>
          </w:p>
        </w:tc>
        <w:tc>
          <w:tcPr>
            <w:tcW w:w="1339" w:type="pct"/>
            <w:tcBorders>
              <w:bottom w:val="single" w:sz="4" w:space="0" w:color="auto"/>
            </w:tcBorders>
            <w:noWrap/>
            <w:vAlign w:val="center"/>
            <w:hideMark/>
          </w:tcPr>
          <w:p w14:paraId="7F25E054" w14:textId="77777777" w:rsidR="003558C9" w:rsidRPr="007006ED" w:rsidRDefault="003558C9" w:rsidP="002807B8">
            <w:pPr>
              <w:bidi w:val="0"/>
              <w:rPr>
                <w:color w:val="000000" w:themeColor="text1"/>
                <w:sz w:val="18"/>
                <w:szCs w:val="18"/>
              </w:rPr>
            </w:pPr>
            <w:r w:rsidRPr="007006ED">
              <w:rPr>
                <w:color w:val="000000" w:themeColor="text1"/>
                <w:sz w:val="18"/>
                <w:szCs w:val="18"/>
              </w:rPr>
              <w:t>Incomplete Remission</w:t>
            </w:r>
          </w:p>
        </w:tc>
        <w:tc>
          <w:tcPr>
            <w:tcW w:w="299" w:type="pct"/>
            <w:tcBorders>
              <w:bottom w:val="single" w:sz="4" w:space="0" w:color="auto"/>
            </w:tcBorders>
            <w:noWrap/>
            <w:vAlign w:val="center"/>
            <w:hideMark/>
          </w:tcPr>
          <w:p w14:paraId="6B1BFFDB" w14:textId="77777777" w:rsidR="003558C9" w:rsidRPr="007006ED" w:rsidRDefault="003558C9" w:rsidP="002807B8">
            <w:pPr>
              <w:bidi w:val="0"/>
              <w:rPr>
                <w:color w:val="000000" w:themeColor="text1"/>
                <w:sz w:val="18"/>
                <w:szCs w:val="18"/>
              </w:rPr>
            </w:pPr>
            <w:r w:rsidRPr="007006ED">
              <w:rPr>
                <w:color w:val="000000" w:themeColor="text1"/>
                <w:sz w:val="18"/>
                <w:szCs w:val="18"/>
              </w:rPr>
              <w:t>2</w:t>
            </w:r>
          </w:p>
        </w:tc>
        <w:tc>
          <w:tcPr>
            <w:tcW w:w="415" w:type="pct"/>
            <w:tcBorders>
              <w:bottom w:val="single" w:sz="4" w:space="0" w:color="auto"/>
            </w:tcBorders>
            <w:noWrap/>
            <w:vAlign w:val="center"/>
            <w:hideMark/>
          </w:tcPr>
          <w:p w14:paraId="2C3372D0" w14:textId="77777777" w:rsidR="003558C9" w:rsidRPr="007006ED" w:rsidRDefault="003558C9" w:rsidP="002807B8">
            <w:pPr>
              <w:bidi w:val="0"/>
              <w:rPr>
                <w:color w:val="000000" w:themeColor="text1"/>
                <w:sz w:val="18"/>
                <w:szCs w:val="18"/>
              </w:rPr>
            </w:pPr>
            <w:r w:rsidRPr="007006ED">
              <w:rPr>
                <w:color w:val="000000" w:themeColor="text1"/>
                <w:sz w:val="18"/>
                <w:szCs w:val="18"/>
              </w:rPr>
              <w:t>28.57</w:t>
            </w:r>
          </w:p>
        </w:tc>
        <w:tc>
          <w:tcPr>
            <w:tcW w:w="235" w:type="pct"/>
            <w:tcBorders>
              <w:bottom w:val="single" w:sz="4" w:space="0" w:color="auto"/>
            </w:tcBorders>
            <w:noWrap/>
            <w:vAlign w:val="center"/>
            <w:hideMark/>
          </w:tcPr>
          <w:p w14:paraId="4CC871F3" w14:textId="77777777" w:rsidR="003558C9" w:rsidRPr="007006ED" w:rsidRDefault="003558C9" w:rsidP="002807B8">
            <w:pPr>
              <w:bidi w:val="0"/>
              <w:rPr>
                <w:color w:val="000000" w:themeColor="text1"/>
                <w:sz w:val="18"/>
                <w:szCs w:val="18"/>
              </w:rPr>
            </w:pPr>
            <w:r w:rsidRPr="007006ED">
              <w:rPr>
                <w:color w:val="000000" w:themeColor="text1"/>
                <w:sz w:val="18"/>
                <w:szCs w:val="18"/>
              </w:rPr>
              <w:t>2</w:t>
            </w:r>
          </w:p>
        </w:tc>
        <w:tc>
          <w:tcPr>
            <w:tcW w:w="483" w:type="pct"/>
            <w:tcBorders>
              <w:bottom w:val="single" w:sz="4" w:space="0" w:color="auto"/>
            </w:tcBorders>
            <w:noWrap/>
            <w:vAlign w:val="center"/>
            <w:hideMark/>
          </w:tcPr>
          <w:p w14:paraId="40C84FB1" w14:textId="77777777" w:rsidR="003558C9" w:rsidRPr="007006ED" w:rsidRDefault="003558C9" w:rsidP="002807B8">
            <w:pPr>
              <w:bidi w:val="0"/>
              <w:rPr>
                <w:color w:val="000000" w:themeColor="text1"/>
                <w:sz w:val="18"/>
                <w:szCs w:val="18"/>
              </w:rPr>
            </w:pPr>
            <w:r w:rsidRPr="007006ED">
              <w:rPr>
                <w:color w:val="000000" w:themeColor="text1"/>
                <w:sz w:val="18"/>
                <w:szCs w:val="18"/>
              </w:rPr>
              <w:t>5.26</w:t>
            </w:r>
          </w:p>
        </w:tc>
        <w:tc>
          <w:tcPr>
            <w:tcW w:w="453" w:type="pct"/>
            <w:vMerge/>
            <w:tcBorders>
              <w:bottom w:val="single" w:sz="4" w:space="0" w:color="auto"/>
            </w:tcBorders>
            <w:vAlign w:val="center"/>
            <w:hideMark/>
          </w:tcPr>
          <w:p w14:paraId="5FA62007" w14:textId="77777777" w:rsidR="003558C9" w:rsidRPr="007006ED" w:rsidRDefault="003558C9" w:rsidP="002807B8">
            <w:pPr>
              <w:bidi w:val="0"/>
              <w:rPr>
                <w:color w:val="000000" w:themeColor="text1"/>
                <w:sz w:val="18"/>
                <w:szCs w:val="18"/>
              </w:rPr>
            </w:pPr>
          </w:p>
        </w:tc>
        <w:tc>
          <w:tcPr>
            <w:tcW w:w="538" w:type="pct"/>
            <w:gridSpan w:val="2"/>
            <w:vMerge/>
            <w:tcBorders>
              <w:bottom w:val="single" w:sz="4" w:space="0" w:color="auto"/>
            </w:tcBorders>
            <w:vAlign w:val="center"/>
            <w:hideMark/>
          </w:tcPr>
          <w:p w14:paraId="03278783" w14:textId="77777777" w:rsidR="003558C9" w:rsidRPr="007006ED" w:rsidRDefault="003558C9" w:rsidP="007515C7">
            <w:pPr>
              <w:keepNext/>
              <w:bidi w:val="0"/>
              <w:rPr>
                <w:color w:val="000000" w:themeColor="text1"/>
                <w:sz w:val="18"/>
                <w:szCs w:val="18"/>
              </w:rPr>
            </w:pPr>
          </w:p>
        </w:tc>
      </w:tr>
    </w:tbl>
    <w:p w14:paraId="3A33F6D6" w14:textId="0F7E80A9" w:rsidR="007515C7" w:rsidRPr="007515C7" w:rsidRDefault="007515C7" w:rsidP="007515C7">
      <w:pPr>
        <w:pStyle w:val="Caption"/>
        <w:rPr>
          <w:b w:val="0"/>
          <w:bCs w:val="0"/>
          <w:sz w:val="18"/>
          <w:szCs w:val="18"/>
        </w:rPr>
      </w:pPr>
      <w:r w:rsidRPr="007515C7">
        <w:rPr>
          <w:b w:val="0"/>
          <w:bCs w:val="0"/>
          <w:sz w:val="18"/>
          <w:szCs w:val="18"/>
        </w:rPr>
        <w:t xml:space="preserve">Imaging outcome according to MRI or CT </w:t>
      </w:r>
      <w:r w:rsidRPr="007515C7">
        <w:rPr>
          <w:b w:val="0"/>
          <w:bCs w:val="0"/>
          <w:sz w:val="18"/>
          <w:szCs w:val="18"/>
          <w:lang w:val="en-US"/>
        </w:rPr>
        <w:t>scan. *Significant.</w:t>
      </w:r>
    </w:p>
    <w:p w14:paraId="6A9FFBA1" w14:textId="55BFBB44" w:rsidR="00367566" w:rsidRDefault="00280B3D" w:rsidP="00761A41">
      <w:pPr>
        <w:pStyle w:val="Heading1"/>
        <w:ind w:firstLine="720"/>
        <w:rPr>
          <w:rFonts w:eastAsia="SimSun"/>
          <w:color w:val="auto"/>
          <w:sz w:val="24"/>
          <w:szCs w:val="24"/>
          <w:lang w:eastAsia="zh-CN"/>
        </w:rPr>
      </w:pPr>
      <w:r w:rsidRPr="00E7572F">
        <w:rPr>
          <w:rFonts w:eastAsia="SimSun"/>
          <w:b w:val="0"/>
          <w:bCs w:val="0"/>
          <w:color w:val="auto"/>
          <w:sz w:val="24"/>
          <w:szCs w:val="24"/>
          <w:lang w:eastAsia="zh-CN"/>
        </w:rPr>
        <w:t>The analysis of SES-CD scores before treatment revealed a statistically significant difference in disease severity between the studied groups, with higher median values observed in the fistula group. Following treatment, both groups exhibited notable improvement; however, the fistula group demonstrated a more pronounced response, as all patients with severe disease activity improved to either mild or moderate levels</w:t>
      </w:r>
      <w:r w:rsidR="00D90BB8">
        <w:rPr>
          <w:rFonts w:eastAsia="SimSun"/>
          <w:b w:val="0"/>
          <w:bCs w:val="0"/>
          <w:color w:val="auto"/>
          <w:sz w:val="24"/>
          <w:szCs w:val="24"/>
          <w:lang w:eastAsia="zh-CN"/>
        </w:rPr>
        <w:t xml:space="preserve"> of disease activity</w:t>
      </w:r>
      <w:r w:rsidRPr="00E7572F">
        <w:rPr>
          <w:rFonts w:eastAsia="SimSun"/>
          <w:b w:val="0"/>
          <w:bCs w:val="0"/>
          <w:color w:val="auto"/>
          <w:sz w:val="24"/>
          <w:szCs w:val="24"/>
          <w:lang w:eastAsia="zh-CN"/>
        </w:rPr>
        <w:t xml:space="preserve">. In contrast, in the non-fistula group, two patients achieved complete remission, while one out of the total 16 patients remained in the severe disease category </w:t>
      </w:r>
      <w:r w:rsidR="00A0329D" w:rsidRPr="00E7572F">
        <w:rPr>
          <w:rFonts w:eastAsia="SimSun"/>
          <w:color w:val="auto"/>
          <w:sz w:val="24"/>
          <w:szCs w:val="24"/>
          <w:lang w:eastAsia="zh-CN"/>
        </w:rPr>
        <w:t>Tab 3</w:t>
      </w:r>
      <w:r w:rsidR="00EF7B83">
        <w:rPr>
          <w:rFonts w:eastAsia="SimSun"/>
          <w:color w:val="auto"/>
          <w:sz w:val="24"/>
          <w:szCs w:val="24"/>
          <w:lang w:eastAsia="zh-CN"/>
        </w:rPr>
        <w:t>.</w:t>
      </w:r>
    </w:p>
    <w:p w14:paraId="1E63C9C1" w14:textId="1D9AA803" w:rsidR="00B07985" w:rsidRPr="00B07985" w:rsidRDefault="00B07985" w:rsidP="00B07985">
      <w:pPr>
        <w:pStyle w:val="Caption"/>
        <w:rPr>
          <w:lang w:val="en-US"/>
        </w:rPr>
      </w:pPr>
      <w:r w:rsidRPr="00B07985">
        <w:rPr>
          <w:b w:val="0"/>
          <w:bCs w:val="0"/>
          <w:sz w:val="18"/>
          <w:szCs w:val="18"/>
        </w:rPr>
        <w:t xml:space="preserve">Tab </w:t>
      </w:r>
      <w:r w:rsidRPr="00B07985">
        <w:rPr>
          <w:b w:val="0"/>
          <w:bCs w:val="0"/>
          <w:sz w:val="18"/>
          <w:szCs w:val="18"/>
        </w:rPr>
        <w:fldChar w:fldCharType="begin"/>
      </w:r>
      <w:r w:rsidRPr="00B07985">
        <w:rPr>
          <w:b w:val="0"/>
          <w:bCs w:val="0"/>
          <w:sz w:val="18"/>
          <w:szCs w:val="18"/>
        </w:rPr>
        <w:instrText xml:space="preserve"> SEQ Table \* ARABIC </w:instrText>
      </w:r>
      <w:r w:rsidRPr="00B07985">
        <w:rPr>
          <w:b w:val="0"/>
          <w:bCs w:val="0"/>
          <w:sz w:val="18"/>
          <w:szCs w:val="18"/>
        </w:rPr>
        <w:fldChar w:fldCharType="separate"/>
      </w:r>
      <w:r w:rsidR="00042FA0">
        <w:rPr>
          <w:b w:val="0"/>
          <w:bCs w:val="0"/>
          <w:noProof/>
          <w:sz w:val="18"/>
          <w:szCs w:val="18"/>
        </w:rPr>
        <w:t>3</w:t>
      </w:r>
      <w:r w:rsidRPr="00B07985">
        <w:rPr>
          <w:b w:val="0"/>
          <w:bCs w:val="0"/>
          <w:sz w:val="18"/>
          <w:szCs w:val="18"/>
        </w:rPr>
        <w:fldChar w:fldCharType="end"/>
      </w:r>
      <w:r w:rsidRPr="00B07985">
        <w:rPr>
          <w:b w:val="0"/>
          <w:bCs w:val="0"/>
          <w:sz w:val="18"/>
          <w:szCs w:val="18"/>
        </w:rPr>
        <w:t xml:space="preserve">. </w:t>
      </w:r>
      <w:r w:rsidRPr="00B07985">
        <w:rPr>
          <w:b w:val="0"/>
          <w:bCs w:val="0"/>
          <w:sz w:val="18"/>
          <w:szCs w:val="18"/>
          <w:lang w:val="en-US"/>
        </w:rPr>
        <w:t>Comparison regarding simplified endoscopic score for Crohn's disease (SES-CD) before and after treatment among the study groups.</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 (3): comparison regarding simplified endoscopic score for Crohn's disease (SES-CD) before and after treatment among the study groups:"/>
        <w:tblDescription w:val="*PERSON CHI SQUAR, # FRIEDMAN TEST, $ Mann-Whitney, ^ Wilcoxon Signed Ranks Test"/>
      </w:tblPr>
      <w:tblGrid>
        <w:gridCol w:w="2162"/>
        <w:gridCol w:w="2165"/>
        <w:gridCol w:w="1928"/>
        <w:gridCol w:w="1405"/>
        <w:gridCol w:w="1367"/>
      </w:tblGrid>
      <w:tr w:rsidR="00B07985" w:rsidRPr="00B7479A" w14:paraId="1EDAF1E2" w14:textId="77777777" w:rsidTr="00D376D1">
        <w:tc>
          <w:tcPr>
            <w:tcW w:w="1198" w:type="pct"/>
            <w:tcBorders>
              <w:top w:val="single" w:sz="4" w:space="0" w:color="auto"/>
              <w:bottom w:val="single" w:sz="4" w:space="0" w:color="auto"/>
            </w:tcBorders>
          </w:tcPr>
          <w:p w14:paraId="4A68943E" w14:textId="77777777" w:rsidR="00B07985" w:rsidRPr="00B7479A" w:rsidRDefault="00B07985" w:rsidP="002807B8">
            <w:pPr>
              <w:tabs>
                <w:tab w:val="left" w:pos="3075"/>
              </w:tabs>
              <w:bidi w:val="0"/>
              <w:rPr>
                <w:rFonts w:eastAsia="Arial"/>
                <w:color w:val="000000" w:themeColor="text1"/>
                <w:sz w:val="18"/>
                <w:szCs w:val="18"/>
              </w:rPr>
            </w:pPr>
          </w:p>
        </w:tc>
        <w:tc>
          <w:tcPr>
            <w:tcW w:w="1199" w:type="pct"/>
            <w:tcBorders>
              <w:top w:val="single" w:sz="4" w:space="0" w:color="auto"/>
              <w:bottom w:val="single" w:sz="4" w:space="0" w:color="auto"/>
            </w:tcBorders>
            <w:hideMark/>
          </w:tcPr>
          <w:p w14:paraId="4873AE3E" w14:textId="61589727" w:rsidR="00B07985" w:rsidRPr="00B7479A" w:rsidRDefault="00B07985" w:rsidP="000022C0">
            <w:pPr>
              <w:tabs>
                <w:tab w:val="left" w:pos="3075"/>
              </w:tabs>
              <w:bidi w:val="0"/>
              <w:rPr>
                <w:rFonts w:eastAsia="Arial"/>
                <w:color w:val="000000" w:themeColor="text1"/>
                <w:sz w:val="18"/>
                <w:szCs w:val="18"/>
              </w:rPr>
            </w:pPr>
            <w:r w:rsidRPr="00B7479A">
              <w:rPr>
                <w:rFonts w:eastAsia="Arial"/>
                <w:color w:val="000000" w:themeColor="text1"/>
                <w:sz w:val="18"/>
                <w:szCs w:val="18"/>
              </w:rPr>
              <w:t>Fistula group</w:t>
            </w:r>
            <w:r w:rsidR="000022C0" w:rsidRPr="00B7479A">
              <w:rPr>
                <w:rFonts w:eastAsia="Arial"/>
                <w:color w:val="000000" w:themeColor="text1"/>
                <w:sz w:val="18"/>
                <w:szCs w:val="18"/>
              </w:rPr>
              <w:t xml:space="preserve"> </w:t>
            </w:r>
            <w:r w:rsidRPr="00B7479A">
              <w:rPr>
                <w:rFonts w:eastAsia="Arial"/>
                <w:color w:val="000000" w:themeColor="text1"/>
                <w:sz w:val="18"/>
                <w:szCs w:val="18"/>
              </w:rPr>
              <w:t>N (45)</w:t>
            </w:r>
          </w:p>
        </w:tc>
        <w:tc>
          <w:tcPr>
            <w:tcW w:w="1068" w:type="pct"/>
            <w:tcBorders>
              <w:top w:val="single" w:sz="4" w:space="0" w:color="auto"/>
              <w:bottom w:val="single" w:sz="4" w:space="0" w:color="auto"/>
            </w:tcBorders>
            <w:hideMark/>
          </w:tcPr>
          <w:p w14:paraId="5790D5EA" w14:textId="726A990F" w:rsidR="00B07985" w:rsidRPr="00B7479A" w:rsidRDefault="00B07985" w:rsidP="000022C0">
            <w:pPr>
              <w:tabs>
                <w:tab w:val="left" w:pos="3075"/>
              </w:tabs>
              <w:bidi w:val="0"/>
              <w:rPr>
                <w:rFonts w:eastAsia="Arial"/>
                <w:color w:val="000000" w:themeColor="text1"/>
                <w:sz w:val="18"/>
                <w:szCs w:val="18"/>
              </w:rPr>
            </w:pPr>
            <w:r w:rsidRPr="00B7479A">
              <w:rPr>
                <w:rFonts w:eastAsia="Arial"/>
                <w:color w:val="000000" w:themeColor="text1"/>
                <w:sz w:val="18"/>
                <w:szCs w:val="18"/>
              </w:rPr>
              <w:t>Non-Fistula group</w:t>
            </w:r>
            <w:r w:rsidR="000022C0" w:rsidRPr="00B7479A">
              <w:rPr>
                <w:rFonts w:eastAsia="Arial"/>
                <w:color w:val="000000" w:themeColor="text1"/>
                <w:sz w:val="18"/>
                <w:szCs w:val="18"/>
              </w:rPr>
              <w:t xml:space="preserve"> </w:t>
            </w:r>
            <w:r w:rsidRPr="00B7479A">
              <w:rPr>
                <w:rFonts w:eastAsia="Arial"/>
                <w:color w:val="000000" w:themeColor="text1"/>
                <w:sz w:val="18"/>
                <w:szCs w:val="18"/>
              </w:rPr>
              <w:t>N (45)</w:t>
            </w:r>
          </w:p>
        </w:tc>
        <w:tc>
          <w:tcPr>
            <w:tcW w:w="778" w:type="pct"/>
            <w:tcBorders>
              <w:top w:val="single" w:sz="4" w:space="0" w:color="auto"/>
              <w:bottom w:val="single" w:sz="4" w:space="0" w:color="auto"/>
            </w:tcBorders>
            <w:hideMark/>
          </w:tcPr>
          <w:p w14:paraId="3174B391" w14:textId="7E7ED46C" w:rsidR="00B07985" w:rsidRPr="00B7479A" w:rsidRDefault="00B07985" w:rsidP="000022C0">
            <w:pPr>
              <w:tabs>
                <w:tab w:val="left" w:pos="3075"/>
              </w:tabs>
              <w:bidi w:val="0"/>
              <w:rPr>
                <w:rFonts w:eastAsia="Arial"/>
                <w:color w:val="000000" w:themeColor="text1"/>
                <w:sz w:val="18"/>
                <w:szCs w:val="18"/>
              </w:rPr>
            </w:pPr>
            <w:r w:rsidRPr="00B7479A">
              <w:rPr>
                <w:rFonts w:eastAsia="Arial"/>
                <w:color w:val="000000" w:themeColor="text1"/>
                <w:sz w:val="18"/>
                <w:szCs w:val="18"/>
              </w:rPr>
              <w:t>Total N (90)</w:t>
            </w:r>
          </w:p>
        </w:tc>
        <w:tc>
          <w:tcPr>
            <w:tcW w:w="757" w:type="pct"/>
            <w:tcBorders>
              <w:top w:val="single" w:sz="4" w:space="0" w:color="auto"/>
              <w:bottom w:val="single" w:sz="4" w:space="0" w:color="auto"/>
            </w:tcBorders>
            <w:hideMark/>
          </w:tcPr>
          <w:p w14:paraId="6519839C"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TEST</w:t>
            </w:r>
          </w:p>
        </w:tc>
      </w:tr>
      <w:tr w:rsidR="00B07985" w:rsidRPr="00B7479A" w14:paraId="4F7E9902" w14:textId="77777777" w:rsidTr="00D376D1">
        <w:trPr>
          <w:trHeight w:val="175"/>
        </w:trPr>
        <w:tc>
          <w:tcPr>
            <w:tcW w:w="1198" w:type="pct"/>
            <w:vMerge w:val="restart"/>
            <w:tcBorders>
              <w:top w:val="single" w:sz="4" w:space="0" w:color="auto"/>
            </w:tcBorders>
            <w:hideMark/>
          </w:tcPr>
          <w:p w14:paraId="507E2864"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 xml:space="preserve">SES-CD Grade before treatment </w:t>
            </w:r>
          </w:p>
        </w:tc>
        <w:tc>
          <w:tcPr>
            <w:tcW w:w="1199" w:type="pct"/>
            <w:tcBorders>
              <w:top w:val="single" w:sz="4" w:space="0" w:color="auto"/>
            </w:tcBorders>
            <w:hideMark/>
          </w:tcPr>
          <w:p w14:paraId="12E07480"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Mild N (3) 6.7%</w:t>
            </w:r>
          </w:p>
        </w:tc>
        <w:tc>
          <w:tcPr>
            <w:tcW w:w="1068" w:type="pct"/>
            <w:tcBorders>
              <w:top w:val="single" w:sz="4" w:space="0" w:color="auto"/>
            </w:tcBorders>
            <w:hideMark/>
          </w:tcPr>
          <w:p w14:paraId="47E202C1"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(7) 15.6%</w:t>
            </w:r>
          </w:p>
        </w:tc>
        <w:tc>
          <w:tcPr>
            <w:tcW w:w="778" w:type="pct"/>
            <w:tcBorders>
              <w:top w:val="single" w:sz="4" w:space="0" w:color="auto"/>
            </w:tcBorders>
            <w:hideMark/>
          </w:tcPr>
          <w:p w14:paraId="44907F0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(10) 11.1%</w:t>
            </w:r>
          </w:p>
        </w:tc>
        <w:tc>
          <w:tcPr>
            <w:tcW w:w="757" w:type="pct"/>
            <w:vMerge w:val="restart"/>
            <w:tcBorders>
              <w:top w:val="single" w:sz="4" w:space="0" w:color="auto"/>
            </w:tcBorders>
            <w:vAlign w:val="center"/>
            <w:hideMark/>
          </w:tcPr>
          <w:p w14:paraId="766706DD" w14:textId="77777777" w:rsidR="00B07985" w:rsidRPr="00B7479A" w:rsidRDefault="00B07985" w:rsidP="000022C0">
            <w:pPr>
              <w:tabs>
                <w:tab w:val="left" w:pos="3075"/>
              </w:tabs>
              <w:bidi w:val="0"/>
              <w:jc w:val="center"/>
              <w:rPr>
                <w:rFonts w:eastAsia="Arial"/>
                <w:color w:val="000000" w:themeColor="text1"/>
                <w:sz w:val="18"/>
                <w:szCs w:val="18"/>
              </w:rPr>
            </w:pPr>
            <w:r w:rsidRPr="00B7479A">
              <w:rPr>
                <w:rFonts w:eastAsia="Arial"/>
                <w:color w:val="000000" w:themeColor="text1"/>
                <w:sz w:val="18"/>
                <w:szCs w:val="18"/>
              </w:rPr>
              <w:t>X*= 4.21</w:t>
            </w:r>
          </w:p>
          <w:p w14:paraId="697F30C3" w14:textId="77777777" w:rsidR="00B07985" w:rsidRPr="00B7479A" w:rsidRDefault="00B07985" w:rsidP="000022C0">
            <w:pPr>
              <w:tabs>
                <w:tab w:val="left" w:pos="3075"/>
              </w:tabs>
              <w:bidi w:val="0"/>
              <w:jc w:val="center"/>
              <w:rPr>
                <w:rFonts w:eastAsia="Arial"/>
                <w:color w:val="000000" w:themeColor="text1"/>
                <w:sz w:val="18"/>
                <w:szCs w:val="18"/>
              </w:rPr>
            </w:pPr>
            <w:r w:rsidRPr="00B7479A">
              <w:rPr>
                <w:rFonts w:eastAsia="Arial"/>
                <w:color w:val="000000" w:themeColor="text1"/>
                <w:sz w:val="18"/>
                <w:szCs w:val="18"/>
              </w:rPr>
              <w:t>P=0.12</w:t>
            </w:r>
          </w:p>
        </w:tc>
      </w:tr>
      <w:tr w:rsidR="00B07985" w:rsidRPr="00B7479A" w14:paraId="0BEBB924" w14:textId="77777777" w:rsidTr="00D376D1">
        <w:trPr>
          <w:trHeight w:val="175"/>
        </w:trPr>
        <w:tc>
          <w:tcPr>
            <w:tcW w:w="1198" w:type="pct"/>
            <w:vMerge/>
            <w:vAlign w:val="center"/>
            <w:hideMark/>
          </w:tcPr>
          <w:p w14:paraId="46C0B858" w14:textId="77777777" w:rsidR="00B07985" w:rsidRPr="00B7479A" w:rsidRDefault="00B07985" w:rsidP="002807B8">
            <w:pPr>
              <w:bidi w:val="0"/>
              <w:rPr>
                <w:rFonts w:eastAsia="Arial"/>
                <w:color w:val="000000" w:themeColor="text1"/>
                <w:sz w:val="18"/>
                <w:szCs w:val="18"/>
              </w:rPr>
            </w:pPr>
          </w:p>
        </w:tc>
        <w:tc>
          <w:tcPr>
            <w:tcW w:w="1199" w:type="pct"/>
            <w:hideMark/>
          </w:tcPr>
          <w:p w14:paraId="6A6CE0E8"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Mod N (17) 37.8%</w:t>
            </w:r>
          </w:p>
        </w:tc>
        <w:tc>
          <w:tcPr>
            <w:tcW w:w="1068" w:type="pct"/>
            <w:hideMark/>
          </w:tcPr>
          <w:p w14:paraId="6DFD156C"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(22) 48.9%</w:t>
            </w:r>
          </w:p>
        </w:tc>
        <w:tc>
          <w:tcPr>
            <w:tcW w:w="778" w:type="pct"/>
            <w:hideMark/>
          </w:tcPr>
          <w:p w14:paraId="212BB4B7"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(39) 43.3%</w:t>
            </w:r>
          </w:p>
        </w:tc>
        <w:tc>
          <w:tcPr>
            <w:tcW w:w="757" w:type="pct"/>
            <w:vMerge/>
            <w:vAlign w:val="center"/>
            <w:hideMark/>
          </w:tcPr>
          <w:p w14:paraId="24C09A49" w14:textId="77777777" w:rsidR="00B07985" w:rsidRPr="00B7479A" w:rsidRDefault="00B07985" w:rsidP="000022C0">
            <w:pPr>
              <w:bidi w:val="0"/>
              <w:jc w:val="center"/>
              <w:rPr>
                <w:rFonts w:eastAsia="Arial"/>
                <w:color w:val="000000" w:themeColor="text1"/>
                <w:sz w:val="18"/>
                <w:szCs w:val="18"/>
              </w:rPr>
            </w:pPr>
          </w:p>
        </w:tc>
      </w:tr>
      <w:tr w:rsidR="00B07985" w:rsidRPr="00B7479A" w14:paraId="64CB8711" w14:textId="77777777" w:rsidTr="00D376D1">
        <w:trPr>
          <w:trHeight w:val="175"/>
        </w:trPr>
        <w:tc>
          <w:tcPr>
            <w:tcW w:w="1198" w:type="pct"/>
            <w:vMerge/>
            <w:vAlign w:val="center"/>
            <w:hideMark/>
          </w:tcPr>
          <w:p w14:paraId="6D2A4CA7" w14:textId="77777777" w:rsidR="00B07985" w:rsidRPr="00B7479A" w:rsidRDefault="00B07985" w:rsidP="002807B8">
            <w:pPr>
              <w:bidi w:val="0"/>
              <w:rPr>
                <w:rFonts w:eastAsia="Arial"/>
                <w:color w:val="000000" w:themeColor="text1"/>
                <w:sz w:val="18"/>
                <w:szCs w:val="18"/>
              </w:rPr>
            </w:pPr>
          </w:p>
        </w:tc>
        <w:tc>
          <w:tcPr>
            <w:tcW w:w="1199" w:type="pct"/>
            <w:hideMark/>
          </w:tcPr>
          <w:p w14:paraId="0ACB93D0"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Severe N (25) 55.6%</w:t>
            </w:r>
          </w:p>
        </w:tc>
        <w:tc>
          <w:tcPr>
            <w:tcW w:w="1068" w:type="pct"/>
            <w:hideMark/>
          </w:tcPr>
          <w:p w14:paraId="3EF250D4"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(16) 35.6%</w:t>
            </w:r>
          </w:p>
        </w:tc>
        <w:tc>
          <w:tcPr>
            <w:tcW w:w="778" w:type="pct"/>
            <w:hideMark/>
          </w:tcPr>
          <w:p w14:paraId="7113ACA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(41) 45.6%</w:t>
            </w:r>
          </w:p>
        </w:tc>
        <w:tc>
          <w:tcPr>
            <w:tcW w:w="757" w:type="pct"/>
            <w:vMerge/>
            <w:vAlign w:val="center"/>
            <w:hideMark/>
          </w:tcPr>
          <w:p w14:paraId="1AD47CFC" w14:textId="77777777" w:rsidR="00B07985" w:rsidRPr="00B7479A" w:rsidRDefault="00B07985" w:rsidP="000022C0">
            <w:pPr>
              <w:bidi w:val="0"/>
              <w:jc w:val="center"/>
              <w:rPr>
                <w:rFonts w:eastAsia="Arial"/>
                <w:color w:val="000000" w:themeColor="text1"/>
                <w:sz w:val="18"/>
                <w:szCs w:val="18"/>
              </w:rPr>
            </w:pPr>
          </w:p>
        </w:tc>
      </w:tr>
      <w:tr w:rsidR="00B07985" w:rsidRPr="00B7479A" w14:paraId="4100181D" w14:textId="77777777" w:rsidTr="00D376D1">
        <w:trPr>
          <w:trHeight w:val="132"/>
        </w:trPr>
        <w:tc>
          <w:tcPr>
            <w:tcW w:w="1198" w:type="pct"/>
            <w:vMerge w:val="restart"/>
            <w:hideMark/>
          </w:tcPr>
          <w:p w14:paraId="6F0987D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SES-CD Grade after treatment</w:t>
            </w:r>
          </w:p>
        </w:tc>
        <w:tc>
          <w:tcPr>
            <w:tcW w:w="1199" w:type="pct"/>
            <w:hideMark/>
          </w:tcPr>
          <w:p w14:paraId="5BAE30A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Remission N (0)</w:t>
            </w:r>
          </w:p>
        </w:tc>
        <w:tc>
          <w:tcPr>
            <w:tcW w:w="1068" w:type="pct"/>
            <w:hideMark/>
          </w:tcPr>
          <w:p w14:paraId="448E65B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(2) 4.4%</w:t>
            </w:r>
          </w:p>
        </w:tc>
        <w:tc>
          <w:tcPr>
            <w:tcW w:w="778" w:type="pct"/>
            <w:hideMark/>
          </w:tcPr>
          <w:p w14:paraId="25E1FE65"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(2) 2.2%</w:t>
            </w:r>
          </w:p>
        </w:tc>
        <w:tc>
          <w:tcPr>
            <w:tcW w:w="757" w:type="pct"/>
            <w:vMerge w:val="restart"/>
            <w:vAlign w:val="center"/>
            <w:hideMark/>
          </w:tcPr>
          <w:p w14:paraId="69E93065" w14:textId="77777777" w:rsidR="00B07985" w:rsidRPr="00B7479A" w:rsidRDefault="00B07985" w:rsidP="000022C0">
            <w:pPr>
              <w:tabs>
                <w:tab w:val="left" w:pos="3075"/>
              </w:tabs>
              <w:bidi w:val="0"/>
              <w:jc w:val="center"/>
              <w:rPr>
                <w:rFonts w:eastAsia="Arial"/>
                <w:color w:val="000000" w:themeColor="text1"/>
                <w:sz w:val="18"/>
                <w:szCs w:val="18"/>
              </w:rPr>
            </w:pPr>
            <w:r w:rsidRPr="00B7479A">
              <w:rPr>
                <w:rFonts w:eastAsia="Arial"/>
                <w:color w:val="000000" w:themeColor="text1"/>
                <w:sz w:val="18"/>
                <w:szCs w:val="18"/>
              </w:rPr>
              <w:t>X*= 11.6</w:t>
            </w:r>
          </w:p>
          <w:p w14:paraId="31F28C60" w14:textId="77777777" w:rsidR="00B07985" w:rsidRPr="00B7479A" w:rsidRDefault="00B07985" w:rsidP="000022C0">
            <w:pPr>
              <w:tabs>
                <w:tab w:val="left" w:pos="3075"/>
              </w:tabs>
              <w:bidi w:val="0"/>
              <w:jc w:val="center"/>
              <w:rPr>
                <w:rFonts w:eastAsia="Arial"/>
                <w:color w:val="000000" w:themeColor="text1"/>
                <w:sz w:val="18"/>
                <w:szCs w:val="18"/>
              </w:rPr>
            </w:pPr>
            <w:r w:rsidRPr="00B7479A">
              <w:rPr>
                <w:rFonts w:eastAsia="Arial"/>
                <w:color w:val="000000" w:themeColor="text1"/>
                <w:sz w:val="18"/>
                <w:szCs w:val="18"/>
              </w:rPr>
              <w:t>P=0.009</w:t>
            </w:r>
          </w:p>
        </w:tc>
      </w:tr>
      <w:tr w:rsidR="00B07985" w:rsidRPr="00B7479A" w14:paraId="6EC93D33" w14:textId="77777777" w:rsidTr="00D376D1">
        <w:trPr>
          <w:trHeight w:val="131"/>
        </w:trPr>
        <w:tc>
          <w:tcPr>
            <w:tcW w:w="1198" w:type="pct"/>
            <w:vMerge/>
            <w:vAlign w:val="center"/>
            <w:hideMark/>
          </w:tcPr>
          <w:p w14:paraId="3BA9F730" w14:textId="77777777" w:rsidR="00B07985" w:rsidRPr="00B7479A" w:rsidRDefault="00B07985" w:rsidP="002807B8">
            <w:pPr>
              <w:bidi w:val="0"/>
              <w:rPr>
                <w:rFonts w:eastAsia="Arial"/>
                <w:color w:val="000000" w:themeColor="text1"/>
                <w:sz w:val="18"/>
                <w:szCs w:val="18"/>
              </w:rPr>
            </w:pPr>
          </w:p>
        </w:tc>
        <w:tc>
          <w:tcPr>
            <w:tcW w:w="1199" w:type="pct"/>
            <w:hideMark/>
          </w:tcPr>
          <w:p w14:paraId="027CC070"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Mild N (17) 37 %</w:t>
            </w:r>
          </w:p>
        </w:tc>
        <w:tc>
          <w:tcPr>
            <w:tcW w:w="1068" w:type="pct"/>
            <w:hideMark/>
          </w:tcPr>
          <w:p w14:paraId="06EF2D8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(29) 68.4 %</w:t>
            </w:r>
          </w:p>
        </w:tc>
        <w:tc>
          <w:tcPr>
            <w:tcW w:w="778" w:type="pct"/>
            <w:hideMark/>
          </w:tcPr>
          <w:p w14:paraId="20B36227"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(46) 51.1%</w:t>
            </w:r>
          </w:p>
        </w:tc>
        <w:tc>
          <w:tcPr>
            <w:tcW w:w="757" w:type="pct"/>
            <w:vMerge/>
            <w:vAlign w:val="center"/>
            <w:hideMark/>
          </w:tcPr>
          <w:p w14:paraId="1CC93A2B" w14:textId="77777777" w:rsidR="00B07985" w:rsidRPr="00B7479A" w:rsidRDefault="00B07985" w:rsidP="000022C0">
            <w:pPr>
              <w:bidi w:val="0"/>
              <w:jc w:val="center"/>
              <w:rPr>
                <w:rFonts w:eastAsia="Arial"/>
                <w:color w:val="000000" w:themeColor="text1"/>
                <w:sz w:val="18"/>
                <w:szCs w:val="18"/>
              </w:rPr>
            </w:pPr>
          </w:p>
        </w:tc>
      </w:tr>
      <w:tr w:rsidR="00B07985" w:rsidRPr="00B7479A" w14:paraId="38A651F6" w14:textId="77777777" w:rsidTr="00D376D1">
        <w:trPr>
          <w:trHeight w:val="131"/>
        </w:trPr>
        <w:tc>
          <w:tcPr>
            <w:tcW w:w="1198" w:type="pct"/>
            <w:vMerge/>
            <w:vAlign w:val="center"/>
            <w:hideMark/>
          </w:tcPr>
          <w:p w14:paraId="393DD137" w14:textId="77777777" w:rsidR="00B07985" w:rsidRPr="00B7479A" w:rsidRDefault="00B07985" w:rsidP="002807B8">
            <w:pPr>
              <w:bidi w:val="0"/>
              <w:rPr>
                <w:rFonts w:eastAsia="Arial"/>
                <w:color w:val="000000" w:themeColor="text1"/>
                <w:sz w:val="18"/>
                <w:szCs w:val="18"/>
              </w:rPr>
            </w:pPr>
          </w:p>
        </w:tc>
        <w:tc>
          <w:tcPr>
            <w:tcW w:w="1199" w:type="pct"/>
            <w:hideMark/>
          </w:tcPr>
          <w:p w14:paraId="138FFAA2"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Mod N (28) 62 %</w:t>
            </w:r>
          </w:p>
        </w:tc>
        <w:tc>
          <w:tcPr>
            <w:tcW w:w="1068" w:type="pct"/>
            <w:hideMark/>
          </w:tcPr>
          <w:p w14:paraId="158ECF8D"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(13) 28.9%</w:t>
            </w:r>
          </w:p>
        </w:tc>
        <w:tc>
          <w:tcPr>
            <w:tcW w:w="778" w:type="pct"/>
            <w:hideMark/>
          </w:tcPr>
          <w:p w14:paraId="22BD1EA1"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(41) 45.6%</w:t>
            </w:r>
          </w:p>
        </w:tc>
        <w:tc>
          <w:tcPr>
            <w:tcW w:w="757" w:type="pct"/>
            <w:vMerge/>
            <w:vAlign w:val="center"/>
            <w:hideMark/>
          </w:tcPr>
          <w:p w14:paraId="4C4CC820" w14:textId="77777777" w:rsidR="00B07985" w:rsidRPr="00B7479A" w:rsidRDefault="00B07985" w:rsidP="000022C0">
            <w:pPr>
              <w:bidi w:val="0"/>
              <w:jc w:val="center"/>
              <w:rPr>
                <w:rFonts w:eastAsia="Arial"/>
                <w:color w:val="000000" w:themeColor="text1"/>
                <w:sz w:val="18"/>
                <w:szCs w:val="18"/>
              </w:rPr>
            </w:pPr>
          </w:p>
        </w:tc>
      </w:tr>
      <w:tr w:rsidR="00B07985" w:rsidRPr="00B7479A" w14:paraId="3EB15222" w14:textId="77777777" w:rsidTr="00D376D1">
        <w:trPr>
          <w:trHeight w:val="131"/>
        </w:trPr>
        <w:tc>
          <w:tcPr>
            <w:tcW w:w="1198" w:type="pct"/>
            <w:vMerge/>
            <w:vAlign w:val="center"/>
            <w:hideMark/>
          </w:tcPr>
          <w:p w14:paraId="5FA31824" w14:textId="77777777" w:rsidR="00B07985" w:rsidRPr="00B7479A" w:rsidRDefault="00B07985" w:rsidP="002807B8">
            <w:pPr>
              <w:bidi w:val="0"/>
              <w:rPr>
                <w:rFonts w:eastAsia="Arial"/>
                <w:color w:val="000000" w:themeColor="text1"/>
                <w:sz w:val="18"/>
                <w:szCs w:val="18"/>
              </w:rPr>
            </w:pPr>
          </w:p>
        </w:tc>
        <w:tc>
          <w:tcPr>
            <w:tcW w:w="1199" w:type="pct"/>
            <w:hideMark/>
          </w:tcPr>
          <w:p w14:paraId="0EE20BC0"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Severe N (0)</w:t>
            </w:r>
          </w:p>
        </w:tc>
        <w:tc>
          <w:tcPr>
            <w:tcW w:w="1068" w:type="pct"/>
            <w:hideMark/>
          </w:tcPr>
          <w:p w14:paraId="10E98318"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(1) 2.2%</w:t>
            </w:r>
          </w:p>
        </w:tc>
        <w:tc>
          <w:tcPr>
            <w:tcW w:w="778" w:type="pct"/>
            <w:hideMark/>
          </w:tcPr>
          <w:p w14:paraId="6956E7FD"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N (1) 1.1%</w:t>
            </w:r>
          </w:p>
        </w:tc>
        <w:tc>
          <w:tcPr>
            <w:tcW w:w="757" w:type="pct"/>
            <w:vMerge/>
            <w:vAlign w:val="center"/>
            <w:hideMark/>
          </w:tcPr>
          <w:p w14:paraId="460EBE8F" w14:textId="77777777" w:rsidR="00B07985" w:rsidRPr="00B7479A" w:rsidRDefault="00B07985" w:rsidP="000022C0">
            <w:pPr>
              <w:bidi w:val="0"/>
              <w:jc w:val="center"/>
              <w:rPr>
                <w:rFonts w:eastAsia="Arial"/>
                <w:color w:val="000000" w:themeColor="text1"/>
                <w:sz w:val="18"/>
                <w:szCs w:val="18"/>
              </w:rPr>
            </w:pPr>
          </w:p>
        </w:tc>
      </w:tr>
      <w:tr w:rsidR="00B07985" w:rsidRPr="00B7479A" w14:paraId="7B8A1DB5" w14:textId="77777777" w:rsidTr="00D376D1">
        <w:trPr>
          <w:trHeight w:val="332"/>
        </w:trPr>
        <w:tc>
          <w:tcPr>
            <w:tcW w:w="1198" w:type="pct"/>
            <w:hideMark/>
          </w:tcPr>
          <w:p w14:paraId="33A8C88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 xml:space="preserve">Test </w:t>
            </w:r>
          </w:p>
        </w:tc>
        <w:tc>
          <w:tcPr>
            <w:tcW w:w="1199" w:type="pct"/>
            <w:hideMark/>
          </w:tcPr>
          <w:p w14:paraId="6D22C022"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X</w:t>
            </w:r>
            <w:r w:rsidRPr="00B7479A">
              <w:rPr>
                <w:rFonts w:eastAsia="Arial"/>
                <w:color w:val="000000" w:themeColor="text1"/>
                <w:sz w:val="18"/>
                <w:szCs w:val="18"/>
                <w:vertAlign w:val="superscript"/>
              </w:rPr>
              <w:t>#</w:t>
            </w:r>
            <w:r w:rsidRPr="00B7479A">
              <w:rPr>
                <w:rFonts w:eastAsia="Arial"/>
                <w:color w:val="000000" w:themeColor="text1"/>
                <w:sz w:val="18"/>
                <w:szCs w:val="18"/>
              </w:rPr>
              <w:t>=2.27 P=0.13</w:t>
            </w:r>
          </w:p>
        </w:tc>
        <w:tc>
          <w:tcPr>
            <w:tcW w:w="1068" w:type="pct"/>
            <w:hideMark/>
          </w:tcPr>
          <w:p w14:paraId="6931BC4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X</w:t>
            </w:r>
            <w:r w:rsidRPr="00B7479A">
              <w:rPr>
                <w:rFonts w:eastAsia="Arial"/>
                <w:color w:val="000000" w:themeColor="text1"/>
                <w:sz w:val="18"/>
                <w:szCs w:val="18"/>
                <w:vertAlign w:val="superscript"/>
              </w:rPr>
              <w:t>#</w:t>
            </w:r>
            <w:r w:rsidRPr="00B7479A">
              <w:rPr>
                <w:rFonts w:eastAsia="Arial"/>
                <w:color w:val="000000" w:themeColor="text1"/>
                <w:sz w:val="18"/>
                <w:szCs w:val="18"/>
              </w:rPr>
              <w:t>=0.88 P=0.3</w:t>
            </w:r>
          </w:p>
        </w:tc>
        <w:tc>
          <w:tcPr>
            <w:tcW w:w="778" w:type="pct"/>
            <w:hideMark/>
          </w:tcPr>
          <w:p w14:paraId="3411E22A"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X</w:t>
            </w:r>
            <w:r w:rsidRPr="00B7479A">
              <w:rPr>
                <w:rFonts w:eastAsia="Arial"/>
                <w:color w:val="000000" w:themeColor="text1"/>
                <w:sz w:val="18"/>
                <w:szCs w:val="18"/>
                <w:vertAlign w:val="superscript"/>
              </w:rPr>
              <w:t>#</w:t>
            </w:r>
            <w:r w:rsidRPr="00B7479A">
              <w:rPr>
                <w:rFonts w:eastAsia="Arial"/>
                <w:color w:val="000000" w:themeColor="text1"/>
                <w:sz w:val="18"/>
                <w:szCs w:val="18"/>
              </w:rPr>
              <w:t>=2.79 P=0.09</w:t>
            </w:r>
          </w:p>
        </w:tc>
        <w:tc>
          <w:tcPr>
            <w:tcW w:w="757" w:type="pct"/>
            <w:vMerge/>
            <w:vAlign w:val="center"/>
            <w:hideMark/>
          </w:tcPr>
          <w:p w14:paraId="2D1E3954" w14:textId="77777777" w:rsidR="00B07985" w:rsidRPr="00B7479A" w:rsidRDefault="00B07985" w:rsidP="000022C0">
            <w:pPr>
              <w:bidi w:val="0"/>
              <w:jc w:val="center"/>
              <w:rPr>
                <w:rFonts w:eastAsia="Arial"/>
                <w:color w:val="000000" w:themeColor="text1"/>
                <w:sz w:val="18"/>
                <w:szCs w:val="18"/>
              </w:rPr>
            </w:pPr>
          </w:p>
        </w:tc>
      </w:tr>
      <w:tr w:rsidR="00B07985" w:rsidRPr="00B7479A" w14:paraId="4476BE2F" w14:textId="77777777" w:rsidTr="00D376D1">
        <w:trPr>
          <w:trHeight w:val="332"/>
        </w:trPr>
        <w:tc>
          <w:tcPr>
            <w:tcW w:w="1198" w:type="pct"/>
            <w:hideMark/>
          </w:tcPr>
          <w:p w14:paraId="7CA2B2EB"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 xml:space="preserve">SES-CD Before treatment </w:t>
            </w:r>
          </w:p>
        </w:tc>
        <w:tc>
          <w:tcPr>
            <w:tcW w:w="1199" w:type="pct"/>
          </w:tcPr>
          <w:p w14:paraId="08B6DF7B" w14:textId="77777777" w:rsidR="00B07985" w:rsidRPr="00B7479A" w:rsidRDefault="00B07985" w:rsidP="002807B8">
            <w:pPr>
              <w:tabs>
                <w:tab w:val="left" w:pos="3075"/>
              </w:tabs>
              <w:bidi w:val="0"/>
              <w:rPr>
                <w:rFonts w:eastAsia="Arial"/>
                <w:color w:val="000000" w:themeColor="text1"/>
                <w:sz w:val="18"/>
                <w:szCs w:val="18"/>
              </w:rPr>
            </w:pPr>
          </w:p>
        </w:tc>
        <w:tc>
          <w:tcPr>
            <w:tcW w:w="1068" w:type="pct"/>
          </w:tcPr>
          <w:p w14:paraId="4DF17B39" w14:textId="77777777" w:rsidR="00B07985" w:rsidRPr="00B7479A" w:rsidRDefault="00B07985" w:rsidP="002807B8">
            <w:pPr>
              <w:tabs>
                <w:tab w:val="left" w:pos="3075"/>
              </w:tabs>
              <w:bidi w:val="0"/>
              <w:rPr>
                <w:rFonts w:eastAsia="Arial"/>
                <w:color w:val="000000" w:themeColor="text1"/>
                <w:sz w:val="18"/>
                <w:szCs w:val="18"/>
              </w:rPr>
            </w:pPr>
          </w:p>
        </w:tc>
        <w:tc>
          <w:tcPr>
            <w:tcW w:w="778" w:type="pct"/>
          </w:tcPr>
          <w:p w14:paraId="44111FAF" w14:textId="77777777" w:rsidR="00B07985" w:rsidRPr="00B7479A" w:rsidRDefault="00B07985" w:rsidP="002807B8">
            <w:pPr>
              <w:tabs>
                <w:tab w:val="left" w:pos="3075"/>
              </w:tabs>
              <w:bidi w:val="0"/>
              <w:rPr>
                <w:rFonts w:eastAsia="Arial"/>
                <w:color w:val="000000" w:themeColor="text1"/>
                <w:sz w:val="18"/>
                <w:szCs w:val="18"/>
              </w:rPr>
            </w:pPr>
          </w:p>
        </w:tc>
        <w:tc>
          <w:tcPr>
            <w:tcW w:w="757" w:type="pct"/>
            <w:vMerge w:val="restart"/>
            <w:vAlign w:val="center"/>
            <w:hideMark/>
          </w:tcPr>
          <w:p w14:paraId="5FF95E94" w14:textId="77777777" w:rsidR="00B07985" w:rsidRPr="00B7479A" w:rsidRDefault="00B07985" w:rsidP="000022C0">
            <w:pPr>
              <w:tabs>
                <w:tab w:val="left" w:pos="3075"/>
              </w:tabs>
              <w:bidi w:val="0"/>
              <w:jc w:val="center"/>
              <w:rPr>
                <w:rFonts w:eastAsia="Arial"/>
                <w:color w:val="000000" w:themeColor="text1"/>
                <w:sz w:val="18"/>
                <w:szCs w:val="18"/>
              </w:rPr>
            </w:pPr>
            <w:r w:rsidRPr="00B7479A">
              <w:rPr>
                <w:rFonts w:eastAsia="Arial"/>
                <w:color w:val="000000" w:themeColor="text1"/>
                <w:sz w:val="18"/>
                <w:szCs w:val="18"/>
              </w:rPr>
              <w:t>U</w:t>
            </w:r>
            <w:r w:rsidRPr="00B7479A">
              <w:rPr>
                <w:rFonts w:eastAsia="Arial"/>
                <w:color w:val="000000" w:themeColor="text1"/>
                <w:sz w:val="18"/>
                <w:szCs w:val="18"/>
                <w:vertAlign w:val="superscript"/>
              </w:rPr>
              <w:t>$</w:t>
            </w:r>
            <w:r w:rsidRPr="00B7479A">
              <w:rPr>
                <w:rFonts w:eastAsia="Arial"/>
                <w:color w:val="000000" w:themeColor="text1"/>
                <w:sz w:val="18"/>
                <w:szCs w:val="18"/>
              </w:rPr>
              <w:t>=681</w:t>
            </w:r>
          </w:p>
          <w:p w14:paraId="7CAE4414" w14:textId="77777777" w:rsidR="00B07985" w:rsidRPr="00B7479A" w:rsidRDefault="00B07985" w:rsidP="000022C0">
            <w:pPr>
              <w:tabs>
                <w:tab w:val="left" w:pos="3075"/>
              </w:tabs>
              <w:bidi w:val="0"/>
              <w:jc w:val="center"/>
              <w:rPr>
                <w:rFonts w:eastAsia="Arial"/>
                <w:color w:val="000000" w:themeColor="text1"/>
                <w:sz w:val="18"/>
                <w:szCs w:val="18"/>
              </w:rPr>
            </w:pPr>
            <w:r w:rsidRPr="00B7479A">
              <w:rPr>
                <w:rFonts w:eastAsia="Arial"/>
                <w:color w:val="000000" w:themeColor="text1"/>
                <w:sz w:val="18"/>
                <w:szCs w:val="18"/>
              </w:rPr>
              <w:t>P=0.007</w:t>
            </w:r>
          </w:p>
        </w:tc>
      </w:tr>
      <w:tr w:rsidR="00B07985" w:rsidRPr="00B7479A" w14:paraId="70FCE66E" w14:textId="77777777" w:rsidTr="00D376D1">
        <w:trPr>
          <w:trHeight w:val="332"/>
        </w:trPr>
        <w:tc>
          <w:tcPr>
            <w:tcW w:w="1198" w:type="pct"/>
            <w:hideMark/>
          </w:tcPr>
          <w:p w14:paraId="1A6AE1ED"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Median (25%-75%)</w:t>
            </w:r>
          </w:p>
        </w:tc>
        <w:tc>
          <w:tcPr>
            <w:tcW w:w="1199" w:type="pct"/>
            <w:hideMark/>
          </w:tcPr>
          <w:p w14:paraId="1169F434"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19 (10.5- 21)</w:t>
            </w:r>
          </w:p>
        </w:tc>
        <w:tc>
          <w:tcPr>
            <w:tcW w:w="1068" w:type="pct"/>
          </w:tcPr>
          <w:p w14:paraId="6CE309D6" w14:textId="62A83CBA" w:rsidR="00B07985" w:rsidRPr="00B7479A" w:rsidRDefault="00B07985" w:rsidP="000022C0">
            <w:pPr>
              <w:tabs>
                <w:tab w:val="left" w:pos="3075"/>
              </w:tabs>
              <w:bidi w:val="0"/>
              <w:rPr>
                <w:rFonts w:eastAsia="Arial"/>
                <w:color w:val="000000" w:themeColor="text1"/>
                <w:sz w:val="18"/>
                <w:szCs w:val="18"/>
              </w:rPr>
            </w:pPr>
            <w:r w:rsidRPr="00B7479A">
              <w:rPr>
                <w:rFonts w:eastAsia="Arial"/>
                <w:color w:val="000000" w:themeColor="text1"/>
                <w:sz w:val="18"/>
                <w:szCs w:val="18"/>
              </w:rPr>
              <w:t>13 (7-19)</w:t>
            </w:r>
          </w:p>
        </w:tc>
        <w:tc>
          <w:tcPr>
            <w:tcW w:w="778" w:type="pct"/>
            <w:hideMark/>
          </w:tcPr>
          <w:p w14:paraId="5CFD4975"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14 (10- 20.25)</w:t>
            </w:r>
          </w:p>
        </w:tc>
        <w:tc>
          <w:tcPr>
            <w:tcW w:w="757" w:type="pct"/>
            <w:vMerge/>
            <w:vAlign w:val="center"/>
            <w:hideMark/>
          </w:tcPr>
          <w:p w14:paraId="7BF7EAF0" w14:textId="77777777" w:rsidR="00B07985" w:rsidRPr="00B7479A" w:rsidRDefault="00B07985" w:rsidP="000022C0">
            <w:pPr>
              <w:bidi w:val="0"/>
              <w:jc w:val="center"/>
              <w:rPr>
                <w:rFonts w:eastAsia="Arial"/>
                <w:color w:val="000000" w:themeColor="text1"/>
                <w:sz w:val="18"/>
                <w:szCs w:val="18"/>
              </w:rPr>
            </w:pPr>
          </w:p>
        </w:tc>
      </w:tr>
      <w:tr w:rsidR="00B07985" w:rsidRPr="00B7479A" w14:paraId="7408191D" w14:textId="77777777" w:rsidTr="00D376D1">
        <w:trPr>
          <w:trHeight w:val="170"/>
        </w:trPr>
        <w:tc>
          <w:tcPr>
            <w:tcW w:w="1198" w:type="pct"/>
            <w:hideMark/>
          </w:tcPr>
          <w:p w14:paraId="312103DF"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Min - Max</w:t>
            </w:r>
          </w:p>
        </w:tc>
        <w:tc>
          <w:tcPr>
            <w:tcW w:w="1199" w:type="pct"/>
            <w:hideMark/>
          </w:tcPr>
          <w:p w14:paraId="5A9E49D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3 - 31</w:t>
            </w:r>
          </w:p>
        </w:tc>
        <w:tc>
          <w:tcPr>
            <w:tcW w:w="1068" w:type="pct"/>
            <w:hideMark/>
          </w:tcPr>
          <w:p w14:paraId="0584AAE9"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3 - 36</w:t>
            </w:r>
          </w:p>
        </w:tc>
        <w:tc>
          <w:tcPr>
            <w:tcW w:w="778" w:type="pct"/>
            <w:hideMark/>
          </w:tcPr>
          <w:p w14:paraId="4D9D5747"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3- 36</w:t>
            </w:r>
          </w:p>
        </w:tc>
        <w:tc>
          <w:tcPr>
            <w:tcW w:w="757" w:type="pct"/>
            <w:vMerge/>
            <w:vAlign w:val="center"/>
            <w:hideMark/>
          </w:tcPr>
          <w:p w14:paraId="282A2632" w14:textId="77777777" w:rsidR="00B07985" w:rsidRPr="00B7479A" w:rsidRDefault="00B07985" w:rsidP="000022C0">
            <w:pPr>
              <w:bidi w:val="0"/>
              <w:jc w:val="center"/>
              <w:rPr>
                <w:rFonts w:eastAsia="Arial"/>
                <w:color w:val="000000" w:themeColor="text1"/>
                <w:sz w:val="18"/>
                <w:szCs w:val="18"/>
              </w:rPr>
            </w:pPr>
          </w:p>
        </w:tc>
      </w:tr>
      <w:tr w:rsidR="00B07985" w:rsidRPr="00B7479A" w14:paraId="7CB9E10A" w14:textId="77777777" w:rsidTr="00D376D1">
        <w:trPr>
          <w:trHeight w:val="530"/>
        </w:trPr>
        <w:tc>
          <w:tcPr>
            <w:tcW w:w="1198" w:type="pct"/>
            <w:hideMark/>
          </w:tcPr>
          <w:p w14:paraId="75B85C47"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SES-CD After treatment</w:t>
            </w:r>
          </w:p>
        </w:tc>
        <w:tc>
          <w:tcPr>
            <w:tcW w:w="1199" w:type="pct"/>
          </w:tcPr>
          <w:p w14:paraId="3CB8FB9E" w14:textId="77777777" w:rsidR="00B07985" w:rsidRPr="00B7479A" w:rsidRDefault="00B07985" w:rsidP="002807B8">
            <w:pPr>
              <w:tabs>
                <w:tab w:val="left" w:pos="3075"/>
              </w:tabs>
              <w:bidi w:val="0"/>
              <w:rPr>
                <w:rFonts w:eastAsia="Arial"/>
                <w:color w:val="000000" w:themeColor="text1"/>
                <w:sz w:val="18"/>
                <w:szCs w:val="18"/>
              </w:rPr>
            </w:pPr>
          </w:p>
        </w:tc>
        <w:tc>
          <w:tcPr>
            <w:tcW w:w="1068" w:type="pct"/>
          </w:tcPr>
          <w:p w14:paraId="1F999E90" w14:textId="77777777" w:rsidR="00B07985" w:rsidRPr="00B7479A" w:rsidRDefault="00B07985" w:rsidP="002807B8">
            <w:pPr>
              <w:tabs>
                <w:tab w:val="left" w:pos="3075"/>
              </w:tabs>
              <w:bidi w:val="0"/>
              <w:rPr>
                <w:rFonts w:eastAsia="Arial"/>
                <w:color w:val="000000" w:themeColor="text1"/>
                <w:sz w:val="18"/>
                <w:szCs w:val="18"/>
              </w:rPr>
            </w:pPr>
          </w:p>
        </w:tc>
        <w:tc>
          <w:tcPr>
            <w:tcW w:w="778" w:type="pct"/>
          </w:tcPr>
          <w:p w14:paraId="2AA7F652" w14:textId="77777777" w:rsidR="00B07985" w:rsidRPr="00B7479A" w:rsidRDefault="00B07985" w:rsidP="002807B8">
            <w:pPr>
              <w:tabs>
                <w:tab w:val="left" w:pos="3075"/>
              </w:tabs>
              <w:bidi w:val="0"/>
              <w:rPr>
                <w:rFonts w:eastAsia="Arial"/>
                <w:color w:val="000000" w:themeColor="text1"/>
                <w:sz w:val="18"/>
                <w:szCs w:val="18"/>
              </w:rPr>
            </w:pPr>
          </w:p>
        </w:tc>
        <w:tc>
          <w:tcPr>
            <w:tcW w:w="757" w:type="pct"/>
            <w:vMerge w:val="restart"/>
            <w:vAlign w:val="center"/>
            <w:hideMark/>
          </w:tcPr>
          <w:p w14:paraId="08A172B9" w14:textId="1266BA11" w:rsidR="00B07985" w:rsidRPr="00B7479A" w:rsidRDefault="00B07985" w:rsidP="000022C0">
            <w:pPr>
              <w:tabs>
                <w:tab w:val="left" w:pos="3075"/>
              </w:tabs>
              <w:bidi w:val="0"/>
              <w:jc w:val="center"/>
              <w:rPr>
                <w:rFonts w:eastAsia="Arial"/>
                <w:color w:val="000000" w:themeColor="text1"/>
                <w:sz w:val="18"/>
                <w:szCs w:val="18"/>
              </w:rPr>
            </w:pPr>
            <w:r w:rsidRPr="00B7479A">
              <w:rPr>
                <w:rFonts w:eastAsia="Arial"/>
                <w:color w:val="000000" w:themeColor="text1"/>
                <w:sz w:val="18"/>
                <w:szCs w:val="18"/>
              </w:rPr>
              <w:t>U</w:t>
            </w:r>
            <w:r w:rsidRPr="00B7479A">
              <w:rPr>
                <w:rFonts w:eastAsia="Arial"/>
                <w:color w:val="000000" w:themeColor="text1"/>
                <w:sz w:val="18"/>
                <w:szCs w:val="18"/>
                <w:vertAlign w:val="superscript"/>
              </w:rPr>
              <w:t>$</w:t>
            </w:r>
            <w:r w:rsidRPr="00B7479A">
              <w:rPr>
                <w:rFonts w:eastAsia="Arial"/>
                <w:color w:val="000000" w:themeColor="text1"/>
                <w:sz w:val="18"/>
                <w:szCs w:val="18"/>
              </w:rPr>
              <w:t>=664</w:t>
            </w:r>
          </w:p>
          <w:p w14:paraId="34BAC8E6" w14:textId="77777777" w:rsidR="00B07985" w:rsidRPr="00B7479A" w:rsidRDefault="00B07985" w:rsidP="000022C0">
            <w:pPr>
              <w:tabs>
                <w:tab w:val="left" w:pos="3075"/>
              </w:tabs>
              <w:bidi w:val="0"/>
              <w:jc w:val="center"/>
              <w:rPr>
                <w:rFonts w:eastAsia="Arial"/>
                <w:color w:val="000000" w:themeColor="text1"/>
                <w:sz w:val="18"/>
                <w:szCs w:val="18"/>
              </w:rPr>
            </w:pPr>
            <w:r w:rsidRPr="00B7479A">
              <w:rPr>
                <w:rFonts w:eastAsia="Arial"/>
                <w:color w:val="000000" w:themeColor="text1"/>
                <w:sz w:val="18"/>
                <w:szCs w:val="18"/>
              </w:rPr>
              <w:t>P= 0.004</w:t>
            </w:r>
          </w:p>
        </w:tc>
      </w:tr>
      <w:tr w:rsidR="00B07985" w:rsidRPr="00B7479A" w14:paraId="05D154B7" w14:textId="77777777" w:rsidTr="00D376D1">
        <w:trPr>
          <w:trHeight w:val="413"/>
        </w:trPr>
        <w:tc>
          <w:tcPr>
            <w:tcW w:w="1198" w:type="pct"/>
            <w:hideMark/>
          </w:tcPr>
          <w:p w14:paraId="01FB3366"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Median (25%-75%)</w:t>
            </w:r>
          </w:p>
        </w:tc>
        <w:tc>
          <w:tcPr>
            <w:tcW w:w="1199" w:type="pct"/>
            <w:hideMark/>
          </w:tcPr>
          <w:p w14:paraId="1CEF7FC9"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7 (6- 9)</w:t>
            </w:r>
          </w:p>
        </w:tc>
        <w:tc>
          <w:tcPr>
            <w:tcW w:w="1068" w:type="pct"/>
            <w:hideMark/>
          </w:tcPr>
          <w:p w14:paraId="2B06108C"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6 (3 -8.5)</w:t>
            </w:r>
          </w:p>
        </w:tc>
        <w:tc>
          <w:tcPr>
            <w:tcW w:w="778" w:type="pct"/>
            <w:hideMark/>
          </w:tcPr>
          <w:p w14:paraId="22B5A321"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6 (4- 9)</w:t>
            </w:r>
          </w:p>
        </w:tc>
        <w:tc>
          <w:tcPr>
            <w:tcW w:w="757" w:type="pct"/>
            <w:vMerge/>
            <w:vAlign w:val="center"/>
            <w:hideMark/>
          </w:tcPr>
          <w:p w14:paraId="2D3FDB6B" w14:textId="77777777" w:rsidR="00B07985" w:rsidRPr="00B7479A" w:rsidRDefault="00B07985" w:rsidP="002807B8">
            <w:pPr>
              <w:bidi w:val="0"/>
              <w:rPr>
                <w:rFonts w:eastAsia="Arial"/>
                <w:color w:val="000000" w:themeColor="text1"/>
                <w:sz w:val="18"/>
                <w:szCs w:val="18"/>
              </w:rPr>
            </w:pPr>
          </w:p>
        </w:tc>
      </w:tr>
      <w:tr w:rsidR="00B07985" w:rsidRPr="00B7479A" w14:paraId="74DA873E" w14:textId="77777777" w:rsidTr="00D376D1">
        <w:trPr>
          <w:trHeight w:val="233"/>
        </w:trPr>
        <w:tc>
          <w:tcPr>
            <w:tcW w:w="1198" w:type="pct"/>
            <w:hideMark/>
          </w:tcPr>
          <w:p w14:paraId="4AABB6D6"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Min - Max</w:t>
            </w:r>
          </w:p>
        </w:tc>
        <w:tc>
          <w:tcPr>
            <w:tcW w:w="1199" w:type="pct"/>
            <w:hideMark/>
          </w:tcPr>
          <w:p w14:paraId="38921F16"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3- 15</w:t>
            </w:r>
          </w:p>
        </w:tc>
        <w:tc>
          <w:tcPr>
            <w:tcW w:w="1068" w:type="pct"/>
            <w:hideMark/>
          </w:tcPr>
          <w:p w14:paraId="58BF65AF"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0 –21</w:t>
            </w:r>
          </w:p>
        </w:tc>
        <w:tc>
          <w:tcPr>
            <w:tcW w:w="778" w:type="pct"/>
            <w:hideMark/>
          </w:tcPr>
          <w:p w14:paraId="41ACCA7C"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0 - 21</w:t>
            </w:r>
          </w:p>
        </w:tc>
        <w:tc>
          <w:tcPr>
            <w:tcW w:w="757" w:type="pct"/>
            <w:vMerge/>
            <w:vAlign w:val="center"/>
            <w:hideMark/>
          </w:tcPr>
          <w:p w14:paraId="1CE0BDB5" w14:textId="77777777" w:rsidR="00B07985" w:rsidRPr="00B7479A" w:rsidRDefault="00B07985" w:rsidP="002807B8">
            <w:pPr>
              <w:bidi w:val="0"/>
              <w:rPr>
                <w:rFonts w:eastAsia="Arial"/>
                <w:color w:val="000000" w:themeColor="text1"/>
                <w:sz w:val="18"/>
                <w:szCs w:val="18"/>
              </w:rPr>
            </w:pPr>
          </w:p>
        </w:tc>
      </w:tr>
      <w:tr w:rsidR="00B07985" w:rsidRPr="00B7479A" w14:paraId="5AA0649D" w14:textId="77777777" w:rsidTr="00D376D1">
        <w:trPr>
          <w:trHeight w:val="233"/>
        </w:trPr>
        <w:tc>
          <w:tcPr>
            <w:tcW w:w="1198" w:type="pct"/>
            <w:tcBorders>
              <w:bottom w:val="single" w:sz="4" w:space="0" w:color="auto"/>
            </w:tcBorders>
            <w:hideMark/>
          </w:tcPr>
          <w:p w14:paraId="7E834217"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 xml:space="preserve">Test </w:t>
            </w:r>
          </w:p>
        </w:tc>
        <w:tc>
          <w:tcPr>
            <w:tcW w:w="1199" w:type="pct"/>
            <w:tcBorders>
              <w:bottom w:val="single" w:sz="4" w:space="0" w:color="auto"/>
            </w:tcBorders>
            <w:hideMark/>
          </w:tcPr>
          <w:p w14:paraId="0C8B7434"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Z</w:t>
            </w:r>
            <w:r w:rsidRPr="00B7479A">
              <w:rPr>
                <w:rFonts w:eastAsia="Arial"/>
                <w:color w:val="000000" w:themeColor="text1"/>
                <w:sz w:val="18"/>
                <w:szCs w:val="18"/>
                <w:vertAlign w:val="superscript"/>
              </w:rPr>
              <w:t>^</w:t>
            </w:r>
            <w:r w:rsidRPr="00B7479A">
              <w:rPr>
                <w:rFonts w:eastAsia="Arial"/>
                <w:color w:val="000000" w:themeColor="text1"/>
                <w:sz w:val="18"/>
                <w:szCs w:val="18"/>
              </w:rPr>
              <w:t>= -5.5</w:t>
            </w:r>
          </w:p>
          <w:p w14:paraId="5CF5AE81"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P&lt;0.001</w:t>
            </w:r>
          </w:p>
        </w:tc>
        <w:tc>
          <w:tcPr>
            <w:tcW w:w="1068" w:type="pct"/>
            <w:tcBorders>
              <w:bottom w:val="single" w:sz="4" w:space="0" w:color="auto"/>
            </w:tcBorders>
            <w:hideMark/>
          </w:tcPr>
          <w:p w14:paraId="58346CDE"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Z</w:t>
            </w:r>
            <w:r w:rsidRPr="00B7479A">
              <w:rPr>
                <w:rFonts w:eastAsia="Arial"/>
                <w:color w:val="000000" w:themeColor="text1"/>
                <w:sz w:val="18"/>
                <w:szCs w:val="18"/>
                <w:vertAlign w:val="superscript"/>
              </w:rPr>
              <w:t>^</w:t>
            </w:r>
            <w:r w:rsidRPr="00B7479A">
              <w:rPr>
                <w:rFonts w:eastAsia="Arial"/>
                <w:color w:val="000000" w:themeColor="text1"/>
                <w:sz w:val="18"/>
                <w:szCs w:val="18"/>
              </w:rPr>
              <w:t>= -5.7</w:t>
            </w:r>
          </w:p>
          <w:p w14:paraId="6E4170F7"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P&lt;0.001</w:t>
            </w:r>
          </w:p>
        </w:tc>
        <w:tc>
          <w:tcPr>
            <w:tcW w:w="778" w:type="pct"/>
            <w:tcBorders>
              <w:bottom w:val="single" w:sz="4" w:space="0" w:color="auto"/>
            </w:tcBorders>
            <w:hideMark/>
          </w:tcPr>
          <w:p w14:paraId="5F979848" w14:textId="77777777" w:rsidR="00B07985" w:rsidRPr="00B7479A" w:rsidRDefault="00B07985" w:rsidP="002807B8">
            <w:pPr>
              <w:tabs>
                <w:tab w:val="left" w:pos="3075"/>
              </w:tabs>
              <w:bidi w:val="0"/>
              <w:rPr>
                <w:rFonts w:eastAsia="Arial"/>
                <w:color w:val="000000" w:themeColor="text1"/>
                <w:sz w:val="18"/>
                <w:szCs w:val="18"/>
              </w:rPr>
            </w:pPr>
            <w:r w:rsidRPr="00B7479A">
              <w:rPr>
                <w:rFonts w:eastAsia="Arial"/>
                <w:color w:val="000000" w:themeColor="text1"/>
                <w:sz w:val="18"/>
                <w:szCs w:val="18"/>
              </w:rPr>
              <w:t>Z</w:t>
            </w:r>
            <w:r w:rsidRPr="00B7479A">
              <w:rPr>
                <w:rFonts w:eastAsia="Arial"/>
                <w:color w:val="000000" w:themeColor="text1"/>
                <w:sz w:val="18"/>
                <w:szCs w:val="18"/>
                <w:vertAlign w:val="superscript"/>
              </w:rPr>
              <w:t>^</w:t>
            </w:r>
            <w:r w:rsidRPr="00B7479A">
              <w:rPr>
                <w:rFonts w:eastAsia="Arial"/>
                <w:color w:val="000000" w:themeColor="text1"/>
                <w:sz w:val="18"/>
                <w:szCs w:val="18"/>
              </w:rPr>
              <w:t>= -7.9 P&lt;0.001</w:t>
            </w:r>
          </w:p>
        </w:tc>
        <w:tc>
          <w:tcPr>
            <w:tcW w:w="757" w:type="pct"/>
            <w:vMerge/>
            <w:tcBorders>
              <w:bottom w:val="single" w:sz="4" w:space="0" w:color="auto"/>
            </w:tcBorders>
            <w:vAlign w:val="center"/>
            <w:hideMark/>
          </w:tcPr>
          <w:p w14:paraId="55B9F95E" w14:textId="77777777" w:rsidR="00B07985" w:rsidRPr="00B7479A" w:rsidRDefault="00B07985" w:rsidP="000022C0">
            <w:pPr>
              <w:keepNext/>
              <w:bidi w:val="0"/>
              <w:rPr>
                <w:rFonts w:eastAsia="Arial"/>
                <w:color w:val="000000" w:themeColor="text1"/>
                <w:sz w:val="18"/>
                <w:szCs w:val="18"/>
              </w:rPr>
            </w:pPr>
          </w:p>
        </w:tc>
      </w:tr>
    </w:tbl>
    <w:p w14:paraId="4E833F17" w14:textId="77777777" w:rsidR="000022C0" w:rsidRPr="000022C0" w:rsidRDefault="000022C0" w:rsidP="000022C0">
      <w:pPr>
        <w:pStyle w:val="Heading1"/>
        <w:ind w:firstLine="720"/>
        <w:rPr>
          <w:b w:val="0"/>
          <w:bCs w:val="0"/>
          <w:sz w:val="18"/>
          <w:szCs w:val="18"/>
        </w:rPr>
      </w:pPr>
      <w:r w:rsidRPr="000022C0">
        <w:rPr>
          <w:b w:val="0"/>
          <w:bCs w:val="0"/>
          <w:sz w:val="18"/>
          <w:szCs w:val="18"/>
        </w:rPr>
        <w:t xml:space="preserve">*PERSON CHI SQUAR, </w:t>
      </w:r>
      <w:r w:rsidRPr="000022C0">
        <w:rPr>
          <w:b w:val="0"/>
          <w:bCs w:val="0"/>
          <w:sz w:val="18"/>
          <w:szCs w:val="18"/>
          <w:vertAlign w:val="superscript"/>
        </w:rPr>
        <w:t>#</w:t>
      </w:r>
      <w:r w:rsidRPr="000022C0">
        <w:rPr>
          <w:b w:val="0"/>
          <w:bCs w:val="0"/>
          <w:sz w:val="18"/>
          <w:szCs w:val="18"/>
        </w:rPr>
        <w:t xml:space="preserve"> FRIEDMAN TEST, </w:t>
      </w:r>
      <w:r w:rsidRPr="000022C0">
        <w:rPr>
          <w:b w:val="0"/>
          <w:bCs w:val="0"/>
          <w:sz w:val="18"/>
          <w:szCs w:val="18"/>
          <w:vertAlign w:val="superscript"/>
        </w:rPr>
        <w:t>$</w:t>
      </w:r>
      <w:r w:rsidRPr="000022C0">
        <w:rPr>
          <w:b w:val="0"/>
          <w:bCs w:val="0"/>
          <w:sz w:val="18"/>
          <w:szCs w:val="18"/>
        </w:rPr>
        <w:t xml:space="preserve"> Mann-Whitney, </w:t>
      </w:r>
      <w:r w:rsidRPr="000022C0">
        <w:rPr>
          <w:b w:val="0"/>
          <w:bCs w:val="0"/>
          <w:sz w:val="18"/>
          <w:szCs w:val="18"/>
          <w:vertAlign w:val="superscript"/>
        </w:rPr>
        <w:t xml:space="preserve">^ </w:t>
      </w:r>
      <w:r w:rsidRPr="000022C0">
        <w:rPr>
          <w:b w:val="0"/>
          <w:bCs w:val="0"/>
          <w:sz w:val="18"/>
          <w:szCs w:val="18"/>
        </w:rPr>
        <w:t>Wilcoxon Signed Ranks Test</w:t>
      </w:r>
    </w:p>
    <w:p w14:paraId="7CDBCF03" w14:textId="6FEB239D" w:rsidR="003D2DCE" w:rsidRDefault="00442C38" w:rsidP="00D376D1">
      <w:pPr>
        <w:pStyle w:val="Heading1"/>
        <w:ind w:firstLine="720"/>
        <w:jc w:val="left"/>
        <w:rPr>
          <w:rFonts w:eastAsia="SimSun"/>
          <w:color w:val="auto"/>
          <w:sz w:val="24"/>
          <w:szCs w:val="24"/>
          <w:lang w:eastAsia="zh-CN"/>
        </w:rPr>
      </w:pPr>
      <w:r w:rsidRPr="00E7572F">
        <w:rPr>
          <w:rFonts w:eastAsia="SimSun"/>
          <w:b w:val="0"/>
          <w:bCs w:val="0"/>
          <w:color w:val="auto"/>
          <w:sz w:val="24"/>
          <w:szCs w:val="24"/>
          <w:lang w:eastAsia="zh-CN"/>
        </w:rPr>
        <w:t xml:space="preserve">Pathology findings, along with CDAI score, ESR, CRP, and fecal calprotectin (FCP), demonstrated significant improvement following treatment in both study groups </w:t>
      </w:r>
      <w:r w:rsidR="00A0329D" w:rsidRPr="00E7572F">
        <w:rPr>
          <w:rFonts w:eastAsia="SimSun"/>
          <w:color w:val="auto"/>
          <w:sz w:val="24"/>
          <w:szCs w:val="24"/>
          <w:lang w:eastAsia="zh-CN"/>
        </w:rPr>
        <w:t>Tab 4</w:t>
      </w:r>
      <w:r w:rsidR="00EF7B83">
        <w:rPr>
          <w:rFonts w:eastAsia="SimSun"/>
          <w:color w:val="auto"/>
          <w:sz w:val="24"/>
          <w:szCs w:val="24"/>
          <w:lang w:eastAsia="zh-CN"/>
        </w:rPr>
        <w:t>.</w:t>
      </w:r>
    </w:p>
    <w:p w14:paraId="78B4124A" w14:textId="5995D6A9" w:rsidR="00D376D1" w:rsidRPr="00D376D1" w:rsidRDefault="00D376D1" w:rsidP="00D376D1">
      <w:pPr>
        <w:pStyle w:val="Caption"/>
        <w:rPr>
          <w:lang w:val="en-US"/>
        </w:rPr>
      </w:pPr>
      <w:r w:rsidRPr="00D376D1">
        <w:rPr>
          <w:b w:val="0"/>
          <w:bCs w:val="0"/>
          <w:sz w:val="18"/>
          <w:szCs w:val="18"/>
        </w:rPr>
        <w:t xml:space="preserve">Tab </w:t>
      </w:r>
      <w:r w:rsidRPr="00D376D1">
        <w:rPr>
          <w:b w:val="0"/>
          <w:bCs w:val="0"/>
          <w:sz w:val="18"/>
          <w:szCs w:val="18"/>
        </w:rPr>
        <w:fldChar w:fldCharType="begin"/>
      </w:r>
      <w:r w:rsidRPr="00D376D1">
        <w:rPr>
          <w:b w:val="0"/>
          <w:bCs w:val="0"/>
          <w:sz w:val="18"/>
          <w:szCs w:val="18"/>
        </w:rPr>
        <w:instrText xml:space="preserve"> SEQ Table \* ARABIC </w:instrText>
      </w:r>
      <w:r w:rsidRPr="00D376D1">
        <w:rPr>
          <w:b w:val="0"/>
          <w:bCs w:val="0"/>
          <w:sz w:val="18"/>
          <w:szCs w:val="18"/>
        </w:rPr>
        <w:fldChar w:fldCharType="separate"/>
      </w:r>
      <w:r w:rsidR="00042FA0">
        <w:rPr>
          <w:b w:val="0"/>
          <w:bCs w:val="0"/>
          <w:noProof/>
          <w:sz w:val="18"/>
          <w:szCs w:val="18"/>
        </w:rPr>
        <w:t>4</w:t>
      </w:r>
      <w:r w:rsidRPr="00D376D1">
        <w:rPr>
          <w:b w:val="0"/>
          <w:bCs w:val="0"/>
          <w:sz w:val="18"/>
          <w:szCs w:val="18"/>
        </w:rPr>
        <w:fldChar w:fldCharType="end"/>
      </w:r>
      <w:r w:rsidRPr="00D376D1">
        <w:rPr>
          <w:b w:val="0"/>
          <w:bCs w:val="0"/>
          <w:sz w:val="18"/>
          <w:szCs w:val="18"/>
        </w:rPr>
        <w:t xml:space="preserve">. </w:t>
      </w:r>
      <w:r w:rsidRPr="00D376D1">
        <w:rPr>
          <w:b w:val="0"/>
          <w:bCs w:val="0"/>
          <w:sz w:val="18"/>
          <w:szCs w:val="18"/>
          <w:lang w:val="en-US"/>
        </w:rPr>
        <w:t>Comparison regarding pathology, CDAI score, and laboratory tests (ESR, CRP, and FCP) before and after treatment among the study groups.</w:t>
      </w:r>
    </w:p>
    <w:tbl>
      <w:tblPr>
        <w:tblW w:w="5000" w:type="pct"/>
        <w:tblLook w:val="04A0" w:firstRow="1" w:lastRow="0" w:firstColumn="1" w:lastColumn="0" w:noHBand="0" w:noVBand="1"/>
        <w:tblCaption w:val="Tab 4. Comparison regarding pathology, CDAI score, and laboratory tests (ESR, CRP, and FCP) before and after treatment among the study groups."/>
        <w:tblDescription w:val="Data presented as n (%). # Chi-square test. §Fisher’s Exact test. ¤Marginal homogeneity test. *Significant. $ Mann-Whitney. ^ Wilcoxon Signed Ranks Test.&#10;&#10;"/>
      </w:tblPr>
      <w:tblGrid>
        <w:gridCol w:w="1202"/>
        <w:gridCol w:w="942"/>
        <w:gridCol w:w="1318"/>
        <w:gridCol w:w="2120"/>
        <w:gridCol w:w="2452"/>
        <w:gridCol w:w="993"/>
      </w:tblGrid>
      <w:tr w:rsidR="00D376D1" w:rsidRPr="00FE68F6" w14:paraId="1AD12935" w14:textId="77777777" w:rsidTr="00D376D1">
        <w:tc>
          <w:tcPr>
            <w:tcW w:w="666" w:type="pct"/>
            <w:tcBorders>
              <w:top w:val="single" w:sz="4" w:space="0" w:color="auto"/>
              <w:bottom w:val="single" w:sz="4" w:space="0" w:color="auto"/>
            </w:tcBorders>
          </w:tcPr>
          <w:p w14:paraId="1A1A58B9" w14:textId="77777777" w:rsidR="00D376D1" w:rsidRPr="00FE68F6" w:rsidRDefault="00D376D1" w:rsidP="002807B8">
            <w:pPr>
              <w:bidi w:val="0"/>
              <w:spacing w:after="120"/>
              <w:rPr>
                <w:color w:val="000000" w:themeColor="text1"/>
                <w:sz w:val="18"/>
                <w:szCs w:val="18"/>
                <w:lang w:bidi="ar-EG"/>
              </w:rPr>
            </w:pPr>
          </w:p>
        </w:tc>
        <w:tc>
          <w:tcPr>
            <w:tcW w:w="1252" w:type="pct"/>
            <w:gridSpan w:val="2"/>
            <w:tcBorders>
              <w:top w:val="single" w:sz="4" w:space="0" w:color="auto"/>
              <w:bottom w:val="single" w:sz="4" w:space="0" w:color="auto"/>
            </w:tcBorders>
            <w:hideMark/>
          </w:tcPr>
          <w:p w14:paraId="7FCA6488" w14:textId="77777777" w:rsidR="00D376D1" w:rsidRPr="00FE68F6" w:rsidRDefault="00D376D1" w:rsidP="002807B8">
            <w:pPr>
              <w:tabs>
                <w:tab w:val="left" w:pos="1485"/>
              </w:tabs>
              <w:bidi w:val="0"/>
              <w:spacing w:after="160" w:line="256" w:lineRule="auto"/>
              <w:rPr>
                <w:color w:val="000000" w:themeColor="text1"/>
                <w:sz w:val="18"/>
                <w:szCs w:val="18"/>
                <w:lang w:bidi="ar-EG"/>
              </w:rPr>
            </w:pPr>
            <w:r w:rsidRPr="00FE68F6">
              <w:rPr>
                <w:color w:val="000000" w:themeColor="text1"/>
                <w:sz w:val="18"/>
                <w:szCs w:val="18"/>
                <w:lang w:bidi="ar-EG"/>
              </w:rPr>
              <w:t>Time</w:t>
            </w:r>
          </w:p>
        </w:tc>
        <w:tc>
          <w:tcPr>
            <w:tcW w:w="1174" w:type="pct"/>
            <w:tcBorders>
              <w:top w:val="single" w:sz="4" w:space="0" w:color="auto"/>
              <w:bottom w:val="single" w:sz="4" w:space="0" w:color="auto"/>
            </w:tcBorders>
            <w:noWrap/>
            <w:vAlign w:val="center"/>
            <w:hideMark/>
          </w:tcPr>
          <w:p w14:paraId="127F9F82"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Fistula group (Total=45)</w:t>
            </w:r>
          </w:p>
        </w:tc>
        <w:tc>
          <w:tcPr>
            <w:tcW w:w="1358" w:type="pct"/>
            <w:tcBorders>
              <w:top w:val="single" w:sz="4" w:space="0" w:color="auto"/>
              <w:bottom w:val="single" w:sz="4" w:space="0" w:color="auto"/>
            </w:tcBorders>
            <w:noWrap/>
            <w:vAlign w:val="center"/>
            <w:hideMark/>
          </w:tcPr>
          <w:p w14:paraId="4516F97F"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Non-fistula group (Total=45)</w:t>
            </w:r>
          </w:p>
        </w:tc>
        <w:tc>
          <w:tcPr>
            <w:tcW w:w="550" w:type="pct"/>
            <w:tcBorders>
              <w:top w:val="single" w:sz="4" w:space="0" w:color="auto"/>
            </w:tcBorders>
            <w:noWrap/>
            <w:vAlign w:val="center"/>
            <w:hideMark/>
          </w:tcPr>
          <w:p w14:paraId="1D6E4A9D"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p-value</w:t>
            </w:r>
          </w:p>
          <w:p w14:paraId="2B313BD5"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(groups)</w:t>
            </w:r>
          </w:p>
        </w:tc>
      </w:tr>
      <w:tr w:rsidR="00D376D1" w:rsidRPr="00FE68F6" w14:paraId="7E5F624E" w14:textId="77777777" w:rsidTr="00BE4619">
        <w:tc>
          <w:tcPr>
            <w:tcW w:w="666" w:type="pct"/>
            <w:vMerge w:val="restart"/>
            <w:tcBorders>
              <w:top w:val="single" w:sz="4" w:space="0" w:color="auto"/>
            </w:tcBorders>
            <w:vAlign w:val="center"/>
          </w:tcPr>
          <w:p w14:paraId="45C6CD2D" w14:textId="2C1F3C5F" w:rsidR="00D376D1" w:rsidRPr="00FE68F6" w:rsidRDefault="00D376D1" w:rsidP="00D376D1">
            <w:pPr>
              <w:bidi w:val="0"/>
              <w:spacing w:after="120"/>
              <w:rPr>
                <w:color w:val="000000" w:themeColor="text1"/>
                <w:sz w:val="18"/>
                <w:szCs w:val="18"/>
                <w:lang w:bidi="ar-EG"/>
              </w:rPr>
            </w:pPr>
            <w:r w:rsidRPr="00FE68F6">
              <w:rPr>
                <w:color w:val="000000" w:themeColor="text1"/>
                <w:sz w:val="18"/>
                <w:szCs w:val="18"/>
                <w:lang w:bidi="ar-EG"/>
              </w:rPr>
              <w:t>Pathology findings</w:t>
            </w:r>
          </w:p>
        </w:tc>
        <w:tc>
          <w:tcPr>
            <w:tcW w:w="522" w:type="pct"/>
            <w:vMerge w:val="restart"/>
            <w:tcBorders>
              <w:top w:val="single" w:sz="4" w:space="0" w:color="auto"/>
            </w:tcBorders>
            <w:noWrap/>
            <w:vAlign w:val="center"/>
            <w:hideMark/>
          </w:tcPr>
          <w:p w14:paraId="76BA0199"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Before</w:t>
            </w:r>
          </w:p>
        </w:tc>
        <w:tc>
          <w:tcPr>
            <w:tcW w:w="730" w:type="pct"/>
            <w:tcBorders>
              <w:top w:val="single" w:sz="4" w:space="0" w:color="auto"/>
            </w:tcBorders>
            <w:noWrap/>
            <w:vAlign w:val="center"/>
            <w:hideMark/>
          </w:tcPr>
          <w:p w14:paraId="58DC4B02"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Mild</w:t>
            </w:r>
          </w:p>
        </w:tc>
        <w:tc>
          <w:tcPr>
            <w:tcW w:w="1174" w:type="pct"/>
            <w:tcBorders>
              <w:top w:val="single" w:sz="4" w:space="0" w:color="auto"/>
            </w:tcBorders>
            <w:noWrap/>
            <w:vAlign w:val="center"/>
            <w:hideMark/>
          </w:tcPr>
          <w:p w14:paraId="16367275"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7 (15.6%)</w:t>
            </w:r>
          </w:p>
        </w:tc>
        <w:tc>
          <w:tcPr>
            <w:tcW w:w="1358" w:type="pct"/>
            <w:tcBorders>
              <w:top w:val="single" w:sz="4" w:space="0" w:color="auto"/>
            </w:tcBorders>
            <w:noWrap/>
            <w:vAlign w:val="center"/>
            <w:hideMark/>
          </w:tcPr>
          <w:p w14:paraId="41D1A71B"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14 (31.1%)</w:t>
            </w:r>
          </w:p>
        </w:tc>
        <w:tc>
          <w:tcPr>
            <w:tcW w:w="550" w:type="pct"/>
            <w:vMerge w:val="restart"/>
            <w:noWrap/>
            <w:vAlign w:val="center"/>
            <w:hideMark/>
          </w:tcPr>
          <w:p w14:paraId="23047DEB"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#0.066</w:t>
            </w:r>
          </w:p>
        </w:tc>
      </w:tr>
      <w:tr w:rsidR="00D376D1" w:rsidRPr="00FE68F6" w14:paraId="2F59A646" w14:textId="77777777" w:rsidTr="00D376D1">
        <w:tc>
          <w:tcPr>
            <w:tcW w:w="666" w:type="pct"/>
            <w:vMerge/>
            <w:vAlign w:val="center"/>
            <w:hideMark/>
          </w:tcPr>
          <w:p w14:paraId="2C4B448C"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5E916C39"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0BF1BDD9"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Moderate</w:t>
            </w:r>
          </w:p>
        </w:tc>
        <w:tc>
          <w:tcPr>
            <w:tcW w:w="1174" w:type="pct"/>
            <w:noWrap/>
            <w:vAlign w:val="center"/>
            <w:hideMark/>
          </w:tcPr>
          <w:p w14:paraId="540CD9F7"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20 (44.4%)</w:t>
            </w:r>
          </w:p>
        </w:tc>
        <w:tc>
          <w:tcPr>
            <w:tcW w:w="1358" w:type="pct"/>
            <w:noWrap/>
            <w:vAlign w:val="center"/>
            <w:hideMark/>
          </w:tcPr>
          <w:p w14:paraId="0C12B20C"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22 (48.9%)</w:t>
            </w:r>
          </w:p>
        </w:tc>
        <w:tc>
          <w:tcPr>
            <w:tcW w:w="550" w:type="pct"/>
            <w:vMerge/>
            <w:vAlign w:val="center"/>
            <w:hideMark/>
          </w:tcPr>
          <w:p w14:paraId="44453D9E" w14:textId="77777777" w:rsidR="00D376D1" w:rsidRPr="00FE68F6" w:rsidRDefault="00D376D1" w:rsidP="002807B8">
            <w:pPr>
              <w:bidi w:val="0"/>
              <w:rPr>
                <w:color w:val="000000" w:themeColor="text1"/>
                <w:sz w:val="18"/>
                <w:szCs w:val="18"/>
                <w:lang w:bidi="ar-EG"/>
              </w:rPr>
            </w:pPr>
          </w:p>
        </w:tc>
      </w:tr>
      <w:tr w:rsidR="00D376D1" w:rsidRPr="00FE68F6" w14:paraId="4E099EA3" w14:textId="77777777" w:rsidTr="00D376D1">
        <w:tc>
          <w:tcPr>
            <w:tcW w:w="666" w:type="pct"/>
            <w:vMerge/>
            <w:vAlign w:val="center"/>
            <w:hideMark/>
          </w:tcPr>
          <w:p w14:paraId="1D4C9709"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1E4AF250"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3C3EA9D3"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Severe</w:t>
            </w:r>
          </w:p>
        </w:tc>
        <w:tc>
          <w:tcPr>
            <w:tcW w:w="1174" w:type="pct"/>
            <w:noWrap/>
            <w:vAlign w:val="center"/>
            <w:hideMark/>
          </w:tcPr>
          <w:p w14:paraId="4B05D76C"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18 (40.0%)</w:t>
            </w:r>
          </w:p>
        </w:tc>
        <w:tc>
          <w:tcPr>
            <w:tcW w:w="1358" w:type="pct"/>
            <w:noWrap/>
            <w:vAlign w:val="center"/>
            <w:hideMark/>
          </w:tcPr>
          <w:p w14:paraId="3A2626EC"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9 (20.0%)</w:t>
            </w:r>
          </w:p>
        </w:tc>
        <w:tc>
          <w:tcPr>
            <w:tcW w:w="550" w:type="pct"/>
            <w:vMerge/>
            <w:vAlign w:val="center"/>
            <w:hideMark/>
          </w:tcPr>
          <w:p w14:paraId="64AFF9A8" w14:textId="77777777" w:rsidR="00D376D1" w:rsidRPr="00FE68F6" w:rsidRDefault="00D376D1" w:rsidP="002807B8">
            <w:pPr>
              <w:bidi w:val="0"/>
              <w:rPr>
                <w:color w:val="000000" w:themeColor="text1"/>
                <w:sz w:val="18"/>
                <w:szCs w:val="18"/>
                <w:lang w:bidi="ar-EG"/>
              </w:rPr>
            </w:pPr>
          </w:p>
        </w:tc>
      </w:tr>
      <w:tr w:rsidR="00D376D1" w:rsidRPr="00FE68F6" w14:paraId="60E053C2" w14:textId="77777777" w:rsidTr="00D376D1">
        <w:tc>
          <w:tcPr>
            <w:tcW w:w="666" w:type="pct"/>
            <w:vMerge/>
            <w:vAlign w:val="center"/>
            <w:hideMark/>
          </w:tcPr>
          <w:p w14:paraId="6217AFAD" w14:textId="77777777" w:rsidR="00D376D1" w:rsidRPr="00FE68F6" w:rsidRDefault="00D376D1" w:rsidP="002807B8">
            <w:pPr>
              <w:bidi w:val="0"/>
              <w:rPr>
                <w:color w:val="000000" w:themeColor="text1"/>
                <w:sz w:val="18"/>
                <w:szCs w:val="18"/>
                <w:lang w:bidi="ar-EG"/>
              </w:rPr>
            </w:pPr>
          </w:p>
        </w:tc>
        <w:tc>
          <w:tcPr>
            <w:tcW w:w="522" w:type="pct"/>
            <w:vMerge w:val="restart"/>
            <w:noWrap/>
            <w:vAlign w:val="center"/>
            <w:hideMark/>
          </w:tcPr>
          <w:p w14:paraId="41BB5F3B"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After</w:t>
            </w:r>
          </w:p>
        </w:tc>
        <w:tc>
          <w:tcPr>
            <w:tcW w:w="730" w:type="pct"/>
            <w:noWrap/>
            <w:vAlign w:val="center"/>
            <w:hideMark/>
          </w:tcPr>
          <w:p w14:paraId="4C413D0A"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Normal</w:t>
            </w:r>
          </w:p>
        </w:tc>
        <w:tc>
          <w:tcPr>
            <w:tcW w:w="1174" w:type="pct"/>
            <w:noWrap/>
            <w:vAlign w:val="center"/>
            <w:hideMark/>
          </w:tcPr>
          <w:p w14:paraId="7DCF83F8"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2 (4.4%)</w:t>
            </w:r>
          </w:p>
        </w:tc>
        <w:tc>
          <w:tcPr>
            <w:tcW w:w="1358" w:type="pct"/>
            <w:noWrap/>
            <w:vAlign w:val="center"/>
            <w:hideMark/>
          </w:tcPr>
          <w:p w14:paraId="1D06AB0B"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7 (15.6%)</w:t>
            </w:r>
          </w:p>
        </w:tc>
        <w:tc>
          <w:tcPr>
            <w:tcW w:w="550" w:type="pct"/>
            <w:vMerge w:val="restart"/>
            <w:noWrap/>
            <w:vAlign w:val="center"/>
            <w:hideMark/>
          </w:tcPr>
          <w:p w14:paraId="23DC98D8"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§0.045*</w:t>
            </w:r>
          </w:p>
        </w:tc>
      </w:tr>
      <w:tr w:rsidR="00D376D1" w:rsidRPr="00FE68F6" w14:paraId="03BA3CF8" w14:textId="77777777" w:rsidTr="00D376D1">
        <w:tc>
          <w:tcPr>
            <w:tcW w:w="666" w:type="pct"/>
            <w:vMerge/>
            <w:vAlign w:val="center"/>
            <w:hideMark/>
          </w:tcPr>
          <w:p w14:paraId="18FA29A6"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501C758F"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6ED6C7E3"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Mild</w:t>
            </w:r>
          </w:p>
        </w:tc>
        <w:tc>
          <w:tcPr>
            <w:tcW w:w="1174" w:type="pct"/>
            <w:noWrap/>
            <w:vAlign w:val="center"/>
            <w:hideMark/>
          </w:tcPr>
          <w:p w14:paraId="40BF409B"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27 (60.0%)</w:t>
            </w:r>
          </w:p>
        </w:tc>
        <w:tc>
          <w:tcPr>
            <w:tcW w:w="1358" w:type="pct"/>
            <w:noWrap/>
            <w:vAlign w:val="center"/>
            <w:hideMark/>
          </w:tcPr>
          <w:p w14:paraId="041E5EF1"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31 (68.9%)</w:t>
            </w:r>
          </w:p>
        </w:tc>
        <w:tc>
          <w:tcPr>
            <w:tcW w:w="550" w:type="pct"/>
            <w:vMerge/>
            <w:vAlign w:val="center"/>
            <w:hideMark/>
          </w:tcPr>
          <w:p w14:paraId="1C2CF4DB" w14:textId="77777777" w:rsidR="00D376D1" w:rsidRPr="00FE68F6" w:rsidRDefault="00D376D1" w:rsidP="002807B8">
            <w:pPr>
              <w:bidi w:val="0"/>
              <w:rPr>
                <w:color w:val="000000" w:themeColor="text1"/>
                <w:sz w:val="18"/>
                <w:szCs w:val="18"/>
                <w:lang w:bidi="ar-EG"/>
              </w:rPr>
            </w:pPr>
          </w:p>
        </w:tc>
      </w:tr>
      <w:tr w:rsidR="00D376D1" w:rsidRPr="00FE68F6" w14:paraId="0EA8FFC5" w14:textId="77777777" w:rsidTr="00D376D1">
        <w:tc>
          <w:tcPr>
            <w:tcW w:w="666" w:type="pct"/>
            <w:vMerge/>
            <w:vAlign w:val="center"/>
            <w:hideMark/>
          </w:tcPr>
          <w:p w14:paraId="1AC1AD8B"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132B70DC"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049566B7"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Moderate</w:t>
            </w:r>
          </w:p>
        </w:tc>
        <w:tc>
          <w:tcPr>
            <w:tcW w:w="1174" w:type="pct"/>
            <w:noWrap/>
            <w:vAlign w:val="center"/>
            <w:hideMark/>
          </w:tcPr>
          <w:p w14:paraId="72923632"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16 (35.6%)</w:t>
            </w:r>
          </w:p>
        </w:tc>
        <w:tc>
          <w:tcPr>
            <w:tcW w:w="1358" w:type="pct"/>
            <w:noWrap/>
            <w:vAlign w:val="center"/>
            <w:hideMark/>
          </w:tcPr>
          <w:p w14:paraId="6E361373"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7 (15.6%)</w:t>
            </w:r>
          </w:p>
        </w:tc>
        <w:tc>
          <w:tcPr>
            <w:tcW w:w="550" w:type="pct"/>
            <w:vMerge/>
            <w:vAlign w:val="center"/>
            <w:hideMark/>
          </w:tcPr>
          <w:p w14:paraId="2B950336" w14:textId="77777777" w:rsidR="00D376D1" w:rsidRPr="00FE68F6" w:rsidRDefault="00D376D1" w:rsidP="002807B8">
            <w:pPr>
              <w:bidi w:val="0"/>
              <w:rPr>
                <w:color w:val="000000" w:themeColor="text1"/>
                <w:sz w:val="18"/>
                <w:szCs w:val="18"/>
                <w:lang w:bidi="ar-EG"/>
              </w:rPr>
            </w:pPr>
          </w:p>
        </w:tc>
      </w:tr>
      <w:tr w:rsidR="00D376D1" w:rsidRPr="00FE68F6" w14:paraId="4C95D9C1" w14:textId="77777777" w:rsidTr="00D376D1">
        <w:tc>
          <w:tcPr>
            <w:tcW w:w="666" w:type="pct"/>
            <w:vMerge/>
            <w:vAlign w:val="center"/>
            <w:hideMark/>
          </w:tcPr>
          <w:p w14:paraId="0468D12E" w14:textId="77777777" w:rsidR="00D376D1" w:rsidRPr="00FE68F6" w:rsidRDefault="00D376D1" w:rsidP="002807B8">
            <w:pPr>
              <w:bidi w:val="0"/>
              <w:rPr>
                <w:color w:val="000000" w:themeColor="text1"/>
                <w:sz w:val="18"/>
                <w:szCs w:val="18"/>
                <w:lang w:bidi="ar-EG"/>
              </w:rPr>
            </w:pPr>
          </w:p>
        </w:tc>
        <w:tc>
          <w:tcPr>
            <w:tcW w:w="1252" w:type="pct"/>
            <w:gridSpan w:val="2"/>
            <w:noWrap/>
            <w:vAlign w:val="center"/>
            <w:hideMark/>
          </w:tcPr>
          <w:p w14:paraId="442D966C"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¤p-value (times)</w:t>
            </w:r>
          </w:p>
        </w:tc>
        <w:tc>
          <w:tcPr>
            <w:tcW w:w="1174" w:type="pct"/>
            <w:noWrap/>
            <w:vAlign w:val="center"/>
            <w:hideMark/>
          </w:tcPr>
          <w:p w14:paraId="23F0765E"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&lt;0.001*</w:t>
            </w:r>
          </w:p>
        </w:tc>
        <w:tc>
          <w:tcPr>
            <w:tcW w:w="1358" w:type="pct"/>
            <w:noWrap/>
            <w:vAlign w:val="center"/>
            <w:hideMark/>
          </w:tcPr>
          <w:p w14:paraId="5AF9B26A"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&lt;0.001*</w:t>
            </w:r>
          </w:p>
        </w:tc>
        <w:tc>
          <w:tcPr>
            <w:tcW w:w="550" w:type="pct"/>
            <w:noWrap/>
            <w:vAlign w:val="center"/>
          </w:tcPr>
          <w:p w14:paraId="383E642D" w14:textId="77777777" w:rsidR="00D376D1" w:rsidRPr="00FE68F6" w:rsidRDefault="00D376D1" w:rsidP="002807B8">
            <w:pPr>
              <w:bidi w:val="0"/>
              <w:spacing w:after="120"/>
              <w:rPr>
                <w:color w:val="000000" w:themeColor="text1"/>
                <w:sz w:val="18"/>
                <w:szCs w:val="18"/>
                <w:lang w:bidi="ar-EG"/>
              </w:rPr>
            </w:pPr>
          </w:p>
        </w:tc>
      </w:tr>
      <w:tr w:rsidR="00D376D1" w:rsidRPr="00FE68F6" w14:paraId="0D0F3243" w14:textId="77777777" w:rsidTr="00D376D1">
        <w:tc>
          <w:tcPr>
            <w:tcW w:w="666" w:type="pct"/>
            <w:vMerge w:val="restart"/>
            <w:vAlign w:val="center"/>
            <w:hideMark/>
          </w:tcPr>
          <w:p w14:paraId="2BCF9EED" w14:textId="77777777" w:rsidR="00D376D1" w:rsidRPr="00FE68F6" w:rsidRDefault="00D376D1" w:rsidP="002807B8">
            <w:pPr>
              <w:bidi w:val="0"/>
              <w:spacing w:after="120"/>
              <w:rPr>
                <w:rFonts w:ascii="Calibri" w:eastAsia="Calibri" w:hAnsi="Calibri" w:cs="Arial"/>
                <w:color w:val="000000" w:themeColor="text1"/>
                <w:sz w:val="18"/>
                <w:szCs w:val="18"/>
                <w:lang w:bidi="ar-EG"/>
              </w:rPr>
            </w:pPr>
            <w:r w:rsidRPr="00FE68F6">
              <w:rPr>
                <w:color w:val="000000" w:themeColor="text1"/>
                <w:sz w:val="18"/>
                <w:szCs w:val="18"/>
                <w:lang w:bidi="ar-EG"/>
              </w:rPr>
              <w:t>CDAI score</w:t>
            </w:r>
          </w:p>
        </w:tc>
        <w:tc>
          <w:tcPr>
            <w:tcW w:w="522" w:type="pct"/>
            <w:vMerge w:val="restart"/>
            <w:noWrap/>
            <w:vAlign w:val="center"/>
            <w:hideMark/>
          </w:tcPr>
          <w:p w14:paraId="5710AD75"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Before</w:t>
            </w:r>
          </w:p>
        </w:tc>
        <w:tc>
          <w:tcPr>
            <w:tcW w:w="730" w:type="pct"/>
            <w:vAlign w:val="center"/>
            <w:hideMark/>
          </w:tcPr>
          <w:p w14:paraId="35DB46A8" w14:textId="77777777" w:rsidR="00D376D1" w:rsidRPr="00FE68F6" w:rsidRDefault="00D376D1" w:rsidP="002807B8">
            <w:pPr>
              <w:bidi w:val="0"/>
              <w:spacing w:after="120"/>
              <w:rPr>
                <w:color w:val="000000" w:themeColor="text1"/>
                <w:sz w:val="18"/>
                <w:szCs w:val="18"/>
                <w:lang w:bidi="ar-EG"/>
              </w:rPr>
            </w:pPr>
            <w:proofErr w:type="spellStart"/>
            <w:r w:rsidRPr="00FE68F6">
              <w:rPr>
                <w:color w:val="000000" w:themeColor="text1"/>
                <w:sz w:val="18"/>
                <w:szCs w:val="18"/>
                <w:lang w:bidi="ar-EG"/>
              </w:rPr>
              <w:t>Mean±SD</w:t>
            </w:r>
            <w:proofErr w:type="spellEnd"/>
            <w:r w:rsidRPr="00FE68F6">
              <w:rPr>
                <w:color w:val="000000" w:themeColor="text1"/>
                <w:sz w:val="18"/>
                <w:szCs w:val="18"/>
                <w:lang w:bidi="ar-EG"/>
              </w:rPr>
              <w:t xml:space="preserve"> </w:t>
            </w:r>
          </w:p>
        </w:tc>
        <w:tc>
          <w:tcPr>
            <w:tcW w:w="1174" w:type="pct"/>
            <w:noWrap/>
            <w:vAlign w:val="center"/>
            <w:hideMark/>
          </w:tcPr>
          <w:p w14:paraId="38327D1D"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349.1±69.7</w:t>
            </w:r>
          </w:p>
        </w:tc>
        <w:tc>
          <w:tcPr>
            <w:tcW w:w="1358" w:type="pct"/>
            <w:noWrap/>
            <w:vAlign w:val="center"/>
            <w:hideMark/>
          </w:tcPr>
          <w:p w14:paraId="03F69276"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285.1±109.2</w:t>
            </w:r>
          </w:p>
        </w:tc>
        <w:tc>
          <w:tcPr>
            <w:tcW w:w="550" w:type="pct"/>
            <w:vMerge w:val="restart"/>
            <w:noWrap/>
            <w:vAlign w:val="center"/>
            <w:hideMark/>
          </w:tcPr>
          <w:p w14:paraId="255D72F0" w14:textId="77777777" w:rsidR="00D376D1" w:rsidRPr="00FE68F6" w:rsidRDefault="00D376D1" w:rsidP="002807B8">
            <w:pPr>
              <w:bidi w:val="0"/>
              <w:spacing w:before="60" w:after="60" w:line="256" w:lineRule="auto"/>
              <w:rPr>
                <w:rFonts w:ascii="Calibri" w:eastAsia="Calibri" w:hAnsi="Calibri" w:cs="Arial"/>
                <w:color w:val="000000" w:themeColor="text1"/>
                <w:sz w:val="18"/>
                <w:szCs w:val="18"/>
                <w:lang w:bidi="ar-EG"/>
              </w:rPr>
            </w:pPr>
            <w:r w:rsidRPr="00FE68F6">
              <w:rPr>
                <w:rFonts w:ascii="Calibri" w:eastAsia="Calibri" w:hAnsi="Calibri" w:cs="Arial"/>
                <w:color w:val="000000" w:themeColor="text1"/>
                <w:sz w:val="18"/>
                <w:szCs w:val="18"/>
                <w:lang w:bidi="ar-EG"/>
              </w:rPr>
              <w:t>0.001*</w:t>
            </w:r>
          </w:p>
        </w:tc>
      </w:tr>
      <w:tr w:rsidR="00D376D1" w:rsidRPr="00FE68F6" w14:paraId="504CD9B4" w14:textId="77777777" w:rsidTr="00D376D1">
        <w:tc>
          <w:tcPr>
            <w:tcW w:w="666" w:type="pct"/>
            <w:vMerge/>
            <w:vAlign w:val="center"/>
            <w:hideMark/>
          </w:tcPr>
          <w:p w14:paraId="1B07FC59" w14:textId="77777777" w:rsidR="00D376D1" w:rsidRPr="00FE68F6" w:rsidRDefault="00D376D1" w:rsidP="002807B8">
            <w:pPr>
              <w:bidi w:val="0"/>
              <w:rPr>
                <w:rFonts w:ascii="Calibri" w:eastAsia="Calibri" w:hAnsi="Calibri" w:cs="Arial"/>
                <w:color w:val="000000" w:themeColor="text1"/>
                <w:sz w:val="18"/>
                <w:szCs w:val="18"/>
                <w:lang w:bidi="ar-EG"/>
              </w:rPr>
            </w:pPr>
          </w:p>
        </w:tc>
        <w:tc>
          <w:tcPr>
            <w:tcW w:w="522" w:type="pct"/>
            <w:vMerge/>
            <w:vAlign w:val="center"/>
            <w:hideMark/>
          </w:tcPr>
          <w:p w14:paraId="1C68AB2A" w14:textId="77777777" w:rsidR="00D376D1" w:rsidRPr="00FE68F6" w:rsidRDefault="00D376D1" w:rsidP="002807B8">
            <w:pPr>
              <w:bidi w:val="0"/>
              <w:rPr>
                <w:color w:val="000000" w:themeColor="text1"/>
                <w:sz w:val="18"/>
                <w:szCs w:val="18"/>
                <w:lang w:bidi="ar-EG"/>
              </w:rPr>
            </w:pPr>
          </w:p>
        </w:tc>
        <w:tc>
          <w:tcPr>
            <w:tcW w:w="730" w:type="pct"/>
            <w:vAlign w:val="center"/>
            <w:hideMark/>
          </w:tcPr>
          <w:p w14:paraId="767B3303"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Range</w:t>
            </w:r>
          </w:p>
        </w:tc>
        <w:tc>
          <w:tcPr>
            <w:tcW w:w="1174" w:type="pct"/>
            <w:noWrap/>
            <w:vAlign w:val="center"/>
            <w:hideMark/>
          </w:tcPr>
          <w:p w14:paraId="6F60E23D"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180.0–480.0</w:t>
            </w:r>
          </w:p>
        </w:tc>
        <w:tc>
          <w:tcPr>
            <w:tcW w:w="1358" w:type="pct"/>
            <w:noWrap/>
            <w:vAlign w:val="center"/>
            <w:hideMark/>
          </w:tcPr>
          <w:p w14:paraId="72D42A94"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120.0–700.0</w:t>
            </w:r>
          </w:p>
        </w:tc>
        <w:tc>
          <w:tcPr>
            <w:tcW w:w="550" w:type="pct"/>
            <w:vMerge/>
            <w:vAlign w:val="center"/>
            <w:hideMark/>
          </w:tcPr>
          <w:p w14:paraId="507269AC" w14:textId="77777777" w:rsidR="00D376D1" w:rsidRPr="00FE68F6" w:rsidRDefault="00D376D1" w:rsidP="002807B8">
            <w:pPr>
              <w:bidi w:val="0"/>
              <w:rPr>
                <w:rFonts w:ascii="Calibri" w:eastAsia="Calibri" w:hAnsi="Calibri" w:cs="Arial"/>
                <w:color w:val="000000" w:themeColor="text1"/>
                <w:sz w:val="18"/>
                <w:szCs w:val="18"/>
                <w:lang w:bidi="ar-EG"/>
              </w:rPr>
            </w:pPr>
          </w:p>
        </w:tc>
      </w:tr>
      <w:tr w:rsidR="00D376D1" w:rsidRPr="00FE68F6" w14:paraId="5648B54C" w14:textId="77777777" w:rsidTr="00D376D1">
        <w:tc>
          <w:tcPr>
            <w:tcW w:w="666" w:type="pct"/>
            <w:vMerge/>
            <w:vAlign w:val="center"/>
            <w:hideMark/>
          </w:tcPr>
          <w:p w14:paraId="2F48AFA6" w14:textId="77777777" w:rsidR="00D376D1" w:rsidRPr="00FE68F6" w:rsidRDefault="00D376D1" w:rsidP="002807B8">
            <w:pPr>
              <w:bidi w:val="0"/>
              <w:rPr>
                <w:rFonts w:ascii="Calibri" w:eastAsia="Calibri" w:hAnsi="Calibri" w:cs="Arial"/>
                <w:color w:val="000000" w:themeColor="text1"/>
                <w:sz w:val="18"/>
                <w:szCs w:val="18"/>
                <w:lang w:bidi="ar-EG"/>
              </w:rPr>
            </w:pPr>
          </w:p>
        </w:tc>
        <w:tc>
          <w:tcPr>
            <w:tcW w:w="522" w:type="pct"/>
            <w:vMerge w:val="restart"/>
            <w:noWrap/>
            <w:vAlign w:val="center"/>
            <w:hideMark/>
          </w:tcPr>
          <w:p w14:paraId="1287444E"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After</w:t>
            </w:r>
          </w:p>
        </w:tc>
        <w:tc>
          <w:tcPr>
            <w:tcW w:w="730" w:type="pct"/>
            <w:vAlign w:val="center"/>
            <w:hideMark/>
          </w:tcPr>
          <w:p w14:paraId="6A54255F" w14:textId="77777777" w:rsidR="00D376D1" w:rsidRPr="00FE68F6" w:rsidRDefault="00D376D1" w:rsidP="002807B8">
            <w:pPr>
              <w:bidi w:val="0"/>
              <w:spacing w:after="120"/>
              <w:rPr>
                <w:color w:val="000000" w:themeColor="text1"/>
                <w:sz w:val="18"/>
                <w:szCs w:val="18"/>
                <w:lang w:bidi="ar-EG"/>
              </w:rPr>
            </w:pPr>
            <w:proofErr w:type="spellStart"/>
            <w:r w:rsidRPr="00FE68F6">
              <w:rPr>
                <w:color w:val="000000" w:themeColor="text1"/>
                <w:sz w:val="18"/>
                <w:szCs w:val="18"/>
                <w:lang w:bidi="ar-EG"/>
              </w:rPr>
              <w:t>Mean±SD</w:t>
            </w:r>
            <w:proofErr w:type="spellEnd"/>
          </w:p>
        </w:tc>
        <w:tc>
          <w:tcPr>
            <w:tcW w:w="1174" w:type="pct"/>
            <w:noWrap/>
            <w:vAlign w:val="center"/>
            <w:hideMark/>
          </w:tcPr>
          <w:p w14:paraId="392AA0D4"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213.9±54.3</w:t>
            </w:r>
          </w:p>
        </w:tc>
        <w:tc>
          <w:tcPr>
            <w:tcW w:w="1358" w:type="pct"/>
            <w:noWrap/>
            <w:vAlign w:val="center"/>
            <w:hideMark/>
          </w:tcPr>
          <w:p w14:paraId="3368AD66"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185.3±71.0</w:t>
            </w:r>
          </w:p>
        </w:tc>
        <w:tc>
          <w:tcPr>
            <w:tcW w:w="550" w:type="pct"/>
            <w:vMerge w:val="restart"/>
            <w:noWrap/>
            <w:vAlign w:val="center"/>
            <w:hideMark/>
          </w:tcPr>
          <w:p w14:paraId="51D0E75D" w14:textId="77777777" w:rsidR="00D376D1" w:rsidRPr="00FE68F6" w:rsidRDefault="00D376D1" w:rsidP="002807B8">
            <w:pPr>
              <w:bidi w:val="0"/>
              <w:spacing w:before="60" w:after="60" w:line="256" w:lineRule="auto"/>
              <w:rPr>
                <w:rFonts w:ascii="Calibri" w:eastAsia="Calibri" w:hAnsi="Calibri" w:cs="Arial"/>
                <w:color w:val="000000" w:themeColor="text1"/>
                <w:sz w:val="18"/>
                <w:szCs w:val="18"/>
                <w:lang w:bidi="ar-EG"/>
              </w:rPr>
            </w:pPr>
            <w:r w:rsidRPr="00FE68F6">
              <w:rPr>
                <w:rFonts w:ascii="Calibri" w:eastAsia="Calibri" w:hAnsi="Calibri" w:cs="Arial"/>
                <w:color w:val="000000" w:themeColor="text1"/>
                <w:sz w:val="18"/>
                <w:szCs w:val="18"/>
                <w:lang w:bidi="ar-EG"/>
              </w:rPr>
              <w:t>0.035*</w:t>
            </w:r>
          </w:p>
        </w:tc>
      </w:tr>
      <w:tr w:rsidR="00D376D1" w:rsidRPr="00FE68F6" w14:paraId="713452B5" w14:textId="77777777" w:rsidTr="00D376D1">
        <w:tc>
          <w:tcPr>
            <w:tcW w:w="666" w:type="pct"/>
            <w:vMerge/>
            <w:vAlign w:val="center"/>
            <w:hideMark/>
          </w:tcPr>
          <w:p w14:paraId="3E600EA2" w14:textId="77777777" w:rsidR="00D376D1" w:rsidRPr="00FE68F6" w:rsidRDefault="00D376D1" w:rsidP="002807B8">
            <w:pPr>
              <w:bidi w:val="0"/>
              <w:rPr>
                <w:rFonts w:ascii="Calibri" w:eastAsia="Calibri" w:hAnsi="Calibri" w:cs="Arial"/>
                <w:color w:val="000000" w:themeColor="text1"/>
                <w:sz w:val="18"/>
                <w:szCs w:val="18"/>
                <w:lang w:bidi="ar-EG"/>
              </w:rPr>
            </w:pPr>
          </w:p>
        </w:tc>
        <w:tc>
          <w:tcPr>
            <w:tcW w:w="522" w:type="pct"/>
            <w:vMerge/>
            <w:vAlign w:val="center"/>
            <w:hideMark/>
          </w:tcPr>
          <w:p w14:paraId="061E3785" w14:textId="77777777" w:rsidR="00D376D1" w:rsidRPr="00FE68F6" w:rsidRDefault="00D376D1" w:rsidP="002807B8">
            <w:pPr>
              <w:bidi w:val="0"/>
              <w:rPr>
                <w:color w:val="000000" w:themeColor="text1"/>
                <w:sz w:val="18"/>
                <w:szCs w:val="18"/>
                <w:lang w:bidi="ar-EG"/>
              </w:rPr>
            </w:pPr>
          </w:p>
        </w:tc>
        <w:tc>
          <w:tcPr>
            <w:tcW w:w="730" w:type="pct"/>
            <w:vAlign w:val="center"/>
            <w:hideMark/>
          </w:tcPr>
          <w:p w14:paraId="5044948D"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Range</w:t>
            </w:r>
          </w:p>
        </w:tc>
        <w:tc>
          <w:tcPr>
            <w:tcW w:w="1174" w:type="pct"/>
            <w:noWrap/>
            <w:vAlign w:val="center"/>
            <w:hideMark/>
          </w:tcPr>
          <w:p w14:paraId="7203B7A4"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63.0–360.0</w:t>
            </w:r>
          </w:p>
        </w:tc>
        <w:tc>
          <w:tcPr>
            <w:tcW w:w="1358" w:type="pct"/>
            <w:noWrap/>
            <w:vAlign w:val="center"/>
            <w:hideMark/>
          </w:tcPr>
          <w:p w14:paraId="13A9074A"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100.0–550.0</w:t>
            </w:r>
          </w:p>
        </w:tc>
        <w:tc>
          <w:tcPr>
            <w:tcW w:w="550" w:type="pct"/>
            <w:vMerge/>
            <w:vAlign w:val="center"/>
            <w:hideMark/>
          </w:tcPr>
          <w:p w14:paraId="56896D56" w14:textId="77777777" w:rsidR="00D376D1" w:rsidRPr="00FE68F6" w:rsidRDefault="00D376D1" w:rsidP="002807B8">
            <w:pPr>
              <w:bidi w:val="0"/>
              <w:rPr>
                <w:rFonts w:ascii="Calibri" w:eastAsia="Calibri" w:hAnsi="Calibri" w:cs="Arial"/>
                <w:color w:val="000000" w:themeColor="text1"/>
                <w:sz w:val="18"/>
                <w:szCs w:val="18"/>
                <w:lang w:bidi="ar-EG"/>
              </w:rPr>
            </w:pPr>
          </w:p>
        </w:tc>
      </w:tr>
      <w:tr w:rsidR="00D376D1" w:rsidRPr="00FE68F6" w14:paraId="1C10E0EC" w14:textId="77777777" w:rsidTr="00D376D1">
        <w:tc>
          <w:tcPr>
            <w:tcW w:w="666" w:type="pct"/>
            <w:vMerge/>
            <w:vAlign w:val="center"/>
            <w:hideMark/>
          </w:tcPr>
          <w:p w14:paraId="7F55DB1E" w14:textId="77777777" w:rsidR="00D376D1" w:rsidRPr="00FE68F6" w:rsidRDefault="00D376D1" w:rsidP="002807B8">
            <w:pPr>
              <w:bidi w:val="0"/>
              <w:rPr>
                <w:rFonts w:ascii="Calibri" w:eastAsia="Calibri" w:hAnsi="Calibri" w:cs="Arial"/>
                <w:color w:val="000000" w:themeColor="text1"/>
                <w:sz w:val="18"/>
                <w:szCs w:val="18"/>
                <w:lang w:bidi="ar-EG"/>
              </w:rPr>
            </w:pPr>
          </w:p>
        </w:tc>
        <w:tc>
          <w:tcPr>
            <w:tcW w:w="1252" w:type="pct"/>
            <w:gridSpan w:val="2"/>
            <w:vAlign w:val="center"/>
            <w:hideMark/>
          </w:tcPr>
          <w:p w14:paraId="1BC4075C"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¤p-value (times)</w:t>
            </w:r>
          </w:p>
        </w:tc>
        <w:tc>
          <w:tcPr>
            <w:tcW w:w="1174" w:type="pct"/>
            <w:noWrap/>
            <w:vAlign w:val="center"/>
            <w:hideMark/>
          </w:tcPr>
          <w:p w14:paraId="4A5B18D5" w14:textId="77777777" w:rsidR="00D376D1" w:rsidRPr="00FE68F6" w:rsidRDefault="00D376D1" w:rsidP="002807B8">
            <w:pPr>
              <w:bidi w:val="0"/>
              <w:spacing w:before="60" w:after="60" w:line="256" w:lineRule="auto"/>
              <w:rPr>
                <w:rFonts w:ascii="Calibri" w:eastAsia="Calibri" w:hAnsi="Calibri" w:cs="Arial"/>
                <w:color w:val="000000" w:themeColor="text1"/>
                <w:sz w:val="18"/>
                <w:szCs w:val="18"/>
                <w:lang w:bidi="ar-EG"/>
              </w:rPr>
            </w:pPr>
            <w:r w:rsidRPr="00FE68F6">
              <w:rPr>
                <w:rFonts w:ascii="Calibri" w:eastAsia="Calibri" w:hAnsi="Calibri" w:cs="Arial"/>
                <w:color w:val="000000" w:themeColor="text1"/>
                <w:sz w:val="18"/>
                <w:szCs w:val="18"/>
                <w:lang w:bidi="ar-EG"/>
              </w:rPr>
              <w:t>&lt;0.001*</w:t>
            </w:r>
          </w:p>
        </w:tc>
        <w:tc>
          <w:tcPr>
            <w:tcW w:w="1358" w:type="pct"/>
            <w:noWrap/>
            <w:vAlign w:val="center"/>
            <w:hideMark/>
          </w:tcPr>
          <w:p w14:paraId="23D47700" w14:textId="77777777" w:rsidR="00D376D1" w:rsidRPr="00FE68F6" w:rsidRDefault="00D376D1" w:rsidP="002807B8">
            <w:pPr>
              <w:bidi w:val="0"/>
              <w:spacing w:before="60" w:after="60" w:line="256" w:lineRule="auto"/>
              <w:rPr>
                <w:rFonts w:ascii="Calibri" w:eastAsia="Calibri" w:hAnsi="Calibri" w:cs="Arial"/>
                <w:color w:val="000000" w:themeColor="text1"/>
                <w:sz w:val="18"/>
                <w:szCs w:val="18"/>
                <w:lang w:bidi="ar-EG"/>
              </w:rPr>
            </w:pPr>
            <w:r w:rsidRPr="00FE68F6">
              <w:rPr>
                <w:rFonts w:ascii="Calibri" w:eastAsia="Calibri" w:hAnsi="Calibri" w:cs="Arial"/>
                <w:color w:val="000000" w:themeColor="text1"/>
                <w:sz w:val="18"/>
                <w:szCs w:val="18"/>
                <w:lang w:bidi="ar-EG"/>
              </w:rPr>
              <w:t>&lt;0.001*</w:t>
            </w:r>
          </w:p>
        </w:tc>
        <w:tc>
          <w:tcPr>
            <w:tcW w:w="550" w:type="pct"/>
            <w:noWrap/>
            <w:vAlign w:val="center"/>
          </w:tcPr>
          <w:p w14:paraId="28E609C0" w14:textId="77777777" w:rsidR="00D376D1" w:rsidRPr="00FE68F6" w:rsidRDefault="00D376D1" w:rsidP="002807B8">
            <w:pPr>
              <w:bidi w:val="0"/>
              <w:spacing w:before="60" w:after="60" w:line="256" w:lineRule="auto"/>
              <w:rPr>
                <w:rFonts w:ascii="Calibri" w:eastAsia="Calibri" w:hAnsi="Calibri" w:cs="Arial"/>
                <w:color w:val="000000" w:themeColor="text1"/>
                <w:sz w:val="18"/>
                <w:szCs w:val="18"/>
                <w:lang w:bidi="ar-EG"/>
              </w:rPr>
            </w:pPr>
          </w:p>
        </w:tc>
      </w:tr>
      <w:tr w:rsidR="00D376D1" w:rsidRPr="00FE68F6" w14:paraId="73D993B3" w14:textId="77777777" w:rsidTr="00BE4619">
        <w:tc>
          <w:tcPr>
            <w:tcW w:w="666" w:type="pct"/>
            <w:vMerge w:val="restart"/>
            <w:vAlign w:val="center"/>
          </w:tcPr>
          <w:p w14:paraId="3C0A3DCA"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ESR (ml/</w:t>
            </w:r>
            <w:proofErr w:type="spellStart"/>
            <w:r w:rsidRPr="00FE68F6">
              <w:rPr>
                <w:color w:val="000000" w:themeColor="text1"/>
                <w:sz w:val="18"/>
                <w:szCs w:val="18"/>
                <w:lang w:bidi="ar-EG"/>
              </w:rPr>
              <w:t>hr</w:t>
            </w:r>
            <w:proofErr w:type="spellEnd"/>
            <w:r w:rsidRPr="00FE68F6">
              <w:rPr>
                <w:color w:val="000000" w:themeColor="text1"/>
                <w:sz w:val="18"/>
                <w:szCs w:val="18"/>
                <w:lang w:bidi="ar-EG"/>
              </w:rPr>
              <w:t>)</w:t>
            </w:r>
          </w:p>
        </w:tc>
        <w:tc>
          <w:tcPr>
            <w:tcW w:w="522" w:type="pct"/>
            <w:vMerge w:val="restart"/>
            <w:noWrap/>
            <w:vAlign w:val="center"/>
            <w:hideMark/>
          </w:tcPr>
          <w:p w14:paraId="6FF1509C"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Before</w:t>
            </w:r>
          </w:p>
        </w:tc>
        <w:tc>
          <w:tcPr>
            <w:tcW w:w="730" w:type="pct"/>
            <w:noWrap/>
            <w:vAlign w:val="center"/>
            <w:hideMark/>
          </w:tcPr>
          <w:p w14:paraId="17AE75E6" w14:textId="77777777" w:rsidR="00D376D1" w:rsidRPr="00FE68F6" w:rsidRDefault="00D376D1" w:rsidP="002807B8">
            <w:pPr>
              <w:bidi w:val="0"/>
              <w:spacing w:after="120"/>
              <w:rPr>
                <w:color w:val="000000" w:themeColor="text1"/>
                <w:sz w:val="18"/>
                <w:szCs w:val="18"/>
                <w:lang w:bidi="ar-EG"/>
              </w:rPr>
            </w:pPr>
            <w:proofErr w:type="spellStart"/>
            <w:r w:rsidRPr="00FE68F6">
              <w:rPr>
                <w:color w:val="000000" w:themeColor="text1"/>
                <w:sz w:val="18"/>
                <w:szCs w:val="18"/>
                <w:lang w:bidi="ar-EG"/>
              </w:rPr>
              <w:t>Mean±SD</w:t>
            </w:r>
            <w:proofErr w:type="spellEnd"/>
            <w:r w:rsidRPr="00FE68F6">
              <w:rPr>
                <w:color w:val="000000" w:themeColor="text1"/>
                <w:sz w:val="18"/>
                <w:szCs w:val="18"/>
                <w:lang w:bidi="ar-EG"/>
              </w:rPr>
              <w:t xml:space="preserve"> </w:t>
            </w:r>
          </w:p>
        </w:tc>
        <w:tc>
          <w:tcPr>
            <w:tcW w:w="1174" w:type="pct"/>
            <w:noWrap/>
            <w:vAlign w:val="center"/>
            <w:hideMark/>
          </w:tcPr>
          <w:p w14:paraId="1AEDAA89"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51.6±24.5</w:t>
            </w:r>
          </w:p>
        </w:tc>
        <w:tc>
          <w:tcPr>
            <w:tcW w:w="1358" w:type="pct"/>
            <w:noWrap/>
            <w:vAlign w:val="center"/>
            <w:hideMark/>
          </w:tcPr>
          <w:p w14:paraId="2AB4032B"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46.1±27.1</w:t>
            </w:r>
          </w:p>
        </w:tc>
        <w:tc>
          <w:tcPr>
            <w:tcW w:w="550" w:type="pct"/>
            <w:vMerge w:val="restart"/>
            <w:noWrap/>
            <w:vAlign w:val="center"/>
            <w:hideMark/>
          </w:tcPr>
          <w:p w14:paraId="56EA4157"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0.316</w:t>
            </w:r>
          </w:p>
        </w:tc>
      </w:tr>
      <w:tr w:rsidR="00D376D1" w:rsidRPr="00FE68F6" w14:paraId="1E2E9846" w14:textId="77777777" w:rsidTr="00D376D1">
        <w:tc>
          <w:tcPr>
            <w:tcW w:w="666" w:type="pct"/>
            <w:vMerge/>
            <w:vAlign w:val="center"/>
            <w:hideMark/>
          </w:tcPr>
          <w:p w14:paraId="7D0425D9"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232CDE5C"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0B5B31E3"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 xml:space="preserve">Range </w:t>
            </w:r>
          </w:p>
        </w:tc>
        <w:tc>
          <w:tcPr>
            <w:tcW w:w="1174" w:type="pct"/>
            <w:noWrap/>
            <w:vAlign w:val="center"/>
            <w:hideMark/>
          </w:tcPr>
          <w:p w14:paraId="4495895D"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10.0–120.0</w:t>
            </w:r>
          </w:p>
        </w:tc>
        <w:tc>
          <w:tcPr>
            <w:tcW w:w="1358" w:type="pct"/>
            <w:noWrap/>
            <w:vAlign w:val="center"/>
            <w:hideMark/>
          </w:tcPr>
          <w:p w14:paraId="37C37B98"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13.0–130.0</w:t>
            </w:r>
          </w:p>
        </w:tc>
        <w:tc>
          <w:tcPr>
            <w:tcW w:w="550" w:type="pct"/>
            <w:vMerge/>
            <w:vAlign w:val="center"/>
            <w:hideMark/>
          </w:tcPr>
          <w:p w14:paraId="616942A5" w14:textId="77777777" w:rsidR="00D376D1" w:rsidRPr="00FE68F6" w:rsidRDefault="00D376D1" w:rsidP="002807B8">
            <w:pPr>
              <w:bidi w:val="0"/>
              <w:rPr>
                <w:color w:val="000000" w:themeColor="text1"/>
                <w:sz w:val="18"/>
                <w:szCs w:val="18"/>
                <w:lang w:bidi="ar-EG"/>
              </w:rPr>
            </w:pPr>
          </w:p>
        </w:tc>
      </w:tr>
      <w:tr w:rsidR="00D376D1" w:rsidRPr="00FE68F6" w14:paraId="30B8CF4A" w14:textId="77777777" w:rsidTr="00D376D1">
        <w:tc>
          <w:tcPr>
            <w:tcW w:w="666" w:type="pct"/>
            <w:vMerge/>
            <w:vAlign w:val="center"/>
            <w:hideMark/>
          </w:tcPr>
          <w:p w14:paraId="7C947138" w14:textId="77777777" w:rsidR="00D376D1" w:rsidRPr="00FE68F6" w:rsidRDefault="00D376D1" w:rsidP="002807B8">
            <w:pPr>
              <w:bidi w:val="0"/>
              <w:rPr>
                <w:color w:val="000000" w:themeColor="text1"/>
                <w:sz w:val="18"/>
                <w:szCs w:val="18"/>
                <w:lang w:bidi="ar-EG"/>
              </w:rPr>
            </w:pPr>
          </w:p>
        </w:tc>
        <w:tc>
          <w:tcPr>
            <w:tcW w:w="522" w:type="pct"/>
            <w:vMerge w:val="restart"/>
            <w:noWrap/>
            <w:vAlign w:val="center"/>
            <w:hideMark/>
          </w:tcPr>
          <w:p w14:paraId="65C86F99"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After</w:t>
            </w:r>
          </w:p>
        </w:tc>
        <w:tc>
          <w:tcPr>
            <w:tcW w:w="730" w:type="pct"/>
            <w:noWrap/>
            <w:vAlign w:val="center"/>
            <w:hideMark/>
          </w:tcPr>
          <w:p w14:paraId="556E1CF8" w14:textId="77777777" w:rsidR="00D376D1" w:rsidRPr="00FE68F6" w:rsidRDefault="00D376D1" w:rsidP="002807B8">
            <w:pPr>
              <w:bidi w:val="0"/>
              <w:spacing w:after="120"/>
              <w:rPr>
                <w:color w:val="000000" w:themeColor="text1"/>
                <w:sz w:val="18"/>
                <w:szCs w:val="18"/>
                <w:lang w:bidi="ar-EG"/>
              </w:rPr>
            </w:pPr>
            <w:proofErr w:type="spellStart"/>
            <w:r w:rsidRPr="00FE68F6">
              <w:rPr>
                <w:color w:val="000000" w:themeColor="text1"/>
                <w:sz w:val="18"/>
                <w:szCs w:val="18"/>
                <w:lang w:bidi="ar-EG"/>
              </w:rPr>
              <w:t>Mean±SD</w:t>
            </w:r>
            <w:proofErr w:type="spellEnd"/>
            <w:r w:rsidRPr="00FE68F6">
              <w:rPr>
                <w:color w:val="000000" w:themeColor="text1"/>
                <w:sz w:val="18"/>
                <w:szCs w:val="18"/>
                <w:lang w:bidi="ar-EG"/>
              </w:rPr>
              <w:t xml:space="preserve"> </w:t>
            </w:r>
          </w:p>
        </w:tc>
        <w:tc>
          <w:tcPr>
            <w:tcW w:w="1174" w:type="pct"/>
            <w:noWrap/>
            <w:vAlign w:val="center"/>
            <w:hideMark/>
          </w:tcPr>
          <w:p w14:paraId="7C5A2E81"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19.7±8.2</w:t>
            </w:r>
          </w:p>
        </w:tc>
        <w:tc>
          <w:tcPr>
            <w:tcW w:w="1358" w:type="pct"/>
            <w:noWrap/>
            <w:vAlign w:val="center"/>
            <w:hideMark/>
          </w:tcPr>
          <w:p w14:paraId="2AB717F4"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16.9±8.0</w:t>
            </w:r>
          </w:p>
        </w:tc>
        <w:tc>
          <w:tcPr>
            <w:tcW w:w="550" w:type="pct"/>
            <w:vMerge w:val="restart"/>
            <w:noWrap/>
            <w:vAlign w:val="center"/>
            <w:hideMark/>
          </w:tcPr>
          <w:p w14:paraId="4D1EC6AE"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0.114</w:t>
            </w:r>
          </w:p>
        </w:tc>
      </w:tr>
      <w:tr w:rsidR="00D376D1" w:rsidRPr="00FE68F6" w14:paraId="77961B8B" w14:textId="77777777" w:rsidTr="00D376D1">
        <w:tc>
          <w:tcPr>
            <w:tcW w:w="666" w:type="pct"/>
            <w:vMerge/>
            <w:vAlign w:val="center"/>
            <w:hideMark/>
          </w:tcPr>
          <w:p w14:paraId="3CF507B3"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1F353240"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56D57B05"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 xml:space="preserve">Range </w:t>
            </w:r>
          </w:p>
        </w:tc>
        <w:tc>
          <w:tcPr>
            <w:tcW w:w="1174" w:type="pct"/>
            <w:noWrap/>
            <w:vAlign w:val="center"/>
            <w:hideMark/>
          </w:tcPr>
          <w:p w14:paraId="56DD4A61"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9.0–46.0</w:t>
            </w:r>
          </w:p>
        </w:tc>
        <w:tc>
          <w:tcPr>
            <w:tcW w:w="1358" w:type="pct"/>
            <w:noWrap/>
            <w:vAlign w:val="center"/>
            <w:hideMark/>
          </w:tcPr>
          <w:p w14:paraId="027B43BC"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8.0–60.0</w:t>
            </w:r>
          </w:p>
        </w:tc>
        <w:tc>
          <w:tcPr>
            <w:tcW w:w="550" w:type="pct"/>
            <w:vMerge/>
            <w:vAlign w:val="center"/>
            <w:hideMark/>
          </w:tcPr>
          <w:p w14:paraId="4DE22444" w14:textId="77777777" w:rsidR="00D376D1" w:rsidRPr="00FE68F6" w:rsidRDefault="00D376D1" w:rsidP="002807B8">
            <w:pPr>
              <w:bidi w:val="0"/>
              <w:rPr>
                <w:color w:val="000000" w:themeColor="text1"/>
                <w:sz w:val="18"/>
                <w:szCs w:val="18"/>
                <w:lang w:bidi="ar-EG"/>
              </w:rPr>
            </w:pPr>
          </w:p>
        </w:tc>
      </w:tr>
      <w:tr w:rsidR="00D376D1" w:rsidRPr="00FE68F6" w14:paraId="1289014A" w14:textId="77777777" w:rsidTr="00D376D1">
        <w:tc>
          <w:tcPr>
            <w:tcW w:w="666" w:type="pct"/>
            <w:vMerge/>
            <w:vAlign w:val="center"/>
            <w:hideMark/>
          </w:tcPr>
          <w:p w14:paraId="54ABA858" w14:textId="77777777" w:rsidR="00D376D1" w:rsidRPr="00FE68F6" w:rsidRDefault="00D376D1" w:rsidP="002807B8">
            <w:pPr>
              <w:bidi w:val="0"/>
              <w:rPr>
                <w:color w:val="000000" w:themeColor="text1"/>
                <w:sz w:val="18"/>
                <w:szCs w:val="18"/>
                <w:lang w:bidi="ar-EG"/>
              </w:rPr>
            </w:pPr>
          </w:p>
        </w:tc>
        <w:tc>
          <w:tcPr>
            <w:tcW w:w="1252" w:type="pct"/>
            <w:gridSpan w:val="2"/>
            <w:noWrap/>
            <w:vAlign w:val="center"/>
            <w:hideMark/>
          </w:tcPr>
          <w:p w14:paraId="586613C1"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#p-value (times)</w:t>
            </w:r>
          </w:p>
        </w:tc>
        <w:tc>
          <w:tcPr>
            <w:tcW w:w="1174" w:type="pct"/>
            <w:noWrap/>
            <w:vAlign w:val="center"/>
            <w:hideMark/>
          </w:tcPr>
          <w:p w14:paraId="5F10C082"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&lt;0.001*</w:t>
            </w:r>
          </w:p>
        </w:tc>
        <w:tc>
          <w:tcPr>
            <w:tcW w:w="1358" w:type="pct"/>
            <w:noWrap/>
            <w:vAlign w:val="center"/>
            <w:hideMark/>
          </w:tcPr>
          <w:p w14:paraId="20B61C90"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&lt;0.001*</w:t>
            </w:r>
          </w:p>
        </w:tc>
        <w:tc>
          <w:tcPr>
            <w:tcW w:w="550" w:type="pct"/>
            <w:noWrap/>
            <w:vAlign w:val="center"/>
          </w:tcPr>
          <w:p w14:paraId="057271EB" w14:textId="77777777" w:rsidR="00D376D1" w:rsidRPr="00FE68F6" w:rsidRDefault="00D376D1" w:rsidP="002807B8">
            <w:pPr>
              <w:bidi w:val="0"/>
              <w:spacing w:after="120"/>
              <w:rPr>
                <w:color w:val="000000" w:themeColor="text1"/>
                <w:sz w:val="18"/>
                <w:szCs w:val="18"/>
                <w:lang w:bidi="ar-EG"/>
              </w:rPr>
            </w:pPr>
          </w:p>
        </w:tc>
      </w:tr>
      <w:tr w:rsidR="00D376D1" w:rsidRPr="00FE68F6" w14:paraId="23B9852A" w14:textId="77777777" w:rsidTr="00BE4619">
        <w:tc>
          <w:tcPr>
            <w:tcW w:w="666" w:type="pct"/>
            <w:vMerge w:val="restart"/>
            <w:vAlign w:val="center"/>
          </w:tcPr>
          <w:p w14:paraId="70E97979"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CRP (mg/dL)</w:t>
            </w:r>
          </w:p>
        </w:tc>
        <w:tc>
          <w:tcPr>
            <w:tcW w:w="522" w:type="pct"/>
            <w:vMerge w:val="restart"/>
            <w:noWrap/>
            <w:vAlign w:val="center"/>
            <w:hideMark/>
          </w:tcPr>
          <w:p w14:paraId="47E61463"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Before</w:t>
            </w:r>
          </w:p>
        </w:tc>
        <w:tc>
          <w:tcPr>
            <w:tcW w:w="730" w:type="pct"/>
            <w:noWrap/>
            <w:vAlign w:val="center"/>
            <w:hideMark/>
          </w:tcPr>
          <w:p w14:paraId="60A8F680" w14:textId="77777777" w:rsidR="00D376D1" w:rsidRPr="00FE68F6" w:rsidRDefault="00D376D1" w:rsidP="002807B8">
            <w:pPr>
              <w:bidi w:val="0"/>
              <w:spacing w:after="120"/>
              <w:rPr>
                <w:color w:val="000000" w:themeColor="text1"/>
                <w:sz w:val="18"/>
                <w:szCs w:val="18"/>
                <w:lang w:bidi="ar-EG"/>
              </w:rPr>
            </w:pPr>
            <w:proofErr w:type="spellStart"/>
            <w:r w:rsidRPr="00FE68F6">
              <w:rPr>
                <w:color w:val="000000" w:themeColor="text1"/>
                <w:sz w:val="18"/>
                <w:szCs w:val="18"/>
                <w:lang w:bidi="ar-EG"/>
              </w:rPr>
              <w:t>Mean±SD</w:t>
            </w:r>
            <w:proofErr w:type="spellEnd"/>
            <w:r w:rsidRPr="00FE68F6">
              <w:rPr>
                <w:color w:val="000000" w:themeColor="text1"/>
                <w:sz w:val="18"/>
                <w:szCs w:val="18"/>
                <w:lang w:bidi="ar-EG"/>
              </w:rPr>
              <w:t xml:space="preserve"> </w:t>
            </w:r>
          </w:p>
        </w:tc>
        <w:tc>
          <w:tcPr>
            <w:tcW w:w="1174" w:type="pct"/>
            <w:noWrap/>
            <w:vAlign w:val="center"/>
            <w:hideMark/>
          </w:tcPr>
          <w:p w14:paraId="4D0572DA"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31.7±27.8</w:t>
            </w:r>
          </w:p>
        </w:tc>
        <w:tc>
          <w:tcPr>
            <w:tcW w:w="1358" w:type="pct"/>
            <w:noWrap/>
            <w:vAlign w:val="center"/>
            <w:hideMark/>
          </w:tcPr>
          <w:p w14:paraId="6513F3AE"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26.1±32.7</w:t>
            </w:r>
          </w:p>
        </w:tc>
        <w:tc>
          <w:tcPr>
            <w:tcW w:w="550" w:type="pct"/>
            <w:vMerge w:val="restart"/>
            <w:noWrap/>
            <w:vAlign w:val="center"/>
            <w:hideMark/>
          </w:tcPr>
          <w:p w14:paraId="497835EC"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0.381</w:t>
            </w:r>
          </w:p>
        </w:tc>
      </w:tr>
      <w:tr w:rsidR="00D376D1" w:rsidRPr="00FE68F6" w14:paraId="1B25E9A0" w14:textId="77777777" w:rsidTr="00D376D1">
        <w:tc>
          <w:tcPr>
            <w:tcW w:w="666" w:type="pct"/>
            <w:vMerge/>
            <w:vAlign w:val="center"/>
            <w:hideMark/>
          </w:tcPr>
          <w:p w14:paraId="1F365B5A"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035B3CED"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5E3D1089"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 xml:space="preserve">Range </w:t>
            </w:r>
          </w:p>
        </w:tc>
        <w:tc>
          <w:tcPr>
            <w:tcW w:w="1174" w:type="pct"/>
            <w:noWrap/>
            <w:vAlign w:val="center"/>
            <w:hideMark/>
          </w:tcPr>
          <w:p w14:paraId="67B039B3"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1.0–139.0</w:t>
            </w:r>
          </w:p>
        </w:tc>
        <w:tc>
          <w:tcPr>
            <w:tcW w:w="1358" w:type="pct"/>
            <w:noWrap/>
            <w:vAlign w:val="center"/>
            <w:hideMark/>
          </w:tcPr>
          <w:p w14:paraId="6EA27160"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1.0–190.0</w:t>
            </w:r>
          </w:p>
        </w:tc>
        <w:tc>
          <w:tcPr>
            <w:tcW w:w="550" w:type="pct"/>
            <w:vMerge/>
            <w:vAlign w:val="center"/>
            <w:hideMark/>
          </w:tcPr>
          <w:p w14:paraId="68E4588C" w14:textId="77777777" w:rsidR="00D376D1" w:rsidRPr="00FE68F6" w:rsidRDefault="00D376D1" w:rsidP="002807B8">
            <w:pPr>
              <w:bidi w:val="0"/>
              <w:rPr>
                <w:color w:val="000000" w:themeColor="text1"/>
                <w:sz w:val="18"/>
                <w:szCs w:val="18"/>
                <w:lang w:bidi="ar-EG"/>
              </w:rPr>
            </w:pPr>
          </w:p>
        </w:tc>
      </w:tr>
      <w:tr w:rsidR="00D376D1" w:rsidRPr="00FE68F6" w14:paraId="5E9E5B4C" w14:textId="77777777" w:rsidTr="00D376D1">
        <w:tc>
          <w:tcPr>
            <w:tcW w:w="666" w:type="pct"/>
            <w:vMerge/>
            <w:vAlign w:val="center"/>
            <w:hideMark/>
          </w:tcPr>
          <w:p w14:paraId="18804EC8" w14:textId="77777777" w:rsidR="00D376D1" w:rsidRPr="00FE68F6" w:rsidRDefault="00D376D1" w:rsidP="002807B8">
            <w:pPr>
              <w:bidi w:val="0"/>
              <w:rPr>
                <w:color w:val="000000" w:themeColor="text1"/>
                <w:sz w:val="18"/>
                <w:szCs w:val="18"/>
                <w:lang w:bidi="ar-EG"/>
              </w:rPr>
            </w:pPr>
          </w:p>
        </w:tc>
        <w:tc>
          <w:tcPr>
            <w:tcW w:w="522" w:type="pct"/>
            <w:vMerge w:val="restart"/>
            <w:noWrap/>
            <w:vAlign w:val="center"/>
            <w:hideMark/>
          </w:tcPr>
          <w:p w14:paraId="0D5B1637"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After</w:t>
            </w:r>
          </w:p>
        </w:tc>
        <w:tc>
          <w:tcPr>
            <w:tcW w:w="730" w:type="pct"/>
            <w:noWrap/>
            <w:vAlign w:val="center"/>
            <w:hideMark/>
          </w:tcPr>
          <w:p w14:paraId="7A70015C" w14:textId="77777777" w:rsidR="00D376D1" w:rsidRPr="00FE68F6" w:rsidRDefault="00D376D1" w:rsidP="002807B8">
            <w:pPr>
              <w:bidi w:val="0"/>
              <w:spacing w:after="120"/>
              <w:rPr>
                <w:color w:val="000000" w:themeColor="text1"/>
                <w:sz w:val="18"/>
                <w:szCs w:val="18"/>
                <w:lang w:bidi="ar-EG"/>
              </w:rPr>
            </w:pPr>
            <w:proofErr w:type="spellStart"/>
            <w:r w:rsidRPr="00FE68F6">
              <w:rPr>
                <w:color w:val="000000" w:themeColor="text1"/>
                <w:sz w:val="18"/>
                <w:szCs w:val="18"/>
                <w:lang w:bidi="ar-EG"/>
              </w:rPr>
              <w:t>Mean±SD</w:t>
            </w:r>
            <w:proofErr w:type="spellEnd"/>
            <w:r w:rsidRPr="00FE68F6">
              <w:rPr>
                <w:color w:val="000000" w:themeColor="text1"/>
                <w:sz w:val="18"/>
                <w:szCs w:val="18"/>
                <w:lang w:bidi="ar-EG"/>
              </w:rPr>
              <w:t xml:space="preserve"> </w:t>
            </w:r>
          </w:p>
        </w:tc>
        <w:tc>
          <w:tcPr>
            <w:tcW w:w="1174" w:type="pct"/>
            <w:noWrap/>
            <w:vAlign w:val="center"/>
            <w:hideMark/>
          </w:tcPr>
          <w:p w14:paraId="35F12E45"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10.1±7.8</w:t>
            </w:r>
          </w:p>
        </w:tc>
        <w:tc>
          <w:tcPr>
            <w:tcW w:w="1358" w:type="pct"/>
            <w:noWrap/>
            <w:vAlign w:val="center"/>
            <w:hideMark/>
          </w:tcPr>
          <w:p w14:paraId="0088CCAF"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8.3±5.0</w:t>
            </w:r>
          </w:p>
        </w:tc>
        <w:tc>
          <w:tcPr>
            <w:tcW w:w="550" w:type="pct"/>
            <w:vMerge w:val="restart"/>
            <w:noWrap/>
            <w:vAlign w:val="center"/>
            <w:hideMark/>
          </w:tcPr>
          <w:p w14:paraId="1B211138"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0.190</w:t>
            </w:r>
          </w:p>
        </w:tc>
      </w:tr>
      <w:tr w:rsidR="00D376D1" w:rsidRPr="00FE68F6" w14:paraId="1E455BD2" w14:textId="77777777" w:rsidTr="00D376D1">
        <w:tc>
          <w:tcPr>
            <w:tcW w:w="666" w:type="pct"/>
            <w:vMerge/>
            <w:vAlign w:val="center"/>
            <w:hideMark/>
          </w:tcPr>
          <w:p w14:paraId="7C2162A9"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27D2F312"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62C3AED0"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 xml:space="preserve">Range </w:t>
            </w:r>
          </w:p>
        </w:tc>
        <w:tc>
          <w:tcPr>
            <w:tcW w:w="1174" w:type="pct"/>
            <w:noWrap/>
            <w:vAlign w:val="center"/>
            <w:hideMark/>
          </w:tcPr>
          <w:p w14:paraId="08164106"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1.0–47.0</w:t>
            </w:r>
          </w:p>
        </w:tc>
        <w:tc>
          <w:tcPr>
            <w:tcW w:w="1358" w:type="pct"/>
            <w:noWrap/>
            <w:vAlign w:val="center"/>
            <w:hideMark/>
          </w:tcPr>
          <w:p w14:paraId="58C94664"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1.0–21.0</w:t>
            </w:r>
          </w:p>
        </w:tc>
        <w:tc>
          <w:tcPr>
            <w:tcW w:w="550" w:type="pct"/>
            <w:vMerge/>
            <w:vAlign w:val="center"/>
            <w:hideMark/>
          </w:tcPr>
          <w:p w14:paraId="3C9E418C" w14:textId="77777777" w:rsidR="00D376D1" w:rsidRPr="00FE68F6" w:rsidRDefault="00D376D1" w:rsidP="002807B8">
            <w:pPr>
              <w:bidi w:val="0"/>
              <w:rPr>
                <w:color w:val="000000" w:themeColor="text1"/>
                <w:sz w:val="18"/>
                <w:szCs w:val="18"/>
                <w:lang w:bidi="ar-EG"/>
              </w:rPr>
            </w:pPr>
          </w:p>
        </w:tc>
      </w:tr>
      <w:tr w:rsidR="00D376D1" w:rsidRPr="00FE68F6" w14:paraId="5F50659F" w14:textId="77777777" w:rsidTr="00D376D1">
        <w:tc>
          <w:tcPr>
            <w:tcW w:w="666" w:type="pct"/>
            <w:vMerge/>
            <w:vAlign w:val="center"/>
            <w:hideMark/>
          </w:tcPr>
          <w:p w14:paraId="65E05776" w14:textId="77777777" w:rsidR="00D376D1" w:rsidRPr="00FE68F6" w:rsidRDefault="00D376D1" w:rsidP="002807B8">
            <w:pPr>
              <w:bidi w:val="0"/>
              <w:rPr>
                <w:color w:val="000000" w:themeColor="text1"/>
                <w:sz w:val="18"/>
                <w:szCs w:val="18"/>
                <w:lang w:bidi="ar-EG"/>
              </w:rPr>
            </w:pPr>
          </w:p>
        </w:tc>
        <w:tc>
          <w:tcPr>
            <w:tcW w:w="1252" w:type="pct"/>
            <w:gridSpan w:val="2"/>
            <w:noWrap/>
            <w:vAlign w:val="center"/>
            <w:hideMark/>
          </w:tcPr>
          <w:p w14:paraId="6A883157"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#p-value (times)</w:t>
            </w:r>
          </w:p>
        </w:tc>
        <w:tc>
          <w:tcPr>
            <w:tcW w:w="1174" w:type="pct"/>
            <w:noWrap/>
            <w:vAlign w:val="center"/>
            <w:hideMark/>
          </w:tcPr>
          <w:p w14:paraId="05D9D0E4"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&lt;0.001*</w:t>
            </w:r>
          </w:p>
        </w:tc>
        <w:tc>
          <w:tcPr>
            <w:tcW w:w="1358" w:type="pct"/>
            <w:noWrap/>
            <w:vAlign w:val="center"/>
            <w:hideMark/>
          </w:tcPr>
          <w:p w14:paraId="102F7F17"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&lt;0.001*</w:t>
            </w:r>
          </w:p>
        </w:tc>
        <w:tc>
          <w:tcPr>
            <w:tcW w:w="550" w:type="pct"/>
            <w:noWrap/>
            <w:vAlign w:val="center"/>
          </w:tcPr>
          <w:p w14:paraId="092B5B0B" w14:textId="77777777" w:rsidR="00D376D1" w:rsidRPr="00FE68F6" w:rsidRDefault="00D376D1" w:rsidP="002807B8">
            <w:pPr>
              <w:bidi w:val="0"/>
              <w:spacing w:after="120"/>
              <w:rPr>
                <w:color w:val="000000" w:themeColor="text1"/>
                <w:sz w:val="18"/>
                <w:szCs w:val="18"/>
                <w:lang w:bidi="ar-EG"/>
              </w:rPr>
            </w:pPr>
          </w:p>
        </w:tc>
      </w:tr>
      <w:tr w:rsidR="00D376D1" w:rsidRPr="00FE68F6" w14:paraId="0420FBFD" w14:textId="77777777" w:rsidTr="00BE4619">
        <w:tc>
          <w:tcPr>
            <w:tcW w:w="666" w:type="pct"/>
            <w:vMerge w:val="restart"/>
            <w:vAlign w:val="center"/>
          </w:tcPr>
          <w:p w14:paraId="79EB3108"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Fecal Calprotectin (µg/mg)</w:t>
            </w:r>
          </w:p>
        </w:tc>
        <w:tc>
          <w:tcPr>
            <w:tcW w:w="522" w:type="pct"/>
            <w:vMerge w:val="restart"/>
            <w:noWrap/>
            <w:vAlign w:val="center"/>
            <w:hideMark/>
          </w:tcPr>
          <w:p w14:paraId="4EC4E642"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Before</w:t>
            </w:r>
          </w:p>
        </w:tc>
        <w:tc>
          <w:tcPr>
            <w:tcW w:w="730" w:type="pct"/>
            <w:noWrap/>
            <w:vAlign w:val="center"/>
            <w:hideMark/>
          </w:tcPr>
          <w:p w14:paraId="72C2509C"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Median (IQR)</w:t>
            </w:r>
          </w:p>
        </w:tc>
        <w:tc>
          <w:tcPr>
            <w:tcW w:w="1174" w:type="pct"/>
            <w:noWrap/>
            <w:vAlign w:val="center"/>
            <w:hideMark/>
          </w:tcPr>
          <w:p w14:paraId="239B5A53"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804 (535- 1105)</w:t>
            </w:r>
          </w:p>
        </w:tc>
        <w:tc>
          <w:tcPr>
            <w:tcW w:w="1358" w:type="pct"/>
            <w:noWrap/>
            <w:vAlign w:val="center"/>
            <w:hideMark/>
          </w:tcPr>
          <w:p w14:paraId="19E4DA20"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600 (422.5 – 899.5)</w:t>
            </w:r>
          </w:p>
        </w:tc>
        <w:tc>
          <w:tcPr>
            <w:tcW w:w="550" w:type="pct"/>
            <w:vMerge w:val="restart"/>
            <w:noWrap/>
            <w:vAlign w:val="center"/>
            <w:hideMark/>
          </w:tcPr>
          <w:p w14:paraId="7B90CB66"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U$= 755.5</w:t>
            </w:r>
          </w:p>
          <w:p w14:paraId="7CD7F6B8" w14:textId="77777777" w:rsidR="00D376D1" w:rsidRPr="00FE68F6" w:rsidRDefault="00D376D1" w:rsidP="002807B8">
            <w:pPr>
              <w:bidi w:val="0"/>
              <w:spacing w:after="120"/>
              <w:rPr>
                <w:color w:val="000000" w:themeColor="text1"/>
                <w:sz w:val="18"/>
                <w:szCs w:val="18"/>
                <w:vertAlign w:val="superscript"/>
                <w:lang w:bidi="ar-EG"/>
              </w:rPr>
            </w:pPr>
            <w:r w:rsidRPr="00FE68F6">
              <w:rPr>
                <w:color w:val="000000" w:themeColor="text1"/>
                <w:sz w:val="18"/>
                <w:szCs w:val="18"/>
                <w:lang w:bidi="ar-EG"/>
              </w:rPr>
              <w:t>P=0.03</w:t>
            </w:r>
            <w:r w:rsidRPr="00FE68F6">
              <w:rPr>
                <w:color w:val="000000" w:themeColor="text1"/>
                <w:sz w:val="18"/>
                <w:szCs w:val="18"/>
                <w:vertAlign w:val="superscript"/>
                <w:lang w:bidi="ar-EG"/>
              </w:rPr>
              <w:t>*</w:t>
            </w:r>
          </w:p>
        </w:tc>
      </w:tr>
      <w:tr w:rsidR="00D376D1" w:rsidRPr="00FE68F6" w14:paraId="0FA7F558" w14:textId="77777777" w:rsidTr="00D376D1">
        <w:tc>
          <w:tcPr>
            <w:tcW w:w="666" w:type="pct"/>
            <w:vMerge/>
            <w:vAlign w:val="center"/>
            <w:hideMark/>
          </w:tcPr>
          <w:p w14:paraId="006FD83B"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5DC6EF34"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33D37855"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 xml:space="preserve">Range </w:t>
            </w:r>
          </w:p>
        </w:tc>
        <w:tc>
          <w:tcPr>
            <w:tcW w:w="1174" w:type="pct"/>
            <w:noWrap/>
            <w:vAlign w:val="center"/>
            <w:hideMark/>
          </w:tcPr>
          <w:p w14:paraId="52BC1D09"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26.0–2100.0</w:t>
            </w:r>
          </w:p>
        </w:tc>
        <w:tc>
          <w:tcPr>
            <w:tcW w:w="1358" w:type="pct"/>
            <w:noWrap/>
            <w:vAlign w:val="center"/>
            <w:hideMark/>
          </w:tcPr>
          <w:p w14:paraId="15B2B90A"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19.0–2683.0</w:t>
            </w:r>
          </w:p>
        </w:tc>
        <w:tc>
          <w:tcPr>
            <w:tcW w:w="550" w:type="pct"/>
            <w:vMerge/>
            <w:vAlign w:val="center"/>
            <w:hideMark/>
          </w:tcPr>
          <w:p w14:paraId="04717526" w14:textId="77777777" w:rsidR="00D376D1" w:rsidRPr="00FE68F6" w:rsidRDefault="00D376D1" w:rsidP="002807B8">
            <w:pPr>
              <w:bidi w:val="0"/>
              <w:rPr>
                <w:color w:val="000000" w:themeColor="text1"/>
                <w:sz w:val="18"/>
                <w:szCs w:val="18"/>
                <w:vertAlign w:val="superscript"/>
                <w:lang w:bidi="ar-EG"/>
              </w:rPr>
            </w:pPr>
          </w:p>
        </w:tc>
      </w:tr>
      <w:tr w:rsidR="00D376D1" w:rsidRPr="00FE68F6" w14:paraId="58E7C511" w14:textId="77777777" w:rsidTr="00D376D1">
        <w:tc>
          <w:tcPr>
            <w:tcW w:w="666" w:type="pct"/>
            <w:vMerge/>
            <w:vAlign w:val="center"/>
            <w:hideMark/>
          </w:tcPr>
          <w:p w14:paraId="397BEFD6" w14:textId="77777777" w:rsidR="00D376D1" w:rsidRPr="00FE68F6" w:rsidRDefault="00D376D1" w:rsidP="002807B8">
            <w:pPr>
              <w:bidi w:val="0"/>
              <w:rPr>
                <w:color w:val="000000" w:themeColor="text1"/>
                <w:sz w:val="18"/>
                <w:szCs w:val="18"/>
                <w:lang w:bidi="ar-EG"/>
              </w:rPr>
            </w:pPr>
          </w:p>
        </w:tc>
        <w:tc>
          <w:tcPr>
            <w:tcW w:w="522" w:type="pct"/>
            <w:vMerge w:val="restart"/>
            <w:noWrap/>
            <w:vAlign w:val="center"/>
            <w:hideMark/>
          </w:tcPr>
          <w:p w14:paraId="62ACA76D"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After</w:t>
            </w:r>
          </w:p>
        </w:tc>
        <w:tc>
          <w:tcPr>
            <w:tcW w:w="730" w:type="pct"/>
            <w:noWrap/>
            <w:vAlign w:val="center"/>
            <w:hideMark/>
          </w:tcPr>
          <w:p w14:paraId="149FF3C4"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Median (IQR)</w:t>
            </w:r>
          </w:p>
        </w:tc>
        <w:tc>
          <w:tcPr>
            <w:tcW w:w="1174" w:type="pct"/>
            <w:noWrap/>
            <w:vAlign w:val="center"/>
            <w:hideMark/>
          </w:tcPr>
          <w:p w14:paraId="575760A5"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599 (362.5- 875)</w:t>
            </w:r>
          </w:p>
        </w:tc>
        <w:tc>
          <w:tcPr>
            <w:tcW w:w="1358" w:type="pct"/>
            <w:noWrap/>
            <w:vAlign w:val="center"/>
            <w:hideMark/>
          </w:tcPr>
          <w:p w14:paraId="4E238DDB"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350 (254 – 520)</w:t>
            </w:r>
          </w:p>
        </w:tc>
        <w:tc>
          <w:tcPr>
            <w:tcW w:w="550" w:type="pct"/>
            <w:vMerge w:val="restart"/>
            <w:noWrap/>
            <w:vAlign w:val="center"/>
            <w:hideMark/>
          </w:tcPr>
          <w:p w14:paraId="4505E453" w14:textId="77777777" w:rsidR="00D376D1" w:rsidRPr="00FE68F6" w:rsidRDefault="00D376D1" w:rsidP="002807B8">
            <w:pPr>
              <w:tabs>
                <w:tab w:val="left" w:pos="3075"/>
              </w:tabs>
              <w:bidi w:val="0"/>
              <w:spacing w:after="160" w:line="256" w:lineRule="auto"/>
              <w:rPr>
                <w:rFonts w:eastAsia="Arial"/>
                <w:color w:val="000000" w:themeColor="text1"/>
                <w:sz w:val="18"/>
                <w:szCs w:val="18"/>
              </w:rPr>
            </w:pPr>
            <w:r w:rsidRPr="00FE68F6">
              <w:rPr>
                <w:rFonts w:eastAsia="Arial"/>
                <w:color w:val="000000" w:themeColor="text1"/>
                <w:sz w:val="18"/>
                <w:szCs w:val="18"/>
              </w:rPr>
              <w:t>U</w:t>
            </w:r>
            <w:r w:rsidRPr="00FE68F6">
              <w:rPr>
                <w:rFonts w:eastAsia="Arial"/>
                <w:color w:val="000000" w:themeColor="text1"/>
                <w:sz w:val="18"/>
                <w:szCs w:val="18"/>
                <w:vertAlign w:val="superscript"/>
              </w:rPr>
              <w:t>$</w:t>
            </w:r>
            <w:r w:rsidRPr="00FE68F6">
              <w:rPr>
                <w:rFonts w:eastAsia="Arial"/>
                <w:color w:val="000000" w:themeColor="text1"/>
                <w:sz w:val="18"/>
                <w:szCs w:val="18"/>
              </w:rPr>
              <w:t>=643.5</w:t>
            </w:r>
          </w:p>
          <w:p w14:paraId="0E150EDC" w14:textId="77777777" w:rsidR="00D376D1" w:rsidRPr="00FE68F6" w:rsidRDefault="00D376D1" w:rsidP="002807B8">
            <w:pPr>
              <w:bidi w:val="0"/>
              <w:spacing w:after="120"/>
              <w:rPr>
                <w:color w:val="000000" w:themeColor="text1"/>
                <w:sz w:val="18"/>
                <w:szCs w:val="18"/>
                <w:vertAlign w:val="superscript"/>
                <w:lang w:bidi="ar-EG"/>
              </w:rPr>
            </w:pPr>
            <w:r w:rsidRPr="00FE68F6">
              <w:rPr>
                <w:rFonts w:eastAsia="Arial"/>
                <w:color w:val="000000" w:themeColor="text1"/>
                <w:sz w:val="18"/>
                <w:szCs w:val="18"/>
              </w:rPr>
              <w:t>P=0.003</w:t>
            </w:r>
            <w:r w:rsidRPr="00FE68F6">
              <w:rPr>
                <w:rFonts w:eastAsia="Arial"/>
                <w:color w:val="000000" w:themeColor="text1"/>
                <w:sz w:val="18"/>
                <w:szCs w:val="18"/>
                <w:vertAlign w:val="superscript"/>
              </w:rPr>
              <w:t>*</w:t>
            </w:r>
          </w:p>
        </w:tc>
      </w:tr>
      <w:tr w:rsidR="00D376D1" w:rsidRPr="00FE68F6" w14:paraId="10A19E02" w14:textId="77777777" w:rsidTr="00D376D1">
        <w:tc>
          <w:tcPr>
            <w:tcW w:w="666" w:type="pct"/>
            <w:vMerge/>
            <w:vAlign w:val="center"/>
            <w:hideMark/>
          </w:tcPr>
          <w:p w14:paraId="4E801164" w14:textId="77777777" w:rsidR="00D376D1" w:rsidRPr="00FE68F6" w:rsidRDefault="00D376D1" w:rsidP="002807B8">
            <w:pPr>
              <w:bidi w:val="0"/>
              <w:rPr>
                <w:color w:val="000000" w:themeColor="text1"/>
                <w:sz w:val="18"/>
                <w:szCs w:val="18"/>
                <w:lang w:bidi="ar-EG"/>
              </w:rPr>
            </w:pPr>
          </w:p>
        </w:tc>
        <w:tc>
          <w:tcPr>
            <w:tcW w:w="522" w:type="pct"/>
            <w:vMerge/>
            <w:vAlign w:val="center"/>
            <w:hideMark/>
          </w:tcPr>
          <w:p w14:paraId="2227F89B" w14:textId="77777777" w:rsidR="00D376D1" w:rsidRPr="00FE68F6" w:rsidRDefault="00D376D1" w:rsidP="002807B8">
            <w:pPr>
              <w:bidi w:val="0"/>
              <w:rPr>
                <w:color w:val="000000" w:themeColor="text1"/>
                <w:sz w:val="18"/>
                <w:szCs w:val="18"/>
                <w:lang w:bidi="ar-EG"/>
              </w:rPr>
            </w:pPr>
          </w:p>
        </w:tc>
        <w:tc>
          <w:tcPr>
            <w:tcW w:w="730" w:type="pct"/>
            <w:noWrap/>
            <w:vAlign w:val="center"/>
            <w:hideMark/>
          </w:tcPr>
          <w:p w14:paraId="72790C86"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 xml:space="preserve">Range </w:t>
            </w:r>
          </w:p>
        </w:tc>
        <w:tc>
          <w:tcPr>
            <w:tcW w:w="1174" w:type="pct"/>
            <w:noWrap/>
            <w:vAlign w:val="center"/>
            <w:hideMark/>
          </w:tcPr>
          <w:p w14:paraId="28E2760E"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42.0–1332.0</w:t>
            </w:r>
          </w:p>
        </w:tc>
        <w:tc>
          <w:tcPr>
            <w:tcW w:w="1358" w:type="pct"/>
            <w:noWrap/>
            <w:vAlign w:val="center"/>
            <w:hideMark/>
          </w:tcPr>
          <w:p w14:paraId="12D7B6DA"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20.0–1200.0</w:t>
            </w:r>
          </w:p>
        </w:tc>
        <w:tc>
          <w:tcPr>
            <w:tcW w:w="550" w:type="pct"/>
            <w:vMerge/>
            <w:vAlign w:val="center"/>
            <w:hideMark/>
          </w:tcPr>
          <w:p w14:paraId="788E92C6" w14:textId="77777777" w:rsidR="00D376D1" w:rsidRPr="00FE68F6" w:rsidRDefault="00D376D1" w:rsidP="002807B8">
            <w:pPr>
              <w:bidi w:val="0"/>
              <w:rPr>
                <w:color w:val="000000" w:themeColor="text1"/>
                <w:sz w:val="18"/>
                <w:szCs w:val="18"/>
                <w:vertAlign w:val="superscript"/>
                <w:lang w:bidi="ar-EG"/>
              </w:rPr>
            </w:pPr>
          </w:p>
        </w:tc>
      </w:tr>
      <w:tr w:rsidR="00D376D1" w:rsidRPr="00FE68F6" w14:paraId="6052AC20" w14:textId="77777777" w:rsidTr="00BE4619">
        <w:tc>
          <w:tcPr>
            <w:tcW w:w="666" w:type="pct"/>
            <w:vMerge/>
            <w:tcBorders>
              <w:bottom w:val="single" w:sz="4" w:space="0" w:color="auto"/>
            </w:tcBorders>
            <w:vAlign w:val="center"/>
            <w:hideMark/>
          </w:tcPr>
          <w:p w14:paraId="233771BE" w14:textId="77777777" w:rsidR="00D376D1" w:rsidRPr="00FE68F6" w:rsidRDefault="00D376D1" w:rsidP="002807B8">
            <w:pPr>
              <w:bidi w:val="0"/>
              <w:rPr>
                <w:color w:val="000000" w:themeColor="text1"/>
                <w:sz w:val="18"/>
                <w:szCs w:val="18"/>
                <w:lang w:bidi="ar-EG"/>
              </w:rPr>
            </w:pPr>
          </w:p>
        </w:tc>
        <w:tc>
          <w:tcPr>
            <w:tcW w:w="1252" w:type="pct"/>
            <w:gridSpan w:val="2"/>
            <w:tcBorders>
              <w:bottom w:val="single" w:sz="4" w:space="0" w:color="auto"/>
            </w:tcBorders>
            <w:noWrap/>
            <w:vAlign w:val="center"/>
            <w:hideMark/>
          </w:tcPr>
          <w:p w14:paraId="211356A6" w14:textId="77777777" w:rsidR="00D376D1" w:rsidRPr="00FE68F6" w:rsidRDefault="00D376D1" w:rsidP="002807B8">
            <w:pPr>
              <w:bidi w:val="0"/>
              <w:spacing w:after="120"/>
              <w:rPr>
                <w:color w:val="000000" w:themeColor="text1"/>
                <w:sz w:val="18"/>
                <w:szCs w:val="18"/>
                <w:lang w:bidi="ar-EG"/>
              </w:rPr>
            </w:pPr>
            <w:r w:rsidRPr="00FE68F6">
              <w:rPr>
                <w:color w:val="000000" w:themeColor="text1"/>
                <w:sz w:val="18"/>
                <w:szCs w:val="18"/>
                <w:lang w:bidi="ar-EG"/>
              </w:rPr>
              <w:t>#p-value (times)</w:t>
            </w:r>
          </w:p>
        </w:tc>
        <w:tc>
          <w:tcPr>
            <w:tcW w:w="1174" w:type="pct"/>
            <w:tcBorders>
              <w:bottom w:val="single" w:sz="4" w:space="0" w:color="auto"/>
            </w:tcBorders>
            <w:noWrap/>
            <w:vAlign w:val="center"/>
            <w:hideMark/>
          </w:tcPr>
          <w:p w14:paraId="7DEFE2DC" w14:textId="77777777" w:rsidR="00D376D1" w:rsidRPr="00FE68F6" w:rsidRDefault="00D376D1" w:rsidP="002807B8">
            <w:pPr>
              <w:tabs>
                <w:tab w:val="left" w:pos="3075"/>
              </w:tabs>
              <w:bidi w:val="0"/>
              <w:spacing w:after="160" w:line="256" w:lineRule="auto"/>
              <w:rPr>
                <w:rFonts w:eastAsia="Arial"/>
                <w:color w:val="000000" w:themeColor="text1"/>
                <w:sz w:val="18"/>
                <w:szCs w:val="18"/>
              </w:rPr>
            </w:pPr>
            <w:r w:rsidRPr="00FE68F6">
              <w:rPr>
                <w:rFonts w:eastAsia="Arial"/>
                <w:color w:val="000000" w:themeColor="text1"/>
                <w:sz w:val="18"/>
                <w:szCs w:val="18"/>
              </w:rPr>
              <w:t>Z</w:t>
            </w:r>
            <w:r w:rsidRPr="00FE68F6">
              <w:rPr>
                <w:rFonts w:eastAsia="Arial"/>
                <w:color w:val="000000" w:themeColor="text1"/>
                <w:sz w:val="18"/>
                <w:szCs w:val="18"/>
                <w:vertAlign w:val="superscript"/>
              </w:rPr>
              <w:t>^</w:t>
            </w:r>
            <w:r w:rsidRPr="00FE68F6">
              <w:rPr>
                <w:rFonts w:eastAsia="Arial"/>
                <w:color w:val="000000" w:themeColor="text1"/>
                <w:sz w:val="18"/>
                <w:szCs w:val="18"/>
              </w:rPr>
              <w:t>= -3.5</w:t>
            </w:r>
          </w:p>
          <w:p w14:paraId="76DF19D7" w14:textId="77777777" w:rsidR="00D376D1" w:rsidRPr="00FE68F6" w:rsidRDefault="00D376D1" w:rsidP="002807B8">
            <w:pPr>
              <w:bidi w:val="0"/>
              <w:spacing w:after="120"/>
              <w:rPr>
                <w:color w:val="000000" w:themeColor="text1"/>
                <w:sz w:val="18"/>
                <w:szCs w:val="18"/>
                <w:vertAlign w:val="superscript"/>
                <w:lang w:bidi="ar-EG"/>
              </w:rPr>
            </w:pPr>
            <w:r w:rsidRPr="00FE68F6">
              <w:rPr>
                <w:rFonts w:eastAsia="Arial"/>
                <w:color w:val="000000" w:themeColor="text1"/>
                <w:sz w:val="18"/>
                <w:szCs w:val="18"/>
              </w:rPr>
              <w:t>P&lt;0.001</w:t>
            </w:r>
            <w:r w:rsidRPr="00FE68F6">
              <w:rPr>
                <w:rFonts w:eastAsia="Arial"/>
                <w:color w:val="000000" w:themeColor="text1"/>
                <w:sz w:val="18"/>
                <w:szCs w:val="18"/>
                <w:vertAlign w:val="superscript"/>
              </w:rPr>
              <w:t>*</w:t>
            </w:r>
          </w:p>
        </w:tc>
        <w:tc>
          <w:tcPr>
            <w:tcW w:w="1358" w:type="pct"/>
            <w:tcBorders>
              <w:bottom w:val="single" w:sz="4" w:space="0" w:color="auto"/>
            </w:tcBorders>
            <w:noWrap/>
            <w:vAlign w:val="center"/>
            <w:hideMark/>
          </w:tcPr>
          <w:p w14:paraId="67EF3A20" w14:textId="77777777" w:rsidR="00D376D1" w:rsidRPr="00FE68F6" w:rsidRDefault="00D376D1" w:rsidP="002807B8">
            <w:pPr>
              <w:tabs>
                <w:tab w:val="left" w:pos="3075"/>
              </w:tabs>
              <w:bidi w:val="0"/>
              <w:spacing w:after="160" w:line="256" w:lineRule="auto"/>
              <w:rPr>
                <w:rFonts w:eastAsia="Arial"/>
                <w:color w:val="000000" w:themeColor="text1"/>
                <w:sz w:val="18"/>
                <w:szCs w:val="18"/>
              </w:rPr>
            </w:pPr>
            <w:r w:rsidRPr="00FE68F6">
              <w:rPr>
                <w:rFonts w:eastAsia="Arial"/>
                <w:color w:val="000000" w:themeColor="text1"/>
                <w:sz w:val="18"/>
                <w:szCs w:val="18"/>
              </w:rPr>
              <w:t>Z</w:t>
            </w:r>
            <w:r w:rsidRPr="00FE68F6">
              <w:rPr>
                <w:rFonts w:eastAsia="Arial"/>
                <w:color w:val="000000" w:themeColor="text1"/>
                <w:sz w:val="18"/>
                <w:szCs w:val="18"/>
                <w:vertAlign w:val="superscript"/>
              </w:rPr>
              <w:t>^</w:t>
            </w:r>
            <w:r w:rsidRPr="00FE68F6">
              <w:rPr>
                <w:rFonts w:eastAsia="Arial"/>
                <w:color w:val="000000" w:themeColor="text1"/>
                <w:sz w:val="18"/>
                <w:szCs w:val="18"/>
              </w:rPr>
              <w:t>= -4.4</w:t>
            </w:r>
          </w:p>
          <w:p w14:paraId="5F95C28D" w14:textId="77777777" w:rsidR="00D376D1" w:rsidRPr="00FE68F6" w:rsidRDefault="00D376D1" w:rsidP="002807B8">
            <w:pPr>
              <w:bidi w:val="0"/>
              <w:spacing w:after="120"/>
              <w:rPr>
                <w:color w:val="000000" w:themeColor="text1"/>
                <w:sz w:val="18"/>
                <w:szCs w:val="18"/>
                <w:vertAlign w:val="superscript"/>
                <w:lang w:bidi="ar-EG"/>
              </w:rPr>
            </w:pPr>
            <w:r w:rsidRPr="00FE68F6">
              <w:rPr>
                <w:rFonts w:eastAsia="Arial"/>
                <w:color w:val="000000" w:themeColor="text1"/>
                <w:sz w:val="18"/>
                <w:szCs w:val="18"/>
              </w:rPr>
              <w:t>P&lt;0.001</w:t>
            </w:r>
            <w:r w:rsidRPr="00FE68F6">
              <w:rPr>
                <w:rFonts w:eastAsia="Arial"/>
                <w:color w:val="000000" w:themeColor="text1"/>
                <w:sz w:val="18"/>
                <w:szCs w:val="18"/>
                <w:vertAlign w:val="superscript"/>
              </w:rPr>
              <w:t>*</w:t>
            </w:r>
          </w:p>
        </w:tc>
        <w:tc>
          <w:tcPr>
            <w:tcW w:w="550" w:type="pct"/>
            <w:tcBorders>
              <w:bottom w:val="single" w:sz="4" w:space="0" w:color="auto"/>
            </w:tcBorders>
            <w:noWrap/>
            <w:vAlign w:val="center"/>
          </w:tcPr>
          <w:p w14:paraId="0F558EC4" w14:textId="77777777" w:rsidR="00D376D1" w:rsidRPr="00FE68F6" w:rsidRDefault="00D376D1" w:rsidP="00D376D1">
            <w:pPr>
              <w:keepNext/>
              <w:bidi w:val="0"/>
              <w:spacing w:after="120"/>
              <w:rPr>
                <w:color w:val="000000" w:themeColor="text1"/>
                <w:sz w:val="18"/>
                <w:szCs w:val="18"/>
                <w:lang w:bidi="ar-EG"/>
              </w:rPr>
            </w:pPr>
          </w:p>
        </w:tc>
      </w:tr>
    </w:tbl>
    <w:p w14:paraId="4EB7A137" w14:textId="77777777" w:rsidR="00D376D1" w:rsidRPr="00D376D1" w:rsidRDefault="00D376D1" w:rsidP="00D376D1">
      <w:pPr>
        <w:tabs>
          <w:tab w:val="left" w:pos="3075"/>
        </w:tabs>
        <w:bidi w:val="0"/>
        <w:jc w:val="both"/>
        <w:rPr>
          <w:color w:val="000000"/>
          <w:sz w:val="18"/>
          <w:szCs w:val="18"/>
        </w:rPr>
      </w:pPr>
      <w:r w:rsidRPr="00D376D1">
        <w:rPr>
          <w:color w:val="000000"/>
          <w:sz w:val="18"/>
          <w:szCs w:val="18"/>
        </w:rPr>
        <w:t>Data presented as n (%). # Chi-square test. §Fisher’s Exact test. ¤Marginal homogeneity test. *Significant.</w:t>
      </w:r>
      <w:r w:rsidRPr="00D376D1">
        <w:rPr>
          <w:color w:val="000000"/>
          <w:sz w:val="18"/>
          <w:szCs w:val="18"/>
          <w:vertAlign w:val="superscript"/>
        </w:rPr>
        <w:t xml:space="preserve"> $</w:t>
      </w:r>
      <w:r w:rsidRPr="00D376D1">
        <w:rPr>
          <w:color w:val="000000"/>
          <w:sz w:val="18"/>
          <w:szCs w:val="18"/>
        </w:rPr>
        <w:t xml:space="preserve"> Mann-Whitney. </w:t>
      </w:r>
      <w:r w:rsidRPr="00D376D1">
        <w:rPr>
          <w:color w:val="000000"/>
          <w:sz w:val="18"/>
          <w:szCs w:val="18"/>
          <w:vertAlign w:val="superscript"/>
        </w:rPr>
        <w:t xml:space="preserve">^ </w:t>
      </w:r>
      <w:r w:rsidRPr="00D376D1">
        <w:rPr>
          <w:color w:val="000000"/>
          <w:sz w:val="18"/>
          <w:szCs w:val="18"/>
        </w:rPr>
        <w:t>Wilcoxon Signed Ranks Test.</w:t>
      </w:r>
    </w:p>
    <w:p w14:paraId="75B093FE" w14:textId="77777777" w:rsidR="00D376D1" w:rsidRPr="00D376D1" w:rsidRDefault="00D376D1" w:rsidP="00D376D1">
      <w:pPr>
        <w:tabs>
          <w:tab w:val="left" w:pos="3075"/>
        </w:tabs>
        <w:bidi w:val="0"/>
        <w:jc w:val="both"/>
        <w:rPr>
          <w:color w:val="000000"/>
          <w:sz w:val="18"/>
          <w:szCs w:val="18"/>
        </w:rPr>
      </w:pPr>
    </w:p>
    <w:p w14:paraId="17A1ABC4" w14:textId="36826178" w:rsidR="003D2DCE" w:rsidRDefault="00A57B89" w:rsidP="00BE4619">
      <w:pPr>
        <w:pStyle w:val="Heading1"/>
        <w:ind w:firstLine="720"/>
        <w:rPr>
          <w:rFonts w:eastAsia="SimSun"/>
          <w:color w:val="auto"/>
          <w:sz w:val="24"/>
          <w:szCs w:val="24"/>
          <w:lang w:eastAsia="zh-CN"/>
        </w:rPr>
      </w:pPr>
      <w:r w:rsidRPr="00E7572F">
        <w:rPr>
          <w:rFonts w:eastAsia="SimSun"/>
          <w:b w:val="0"/>
          <w:bCs w:val="0"/>
          <w:color w:val="auto"/>
          <w:sz w:val="24"/>
          <w:szCs w:val="24"/>
          <w:lang w:eastAsia="zh-CN"/>
        </w:rPr>
        <w:t xml:space="preserve">The comparison of treatment responses in the fistula group revealed significant improvements in CDAI score, ESR, and CRP in the surgery, infliximab, and adalimumab groups. Additionally, improvements in pathology and FCP were statistically significant in the infliximab and surgery groups, </w:t>
      </w:r>
      <w:r w:rsidR="00EF7B83">
        <w:rPr>
          <w:rFonts w:eastAsia="SimSun"/>
          <w:b w:val="0"/>
          <w:bCs w:val="0"/>
          <w:color w:val="auto"/>
          <w:sz w:val="24"/>
          <w:szCs w:val="24"/>
          <w:lang w:eastAsia="zh-CN"/>
        </w:rPr>
        <w:t>whereas no significant changes were observed in the adalimumab group Tab 5</w:t>
      </w:r>
      <w:r w:rsidR="00EF7B83">
        <w:rPr>
          <w:rFonts w:eastAsia="SimSun"/>
          <w:color w:val="auto"/>
          <w:sz w:val="24"/>
          <w:szCs w:val="24"/>
          <w:lang w:eastAsia="zh-CN"/>
        </w:rPr>
        <w:t>.</w:t>
      </w:r>
    </w:p>
    <w:p w14:paraId="1B26E92F" w14:textId="23FAA549" w:rsidR="00FE68F6" w:rsidRPr="00FE68F6" w:rsidRDefault="00FE68F6" w:rsidP="00FE68F6">
      <w:pPr>
        <w:pStyle w:val="Caption"/>
        <w:rPr>
          <w:b w:val="0"/>
          <w:bCs w:val="0"/>
          <w:sz w:val="20"/>
          <w:szCs w:val="20"/>
          <w:lang w:val="en-US"/>
        </w:rPr>
      </w:pPr>
      <w:r w:rsidRPr="00FE68F6">
        <w:rPr>
          <w:b w:val="0"/>
          <w:bCs w:val="0"/>
          <w:sz w:val="20"/>
          <w:szCs w:val="20"/>
        </w:rPr>
        <w:t xml:space="preserve">Table </w:t>
      </w:r>
      <w:r w:rsidRPr="00FE68F6">
        <w:rPr>
          <w:b w:val="0"/>
          <w:bCs w:val="0"/>
          <w:sz w:val="20"/>
          <w:szCs w:val="20"/>
        </w:rPr>
        <w:fldChar w:fldCharType="begin"/>
      </w:r>
      <w:r w:rsidRPr="00FE68F6">
        <w:rPr>
          <w:b w:val="0"/>
          <w:bCs w:val="0"/>
          <w:sz w:val="20"/>
          <w:szCs w:val="20"/>
        </w:rPr>
        <w:instrText xml:space="preserve"> SEQ Table \* ARABIC </w:instrText>
      </w:r>
      <w:r w:rsidRPr="00FE68F6">
        <w:rPr>
          <w:b w:val="0"/>
          <w:bCs w:val="0"/>
          <w:sz w:val="20"/>
          <w:szCs w:val="20"/>
        </w:rPr>
        <w:fldChar w:fldCharType="separate"/>
      </w:r>
      <w:r w:rsidR="00042FA0">
        <w:rPr>
          <w:b w:val="0"/>
          <w:bCs w:val="0"/>
          <w:noProof/>
          <w:sz w:val="20"/>
          <w:szCs w:val="20"/>
        </w:rPr>
        <w:t>5</w:t>
      </w:r>
      <w:r w:rsidRPr="00FE68F6">
        <w:rPr>
          <w:b w:val="0"/>
          <w:bCs w:val="0"/>
          <w:sz w:val="20"/>
          <w:szCs w:val="20"/>
        </w:rPr>
        <w:fldChar w:fldCharType="end"/>
      </w:r>
      <w:r w:rsidRPr="00FE68F6">
        <w:rPr>
          <w:b w:val="0"/>
          <w:bCs w:val="0"/>
          <w:sz w:val="20"/>
          <w:szCs w:val="20"/>
        </w:rPr>
        <w:t xml:space="preserve">. </w:t>
      </w:r>
      <w:r w:rsidRPr="00FE68F6">
        <w:rPr>
          <w:b w:val="0"/>
          <w:bCs w:val="0"/>
          <w:sz w:val="20"/>
          <w:szCs w:val="20"/>
          <w:lang w:val="en-US"/>
        </w:rPr>
        <w:t xml:space="preserve">Comparison between management plans of patients in the fistula group regarding </w:t>
      </w:r>
      <w:proofErr w:type="spellStart"/>
      <w:r w:rsidRPr="00FE68F6">
        <w:rPr>
          <w:b w:val="0"/>
          <w:bCs w:val="0"/>
          <w:sz w:val="20"/>
          <w:szCs w:val="20"/>
          <w:lang w:val="en-US"/>
        </w:rPr>
        <w:t>colonoscopic</w:t>
      </w:r>
      <w:proofErr w:type="spellEnd"/>
      <w:r w:rsidRPr="00FE68F6">
        <w:rPr>
          <w:b w:val="0"/>
          <w:bCs w:val="0"/>
          <w:sz w:val="20"/>
          <w:szCs w:val="20"/>
          <w:lang w:val="en-US"/>
        </w:rPr>
        <w:t xml:space="preserve"> pathology findings, CDAI score, and Labs (ESR, CRP, and FCP) before and after treatment</w:t>
      </w:r>
    </w:p>
    <w:tbl>
      <w:tblPr>
        <w:tblW w:w="5000" w:type="pct"/>
        <w:jc w:val="center"/>
        <w:tblLook w:val="04A0" w:firstRow="1" w:lastRow="0" w:firstColumn="1" w:lastColumn="0" w:noHBand="0" w:noVBand="1"/>
        <w:tblCaption w:val="Table 5. Comparison between management plans of patients in the fistula group regarding colonoscopic pathology findings, CDAI score, and Labs (ESR, CRP, and FCP) before and after treatment"/>
        <w:tblDescription w:val="Data presented as n (%). .§Fisher’s Exact test. ¤Marginal homogeneity test. #Wilcoxon Signed Ranks Test."/>
      </w:tblPr>
      <w:tblGrid>
        <w:gridCol w:w="1192"/>
        <w:gridCol w:w="1092"/>
        <w:gridCol w:w="1024"/>
        <w:gridCol w:w="1396"/>
        <w:gridCol w:w="1226"/>
        <w:gridCol w:w="2183"/>
        <w:gridCol w:w="914"/>
      </w:tblGrid>
      <w:tr w:rsidR="00FE68F6" w:rsidRPr="00C805FB" w14:paraId="52AD0E22" w14:textId="77777777" w:rsidTr="009A0D61">
        <w:trPr>
          <w:jc w:val="center"/>
        </w:trPr>
        <w:tc>
          <w:tcPr>
            <w:tcW w:w="1833" w:type="pct"/>
            <w:gridSpan w:val="3"/>
            <w:tcBorders>
              <w:top w:val="single" w:sz="4" w:space="0" w:color="auto"/>
              <w:bottom w:val="single" w:sz="4" w:space="0" w:color="auto"/>
            </w:tcBorders>
            <w:hideMark/>
          </w:tcPr>
          <w:p w14:paraId="4D310EC2"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Time</w:t>
            </w:r>
          </w:p>
        </w:tc>
        <w:tc>
          <w:tcPr>
            <w:tcW w:w="773" w:type="pct"/>
            <w:tcBorders>
              <w:top w:val="single" w:sz="4" w:space="0" w:color="auto"/>
              <w:bottom w:val="single" w:sz="4" w:space="0" w:color="auto"/>
            </w:tcBorders>
            <w:noWrap/>
            <w:vAlign w:val="center"/>
            <w:hideMark/>
          </w:tcPr>
          <w:p w14:paraId="6E0FF6C6"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Surgery</w:t>
            </w:r>
          </w:p>
          <w:p w14:paraId="757B0303"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(Total=14)</w:t>
            </w:r>
          </w:p>
        </w:tc>
        <w:tc>
          <w:tcPr>
            <w:tcW w:w="679" w:type="pct"/>
            <w:tcBorders>
              <w:top w:val="single" w:sz="4" w:space="0" w:color="auto"/>
              <w:bottom w:val="single" w:sz="4" w:space="0" w:color="auto"/>
            </w:tcBorders>
            <w:vAlign w:val="center"/>
            <w:hideMark/>
          </w:tcPr>
          <w:p w14:paraId="0B2F7850"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Infliximab</w:t>
            </w:r>
          </w:p>
          <w:p w14:paraId="37275008"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(Total=24)</w:t>
            </w:r>
          </w:p>
        </w:tc>
        <w:tc>
          <w:tcPr>
            <w:tcW w:w="1209" w:type="pct"/>
            <w:tcBorders>
              <w:top w:val="single" w:sz="4" w:space="0" w:color="auto"/>
              <w:bottom w:val="single" w:sz="4" w:space="0" w:color="auto"/>
            </w:tcBorders>
            <w:noWrap/>
            <w:vAlign w:val="center"/>
            <w:hideMark/>
          </w:tcPr>
          <w:p w14:paraId="7A361AD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val="en-GB" w:bidi="ar-EG"/>
              </w:rPr>
              <w:t>Adalimumab</w:t>
            </w:r>
            <w:r w:rsidRPr="00C805FB">
              <w:rPr>
                <w:color w:val="000000" w:themeColor="text1"/>
                <w:sz w:val="18"/>
                <w:szCs w:val="18"/>
                <w:lang w:bidi="ar-EG"/>
              </w:rPr>
              <w:t xml:space="preserve"> (Total=5)</w:t>
            </w:r>
          </w:p>
        </w:tc>
        <w:tc>
          <w:tcPr>
            <w:tcW w:w="506" w:type="pct"/>
            <w:tcBorders>
              <w:top w:val="single" w:sz="4" w:space="0" w:color="auto"/>
              <w:bottom w:val="single" w:sz="4" w:space="0" w:color="auto"/>
            </w:tcBorders>
            <w:noWrap/>
            <w:vAlign w:val="center"/>
            <w:hideMark/>
          </w:tcPr>
          <w:p w14:paraId="08B1C04C"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p-value</w:t>
            </w:r>
          </w:p>
          <w:p w14:paraId="262ACAA6"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(groups)</w:t>
            </w:r>
          </w:p>
        </w:tc>
      </w:tr>
      <w:tr w:rsidR="009A0D61" w:rsidRPr="00C805FB" w14:paraId="03AF1C67" w14:textId="77777777" w:rsidTr="009A0D61">
        <w:trPr>
          <w:jc w:val="center"/>
        </w:trPr>
        <w:tc>
          <w:tcPr>
            <w:tcW w:w="661" w:type="pct"/>
            <w:vMerge w:val="restart"/>
            <w:tcBorders>
              <w:top w:val="single" w:sz="4" w:space="0" w:color="auto"/>
            </w:tcBorders>
            <w:vAlign w:val="center"/>
          </w:tcPr>
          <w:p w14:paraId="7D9DD9E6" w14:textId="77777777" w:rsidR="00FE68F6" w:rsidRPr="00C805FB" w:rsidRDefault="00FE68F6" w:rsidP="00830E6D">
            <w:pPr>
              <w:bidi w:val="0"/>
              <w:spacing w:before="120" w:after="120"/>
              <w:rPr>
                <w:color w:val="000000" w:themeColor="text1"/>
                <w:sz w:val="18"/>
                <w:szCs w:val="18"/>
                <w:lang w:bidi="ar-EG"/>
              </w:rPr>
            </w:pPr>
            <w:proofErr w:type="spellStart"/>
            <w:r w:rsidRPr="00C805FB">
              <w:rPr>
                <w:color w:val="000000" w:themeColor="text1"/>
                <w:sz w:val="18"/>
                <w:szCs w:val="18"/>
                <w:lang w:bidi="ar-EG"/>
              </w:rPr>
              <w:t>colonoscopic</w:t>
            </w:r>
            <w:proofErr w:type="spellEnd"/>
            <w:r w:rsidRPr="00C805FB">
              <w:rPr>
                <w:color w:val="000000" w:themeColor="text1"/>
                <w:sz w:val="18"/>
                <w:szCs w:val="18"/>
                <w:lang w:bidi="ar-EG"/>
              </w:rPr>
              <w:t xml:space="preserve"> pathology</w:t>
            </w:r>
          </w:p>
          <w:p w14:paraId="2BBD4FC1"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(SES-CD)</w:t>
            </w:r>
          </w:p>
        </w:tc>
        <w:tc>
          <w:tcPr>
            <w:tcW w:w="605" w:type="pct"/>
            <w:vMerge w:val="restart"/>
            <w:tcBorders>
              <w:top w:val="single" w:sz="4" w:space="0" w:color="auto"/>
            </w:tcBorders>
            <w:noWrap/>
            <w:vAlign w:val="center"/>
            <w:hideMark/>
          </w:tcPr>
          <w:p w14:paraId="18A97B0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Before</w:t>
            </w:r>
          </w:p>
        </w:tc>
        <w:tc>
          <w:tcPr>
            <w:tcW w:w="567" w:type="pct"/>
            <w:tcBorders>
              <w:top w:val="single" w:sz="4" w:space="0" w:color="auto"/>
            </w:tcBorders>
            <w:noWrap/>
            <w:vAlign w:val="center"/>
            <w:hideMark/>
          </w:tcPr>
          <w:p w14:paraId="38E276B1"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Mild</w:t>
            </w:r>
          </w:p>
        </w:tc>
        <w:tc>
          <w:tcPr>
            <w:tcW w:w="773" w:type="pct"/>
            <w:tcBorders>
              <w:top w:val="single" w:sz="4" w:space="0" w:color="auto"/>
            </w:tcBorders>
            <w:noWrap/>
            <w:vAlign w:val="center"/>
            <w:hideMark/>
          </w:tcPr>
          <w:p w14:paraId="62F03D64"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3 (21.4%)</w:t>
            </w:r>
          </w:p>
        </w:tc>
        <w:tc>
          <w:tcPr>
            <w:tcW w:w="679" w:type="pct"/>
            <w:tcBorders>
              <w:top w:val="single" w:sz="4" w:space="0" w:color="auto"/>
            </w:tcBorders>
            <w:vAlign w:val="center"/>
            <w:hideMark/>
          </w:tcPr>
          <w:p w14:paraId="356FFE0B"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3 (12.5%)</w:t>
            </w:r>
          </w:p>
        </w:tc>
        <w:tc>
          <w:tcPr>
            <w:tcW w:w="1209" w:type="pct"/>
            <w:tcBorders>
              <w:top w:val="single" w:sz="4" w:space="0" w:color="auto"/>
            </w:tcBorders>
            <w:noWrap/>
            <w:vAlign w:val="center"/>
            <w:hideMark/>
          </w:tcPr>
          <w:p w14:paraId="2471C83C"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1 (20.0%)</w:t>
            </w:r>
          </w:p>
        </w:tc>
        <w:tc>
          <w:tcPr>
            <w:tcW w:w="506" w:type="pct"/>
            <w:vMerge w:val="restart"/>
            <w:tcBorders>
              <w:top w:val="single" w:sz="4" w:space="0" w:color="auto"/>
            </w:tcBorders>
            <w:noWrap/>
            <w:vAlign w:val="center"/>
            <w:hideMark/>
          </w:tcPr>
          <w:p w14:paraId="3C1B7047"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§0.968</w:t>
            </w:r>
          </w:p>
        </w:tc>
      </w:tr>
      <w:tr w:rsidR="009A0D61" w:rsidRPr="00C805FB" w14:paraId="2C6CD105" w14:textId="77777777" w:rsidTr="009A0D61">
        <w:trPr>
          <w:jc w:val="center"/>
        </w:trPr>
        <w:tc>
          <w:tcPr>
            <w:tcW w:w="661" w:type="pct"/>
            <w:vMerge/>
            <w:vAlign w:val="center"/>
            <w:hideMark/>
          </w:tcPr>
          <w:p w14:paraId="6FE14F44" w14:textId="77777777" w:rsidR="00FE68F6" w:rsidRPr="00C805FB" w:rsidRDefault="00FE68F6" w:rsidP="00830E6D">
            <w:pPr>
              <w:bidi w:val="0"/>
              <w:rPr>
                <w:color w:val="000000" w:themeColor="text1"/>
                <w:sz w:val="18"/>
                <w:szCs w:val="18"/>
                <w:lang w:bidi="ar-EG"/>
              </w:rPr>
            </w:pPr>
          </w:p>
        </w:tc>
        <w:tc>
          <w:tcPr>
            <w:tcW w:w="605" w:type="pct"/>
            <w:vMerge/>
            <w:vAlign w:val="center"/>
            <w:hideMark/>
          </w:tcPr>
          <w:p w14:paraId="31AAD838" w14:textId="77777777" w:rsidR="00FE68F6" w:rsidRPr="00C805FB" w:rsidRDefault="00FE68F6" w:rsidP="00830E6D">
            <w:pPr>
              <w:bidi w:val="0"/>
              <w:rPr>
                <w:color w:val="000000" w:themeColor="text1"/>
                <w:sz w:val="18"/>
                <w:szCs w:val="18"/>
                <w:lang w:bidi="ar-EG"/>
              </w:rPr>
            </w:pPr>
          </w:p>
        </w:tc>
        <w:tc>
          <w:tcPr>
            <w:tcW w:w="567" w:type="pct"/>
            <w:noWrap/>
            <w:vAlign w:val="center"/>
            <w:hideMark/>
          </w:tcPr>
          <w:p w14:paraId="0235A135"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Moderate</w:t>
            </w:r>
          </w:p>
        </w:tc>
        <w:tc>
          <w:tcPr>
            <w:tcW w:w="773" w:type="pct"/>
            <w:noWrap/>
            <w:vAlign w:val="center"/>
            <w:hideMark/>
          </w:tcPr>
          <w:p w14:paraId="5E761EF5"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6 (42.9%)</w:t>
            </w:r>
          </w:p>
        </w:tc>
        <w:tc>
          <w:tcPr>
            <w:tcW w:w="679" w:type="pct"/>
            <w:vAlign w:val="center"/>
            <w:hideMark/>
          </w:tcPr>
          <w:p w14:paraId="748E7964"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11 (45.8%)</w:t>
            </w:r>
          </w:p>
        </w:tc>
        <w:tc>
          <w:tcPr>
            <w:tcW w:w="1209" w:type="pct"/>
            <w:noWrap/>
            <w:vAlign w:val="center"/>
            <w:hideMark/>
          </w:tcPr>
          <w:p w14:paraId="18D3E0C0"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2 (40.0%)</w:t>
            </w:r>
          </w:p>
        </w:tc>
        <w:tc>
          <w:tcPr>
            <w:tcW w:w="506" w:type="pct"/>
            <w:vMerge/>
            <w:vAlign w:val="center"/>
            <w:hideMark/>
          </w:tcPr>
          <w:p w14:paraId="1361DD20" w14:textId="77777777" w:rsidR="00FE68F6" w:rsidRPr="00C805FB" w:rsidRDefault="00FE68F6" w:rsidP="00830E6D">
            <w:pPr>
              <w:bidi w:val="0"/>
              <w:rPr>
                <w:color w:val="000000" w:themeColor="text1"/>
                <w:sz w:val="18"/>
                <w:szCs w:val="18"/>
                <w:lang w:bidi="ar-EG"/>
              </w:rPr>
            </w:pPr>
          </w:p>
        </w:tc>
      </w:tr>
      <w:tr w:rsidR="009A0D61" w:rsidRPr="00C805FB" w14:paraId="31835EB8" w14:textId="77777777" w:rsidTr="009A0D61">
        <w:trPr>
          <w:jc w:val="center"/>
        </w:trPr>
        <w:tc>
          <w:tcPr>
            <w:tcW w:w="661" w:type="pct"/>
            <w:vMerge/>
            <w:vAlign w:val="center"/>
            <w:hideMark/>
          </w:tcPr>
          <w:p w14:paraId="659B6FBA" w14:textId="77777777" w:rsidR="00FE68F6" w:rsidRPr="00C805FB" w:rsidRDefault="00FE68F6" w:rsidP="00830E6D">
            <w:pPr>
              <w:bidi w:val="0"/>
              <w:rPr>
                <w:color w:val="000000" w:themeColor="text1"/>
                <w:sz w:val="18"/>
                <w:szCs w:val="18"/>
                <w:lang w:bidi="ar-EG"/>
              </w:rPr>
            </w:pPr>
          </w:p>
        </w:tc>
        <w:tc>
          <w:tcPr>
            <w:tcW w:w="605" w:type="pct"/>
            <w:vMerge/>
            <w:vAlign w:val="center"/>
            <w:hideMark/>
          </w:tcPr>
          <w:p w14:paraId="171A1448" w14:textId="77777777" w:rsidR="00FE68F6" w:rsidRPr="00C805FB" w:rsidRDefault="00FE68F6" w:rsidP="00830E6D">
            <w:pPr>
              <w:bidi w:val="0"/>
              <w:rPr>
                <w:color w:val="000000" w:themeColor="text1"/>
                <w:sz w:val="18"/>
                <w:szCs w:val="18"/>
                <w:lang w:bidi="ar-EG"/>
              </w:rPr>
            </w:pPr>
          </w:p>
        </w:tc>
        <w:tc>
          <w:tcPr>
            <w:tcW w:w="567" w:type="pct"/>
            <w:noWrap/>
            <w:vAlign w:val="center"/>
            <w:hideMark/>
          </w:tcPr>
          <w:p w14:paraId="5E88BC3C"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Severe</w:t>
            </w:r>
          </w:p>
        </w:tc>
        <w:tc>
          <w:tcPr>
            <w:tcW w:w="773" w:type="pct"/>
            <w:noWrap/>
            <w:vAlign w:val="center"/>
            <w:hideMark/>
          </w:tcPr>
          <w:p w14:paraId="3EAA3ED6"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5 (35.7%)</w:t>
            </w:r>
          </w:p>
        </w:tc>
        <w:tc>
          <w:tcPr>
            <w:tcW w:w="679" w:type="pct"/>
            <w:vAlign w:val="center"/>
            <w:hideMark/>
          </w:tcPr>
          <w:p w14:paraId="243966F2"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10 (41.7%)</w:t>
            </w:r>
          </w:p>
        </w:tc>
        <w:tc>
          <w:tcPr>
            <w:tcW w:w="1209" w:type="pct"/>
            <w:noWrap/>
            <w:vAlign w:val="center"/>
            <w:hideMark/>
          </w:tcPr>
          <w:p w14:paraId="492F052A"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2 (40.0%)</w:t>
            </w:r>
          </w:p>
        </w:tc>
        <w:tc>
          <w:tcPr>
            <w:tcW w:w="506" w:type="pct"/>
            <w:vMerge/>
            <w:vAlign w:val="center"/>
            <w:hideMark/>
          </w:tcPr>
          <w:p w14:paraId="2BE5FF64" w14:textId="77777777" w:rsidR="00FE68F6" w:rsidRPr="00C805FB" w:rsidRDefault="00FE68F6" w:rsidP="00830E6D">
            <w:pPr>
              <w:bidi w:val="0"/>
              <w:rPr>
                <w:color w:val="000000" w:themeColor="text1"/>
                <w:sz w:val="18"/>
                <w:szCs w:val="18"/>
                <w:lang w:bidi="ar-EG"/>
              </w:rPr>
            </w:pPr>
          </w:p>
        </w:tc>
      </w:tr>
      <w:tr w:rsidR="009A0D61" w:rsidRPr="00C805FB" w14:paraId="43713934" w14:textId="77777777" w:rsidTr="009A0D61">
        <w:trPr>
          <w:jc w:val="center"/>
        </w:trPr>
        <w:tc>
          <w:tcPr>
            <w:tcW w:w="661" w:type="pct"/>
            <w:vMerge/>
            <w:vAlign w:val="center"/>
            <w:hideMark/>
          </w:tcPr>
          <w:p w14:paraId="17D585F3" w14:textId="77777777" w:rsidR="00FE68F6" w:rsidRPr="00C805FB" w:rsidRDefault="00FE68F6" w:rsidP="00830E6D">
            <w:pPr>
              <w:bidi w:val="0"/>
              <w:rPr>
                <w:color w:val="000000" w:themeColor="text1"/>
                <w:sz w:val="18"/>
                <w:szCs w:val="18"/>
                <w:lang w:bidi="ar-EG"/>
              </w:rPr>
            </w:pPr>
          </w:p>
        </w:tc>
        <w:tc>
          <w:tcPr>
            <w:tcW w:w="605" w:type="pct"/>
            <w:vMerge w:val="restart"/>
            <w:noWrap/>
            <w:vAlign w:val="center"/>
            <w:hideMark/>
          </w:tcPr>
          <w:p w14:paraId="75806B3A"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After</w:t>
            </w:r>
          </w:p>
        </w:tc>
        <w:tc>
          <w:tcPr>
            <w:tcW w:w="567" w:type="pct"/>
            <w:noWrap/>
            <w:vAlign w:val="center"/>
            <w:hideMark/>
          </w:tcPr>
          <w:p w14:paraId="5A9E99DD"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Normal</w:t>
            </w:r>
          </w:p>
        </w:tc>
        <w:tc>
          <w:tcPr>
            <w:tcW w:w="773" w:type="pct"/>
            <w:noWrap/>
            <w:vAlign w:val="center"/>
            <w:hideMark/>
          </w:tcPr>
          <w:p w14:paraId="11818EA0"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 (0.0%)</w:t>
            </w:r>
          </w:p>
        </w:tc>
        <w:tc>
          <w:tcPr>
            <w:tcW w:w="679" w:type="pct"/>
            <w:vAlign w:val="center"/>
            <w:hideMark/>
          </w:tcPr>
          <w:p w14:paraId="324953B6"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2 (8.3%)</w:t>
            </w:r>
          </w:p>
        </w:tc>
        <w:tc>
          <w:tcPr>
            <w:tcW w:w="1209" w:type="pct"/>
            <w:noWrap/>
            <w:vAlign w:val="center"/>
            <w:hideMark/>
          </w:tcPr>
          <w:p w14:paraId="421D40D0"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 (0.0%)</w:t>
            </w:r>
          </w:p>
        </w:tc>
        <w:tc>
          <w:tcPr>
            <w:tcW w:w="506" w:type="pct"/>
            <w:vMerge w:val="restart"/>
            <w:noWrap/>
            <w:vAlign w:val="center"/>
            <w:hideMark/>
          </w:tcPr>
          <w:p w14:paraId="774C4147"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§0.313</w:t>
            </w:r>
          </w:p>
        </w:tc>
      </w:tr>
      <w:tr w:rsidR="009A0D61" w:rsidRPr="00C805FB" w14:paraId="461535BD" w14:textId="77777777" w:rsidTr="009A0D61">
        <w:trPr>
          <w:jc w:val="center"/>
        </w:trPr>
        <w:tc>
          <w:tcPr>
            <w:tcW w:w="661" w:type="pct"/>
            <w:vMerge/>
            <w:vAlign w:val="center"/>
            <w:hideMark/>
          </w:tcPr>
          <w:p w14:paraId="69AC55D5" w14:textId="77777777" w:rsidR="00FE68F6" w:rsidRPr="00C805FB" w:rsidRDefault="00FE68F6" w:rsidP="00830E6D">
            <w:pPr>
              <w:bidi w:val="0"/>
              <w:rPr>
                <w:color w:val="000000" w:themeColor="text1"/>
                <w:sz w:val="18"/>
                <w:szCs w:val="18"/>
                <w:lang w:bidi="ar-EG"/>
              </w:rPr>
            </w:pPr>
          </w:p>
        </w:tc>
        <w:tc>
          <w:tcPr>
            <w:tcW w:w="605" w:type="pct"/>
            <w:vMerge/>
            <w:vAlign w:val="center"/>
            <w:hideMark/>
          </w:tcPr>
          <w:p w14:paraId="1365B355" w14:textId="77777777" w:rsidR="00FE68F6" w:rsidRPr="00C805FB" w:rsidRDefault="00FE68F6" w:rsidP="00830E6D">
            <w:pPr>
              <w:bidi w:val="0"/>
              <w:rPr>
                <w:color w:val="000000" w:themeColor="text1"/>
                <w:sz w:val="18"/>
                <w:szCs w:val="18"/>
                <w:lang w:bidi="ar-EG"/>
              </w:rPr>
            </w:pPr>
          </w:p>
        </w:tc>
        <w:tc>
          <w:tcPr>
            <w:tcW w:w="567" w:type="pct"/>
            <w:noWrap/>
            <w:vAlign w:val="center"/>
            <w:hideMark/>
          </w:tcPr>
          <w:p w14:paraId="3F9D8D62"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Mild</w:t>
            </w:r>
          </w:p>
        </w:tc>
        <w:tc>
          <w:tcPr>
            <w:tcW w:w="773" w:type="pct"/>
            <w:noWrap/>
            <w:vAlign w:val="center"/>
            <w:hideMark/>
          </w:tcPr>
          <w:p w14:paraId="1A45C9B6"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8 (57.1%)</w:t>
            </w:r>
          </w:p>
        </w:tc>
        <w:tc>
          <w:tcPr>
            <w:tcW w:w="679" w:type="pct"/>
            <w:vAlign w:val="center"/>
            <w:hideMark/>
          </w:tcPr>
          <w:p w14:paraId="02580E2F"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17 (70.8%)</w:t>
            </w:r>
          </w:p>
        </w:tc>
        <w:tc>
          <w:tcPr>
            <w:tcW w:w="1209" w:type="pct"/>
            <w:noWrap/>
            <w:vAlign w:val="center"/>
            <w:hideMark/>
          </w:tcPr>
          <w:p w14:paraId="0724C3FF"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2 (40.0%)</w:t>
            </w:r>
          </w:p>
        </w:tc>
        <w:tc>
          <w:tcPr>
            <w:tcW w:w="506" w:type="pct"/>
            <w:vMerge/>
            <w:vAlign w:val="center"/>
            <w:hideMark/>
          </w:tcPr>
          <w:p w14:paraId="287FB37B" w14:textId="77777777" w:rsidR="00FE68F6" w:rsidRPr="00C805FB" w:rsidRDefault="00FE68F6" w:rsidP="00830E6D">
            <w:pPr>
              <w:bidi w:val="0"/>
              <w:rPr>
                <w:color w:val="000000" w:themeColor="text1"/>
                <w:sz w:val="18"/>
                <w:szCs w:val="18"/>
                <w:lang w:bidi="ar-EG"/>
              </w:rPr>
            </w:pPr>
          </w:p>
        </w:tc>
      </w:tr>
      <w:tr w:rsidR="009A0D61" w:rsidRPr="00C805FB" w14:paraId="280BD083" w14:textId="77777777" w:rsidTr="009A0D61">
        <w:trPr>
          <w:jc w:val="center"/>
        </w:trPr>
        <w:tc>
          <w:tcPr>
            <w:tcW w:w="661" w:type="pct"/>
            <w:vMerge/>
            <w:vAlign w:val="center"/>
            <w:hideMark/>
          </w:tcPr>
          <w:p w14:paraId="36BB69DE" w14:textId="77777777" w:rsidR="00FE68F6" w:rsidRPr="00C805FB" w:rsidRDefault="00FE68F6" w:rsidP="00830E6D">
            <w:pPr>
              <w:bidi w:val="0"/>
              <w:rPr>
                <w:color w:val="000000" w:themeColor="text1"/>
                <w:sz w:val="18"/>
                <w:szCs w:val="18"/>
                <w:lang w:bidi="ar-EG"/>
              </w:rPr>
            </w:pPr>
          </w:p>
        </w:tc>
        <w:tc>
          <w:tcPr>
            <w:tcW w:w="605" w:type="pct"/>
            <w:vMerge/>
            <w:vAlign w:val="center"/>
            <w:hideMark/>
          </w:tcPr>
          <w:p w14:paraId="4ED92F7B" w14:textId="77777777" w:rsidR="00FE68F6" w:rsidRPr="00C805FB" w:rsidRDefault="00FE68F6" w:rsidP="00830E6D">
            <w:pPr>
              <w:bidi w:val="0"/>
              <w:rPr>
                <w:color w:val="000000" w:themeColor="text1"/>
                <w:sz w:val="18"/>
                <w:szCs w:val="18"/>
                <w:lang w:bidi="ar-EG"/>
              </w:rPr>
            </w:pPr>
          </w:p>
        </w:tc>
        <w:tc>
          <w:tcPr>
            <w:tcW w:w="567" w:type="pct"/>
            <w:noWrap/>
            <w:vAlign w:val="center"/>
            <w:hideMark/>
          </w:tcPr>
          <w:p w14:paraId="7CFF669C"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Moderate</w:t>
            </w:r>
          </w:p>
        </w:tc>
        <w:tc>
          <w:tcPr>
            <w:tcW w:w="773" w:type="pct"/>
            <w:noWrap/>
            <w:vAlign w:val="center"/>
            <w:hideMark/>
          </w:tcPr>
          <w:p w14:paraId="6D106235"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6 (42.9%)</w:t>
            </w:r>
          </w:p>
        </w:tc>
        <w:tc>
          <w:tcPr>
            <w:tcW w:w="679" w:type="pct"/>
            <w:vAlign w:val="center"/>
            <w:hideMark/>
          </w:tcPr>
          <w:p w14:paraId="28948F0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5 (20.8%)</w:t>
            </w:r>
          </w:p>
        </w:tc>
        <w:tc>
          <w:tcPr>
            <w:tcW w:w="1209" w:type="pct"/>
            <w:noWrap/>
            <w:vAlign w:val="center"/>
            <w:hideMark/>
          </w:tcPr>
          <w:p w14:paraId="6640D30B"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3 (60.0%)</w:t>
            </w:r>
          </w:p>
        </w:tc>
        <w:tc>
          <w:tcPr>
            <w:tcW w:w="506" w:type="pct"/>
            <w:vMerge/>
            <w:vAlign w:val="center"/>
            <w:hideMark/>
          </w:tcPr>
          <w:p w14:paraId="5FED275C" w14:textId="77777777" w:rsidR="00FE68F6" w:rsidRPr="00C805FB" w:rsidRDefault="00FE68F6" w:rsidP="00830E6D">
            <w:pPr>
              <w:bidi w:val="0"/>
              <w:rPr>
                <w:color w:val="000000" w:themeColor="text1"/>
                <w:sz w:val="18"/>
                <w:szCs w:val="18"/>
                <w:lang w:bidi="ar-EG"/>
              </w:rPr>
            </w:pPr>
          </w:p>
        </w:tc>
      </w:tr>
      <w:tr w:rsidR="009A0D61" w:rsidRPr="00C805FB" w14:paraId="6FE50998" w14:textId="77777777" w:rsidTr="009A0D61">
        <w:trPr>
          <w:jc w:val="center"/>
        </w:trPr>
        <w:tc>
          <w:tcPr>
            <w:tcW w:w="661" w:type="pct"/>
            <w:vMerge/>
            <w:vAlign w:val="center"/>
            <w:hideMark/>
          </w:tcPr>
          <w:p w14:paraId="684AEE21" w14:textId="77777777" w:rsidR="00FE68F6" w:rsidRPr="00C805FB" w:rsidRDefault="00FE68F6" w:rsidP="00830E6D">
            <w:pPr>
              <w:bidi w:val="0"/>
              <w:rPr>
                <w:color w:val="000000" w:themeColor="text1"/>
                <w:sz w:val="18"/>
                <w:szCs w:val="18"/>
                <w:lang w:bidi="ar-EG"/>
              </w:rPr>
            </w:pPr>
          </w:p>
        </w:tc>
        <w:tc>
          <w:tcPr>
            <w:tcW w:w="1172" w:type="pct"/>
            <w:gridSpan w:val="2"/>
            <w:noWrap/>
            <w:vAlign w:val="center"/>
            <w:hideMark/>
          </w:tcPr>
          <w:p w14:paraId="1D9E5F34"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¤p-value (times)</w:t>
            </w:r>
          </w:p>
        </w:tc>
        <w:tc>
          <w:tcPr>
            <w:tcW w:w="773" w:type="pct"/>
            <w:noWrap/>
            <w:vAlign w:val="center"/>
            <w:hideMark/>
          </w:tcPr>
          <w:p w14:paraId="5FB700FD"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0.025*</w:t>
            </w:r>
          </w:p>
        </w:tc>
        <w:tc>
          <w:tcPr>
            <w:tcW w:w="679" w:type="pct"/>
            <w:vAlign w:val="center"/>
            <w:hideMark/>
          </w:tcPr>
          <w:p w14:paraId="0AADE578"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&lt;0.001*</w:t>
            </w:r>
          </w:p>
        </w:tc>
        <w:tc>
          <w:tcPr>
            <w:tcW w:w="1209" w:type="pct"/>
            <w:noWrap/>
            <w:vAlign w:val="center"/>
            <w:hideMark/>
          </w:tcPr>
          <w:p w14:paraId="4C48F43A"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0.257</w:t>
            </w:r>
          </w:p>
        </w:tc>
        <w:tc>
          <w:tcPr>
            <w:tcW w:w="506" w:type="pct"/>
            <w:noWrap/>
            <w:vAlign w:val="center"/>
          </w:tcPr>
          <w:p w14:paraId="25CE216D" w14:textId="77777777" w:rsidR="00FE68F6" w:rsidRPr="00C805FB" w:rsidRDefault="00FE68F6" w:rsidP="00830E6D">
            <w:pPr>
              <w:bidi w:val="0"/>
              <w:spacing w:before="120" w:after="120"/>
              <w:rPr>
                <w:color w:val="000000" w:themeColor="text1"/>
                <w:sz w:val="18"/>
                <w:szCs w:val="18"/>
                <w:lang w:bidi="ar-EG"/>
              </w:rPr>
            </w:pPr>
          </w:p>
        </w:tc>
      </w:tr>
      <w:tr w:rsidR="009A0D61" w:rsidRPr="00C805FB" w14:paraId="6B3DDF3A" w14:textId="77777777" w:rsidTr="009A0D61">
        <w:trPr>
          <w:jc w:val="center"/>
        </w:trPr>
        <w:tc>
          <w:tcPr>
            <w:tcW w:w="661" w:type="pct"/>
            <w:vMerge w:val="restart"/>
            <w:vAlign w:val="center"/>
          </w:tcPr>
          <w:p w14:paraId="6C3CC9BA" w14:textId="77777777" w:rsidR="00FE68F6" w:rsidRPr="00C805FB" w:rsidRDefault="00FE68F6" w:rsidP="00830E6D">
            <w:pPr>
              <w:bidi w:val="0"/>
              <w:spacing w:before="120" w:after="120" w:line="256" w:lineRule="auto"/>
              <w:rPr>
                <w:rFonts w:ascii="Calibri" w:eastAsia="Calibri" w:hAnsi="Calibri" w:cs="Arial"/>
                <w:color w:val="000000" w:themeColor="text1"/>
                <w:sz w:val="18"/>
                <w:szCs w:val="18"/>
                <w:lang w:bidi="ar-EG"/>
              </w:rPr>
            </w:pPr>
            <w:r w:rsidRPr="00C805FB">
              <w:rPr>
                <w:color w:val="000000" w:themeColor="text1"/>
                <w:sz w:val="18"/>
                <w:szCs w:val="18"/>
                <w:lang w:bidi="ar-EG"/>
              </w:rPr>
              <w:t>CDAI score</w:t>
            </w:r>
          </w:p>
        </w:tc>
        <w:tc>
          <w:tcPr>
            <w:tcW w:w="1172" w:type="pct"/>
            <w:gridSpan w:val="2"/>
            <w:noWrap/>
            <w:vAlign w:val="center"/>
            <w:hideMark/>
          </w:tcPr>
          <w:p w14:paraId="7313CB5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Before</w:t>
            </w:r>
          </w:p>
        </w:tc>
        <w:tc>
          <w:tcPr>
            <w:tcW w:w="773" w:type="pct"/>
            <w:noWrap/>
            <w:vAlign w:val="center"/>
            <w:hideMark/>
          </w:tcPr>
          <w:p w14:paraId="596DDD71"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375.7±78.1</w:t>
            </w:r>
          </w:p>
        </w:tc>
        <w:tc>
          <w:tcPr>
            <w:tcW w:w="679" w:type="pct"/>
            <w:vAlign w:val="center"/>
            <w:hideMark/>
          </w:tcPr>
          <w:p w14:paraId="66D52179"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334.2±66.9</w:t>
            </w:r>
          </w:p>
        </w:tc>
        <w:tc>
          <w:tcPr>
            <w:tcW w:w="1209" w:type="pct"/>
            <w:noWrap/>
            <w:vAlign w:val="center"/>
            <w:hideMark/>
          </w:tcPr>
          <w:p w14:paraId="19720E9A"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346.0±62.7</w:t>
            </w:r>
          </w:p>
        </w:tc>
        <w:tc>
          <w:tcPr>
            <w:tcW w:w="506" w:type="pct"/>
            <w:noWrap/>
            <w:vAlign w:val="center"/>
            <w:hideMark/>
          </w:tcPr>
          <w:p w14:paraId="47A6F626"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0.225</w:t>
            </w:r>
          </w:p>
        </w:tc>
      </w:tr>
      <w:tr w:rsidR="009A0D61" w:rsidRPr="00C805FB" w14:paraId="0781A18A" w14:textId="77777777" w:rsidTr="009A0D61">
        <w:trPr>
          <w:jc w:val="center"/>
        </w:trPr>
        <w:tc>
          <w:tcPr>
            <w:tcW w:w="661" w:type="pct"/>
            <w:vMerge/>
            <w:vAlign w:val="center"/>
            <w:hideMark/>
          </w:tcPr>
          <w:p w14:paraId="3FA9A297" w14:textId="77777777" w:rsidR="00FE68F6" w:rsidRPr="00C805FB" w:rsidRDefault="00FE68F6" w:rsidP="00830E6D">
            <w:pPr>
              <w:bidi w:val="0"/>
              <w:rPr>
                <w:rFonts w:ascii="Calibri" w:eastAsia="Calibri" w:hAnsi="Calibri" w:cs="Arial"/>
                <w:color w:val="000000" w:themeColor="text1"/>
                <w:sz w:val="18"/>
                <w:szCs w:val="18"/>
                <w:lang w:bidi="ar-EG"/>
              </w:rPr>
            </w:pPr>
          </w:p>
        </w:tc>
        <w:tc>
          <w:tcPr>
            <w:tcW w:w="1172" w:type="pct"/>
            <w:gridSpan w:val="2"/>
            <w:noWrap/>
            <w:vAlign w:val="center"/>
            <w:hideMark/>
          </w:tcPr>
          <w:p w14:paraId="69CF51B2"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After</w:t>
            </w:r>
          </w:p>
        </w:tc>
        <w:tc>
          <w:tcPr>
            <w:tcW w:w="773" w:type="pct"/>
            <w:noWrap/>
            <w:vAlign w:val="center"/>
            <w:hideMark/>
          </w:tcPr>
          <w:p w14:paraId="517E0782"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194.5±64.1</w:t>
            </w:r>
          </w:p>
        </w:tc>
        <w:tc>
          <w:tcPr>
            <w:tcW w:w="679" w:type="pct"/>
            <w:vAlign w:val="center"/>
            <w:hideMark/>
          </w:tcPr>
          <w:p w14:paraId="6AF2EB01"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222.2±38.7</w:t>
            </w:r>
          </w:p>
        </w:tc>
        <w:tc>
          <w:tcPr>
            <w:tcW w:w="1209" w:type="pct"/>
            <w:noWrap/>
            <w:vAlign w:val="center"/>
            <w:hideMark/>
          </w:tcPr>
          <w:p w14:paraId="042E6AF8"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192.0±49.2</w:t>
            </w:r>
          </w:p>
        </w:tc>
        <w:tc>
          <w:tcPr>
            <w:tcW w:w="506" w:type="pct"/>
            <w:noWrap/>
            <w:vAlign w:val="center"/>
            <w:hideMark/>
          </w:tcPr>
          <w:p w14:paraId="03CA6B43"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0.186</w:t>
            </w:r>
          </w:p>
        </w:tc>
      </w:tr>
      <w:tr w:rsidR="009A0D61" w:rsidRPr="00C805FB" w14:paraId="515217B5" w14:textId="77777777" w:rsidTr="009A0D61">
        <w:trPr>
          <w:jc w:val="center"/>
        </w:trPr>
        <w:tc>
          <w:tcPr>
            <w:tcW w:w="661" w:type="pct"/>
            <w:vMerge/>
            <w:vAlign w:val="center"/>
            <w:hideMark/>
          </w:tcPr>
          <w:p w14:paraId="131EE774" w14:textId="77777777" w:rsidR="00FE68F6" w:rsidRPr="00C805FB" w:rsidRDefault="00FE68F6" w:rsidP="00830E6D">
            <w:pPr>
              <w:bidi w:val="0"/>
              <w:rPr>
                <w:rFonts w:ascii="Calibri" w:eastAsia="Calibri" w:hAnsi="Calibri" w:cs="Arial"/>
                <w:color w:val="000000" w:themeColor="text1"/>
                <w:sz w:val="18"/>
                <w:szCs w:val="18"/>
                <w:lang w:bidi="ar-EG"/>
              </w:rPr>
            </w:pPr>
          </w:p>
        </w:tc>
        <w:tc>
          <w:tcPr>
            <w:tcW w:w="1172" w:type="pct"/>
            <w:gridSpan w:val="2"/>
            <w:noWrap/>
            <w:vAlign w:val="center"/>
            <w:hideMark/>
          </w:tcPr>
          <w:p w14:paraId="23A20916"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¤p-value (times)</w:t>
            </w:r>
          </w:p>
        </w:tc>
        <w:tc>
          <w:tcPr>
            <w:tcW w:w="773" w:type="pct"/>
            <w:noWrap/>
            <w:vAlign w:val="center"/>
            <w:hideMark/>
          </w:tcPr>
          <w:p w14:paraId="1A435076" w14:textId="77777777" w:rsidR="00FE68F6" w:rsidRPr="00C805FB" w:rsidRDefault="00FE68F6" w:rsidP="00830E6D">
            <w:pPr>
              <w:bidi w:val="0"/>
              <w:spacing w:before="120" w:after="120" w:line="256" w:lineRule="auto"/>
              <w:rPr>
                <w:color w:val="000000" w:themeColor="text1"/>
                <w:sz w:val="18"/>
                <w:szCs w:val="18"/>
                <w:lang w:bidi="ar-EG"/>
              </w:rPr>
            </w:pPr>
            <w:r w:rsidRPr="00C805FB">
              <w:rPr>
                <w:color w:val="000000" w:themeColor="text1"/>
                <w:sz w:val="18"/>
                <w:szCs w:val="18"/>
                <w:lang w:bidi="ar-EG"/>
              </w:rPr>
              <w:t>&lt;0.001*</w:t>
            </w:r>
          </w:p>
        </w:tc>
        <w:tc>
          <w:tcPr>
            <w:tcW w:w="679" w:type="pct"/>
            <w:vAlign w:val="center"/>
            <w:hideMark/>
          </w:tcPr>
          <w:p w14:paraId="23726C93" w14:textId="77777777" w:rsidR="00FE68F6" w:rsidRPr="00C805FB" w:rsidRDefault="00FE68F6" w:rsidP="00830E6D">
            <w:pPr>
              <w:bidi w:val="0"/>
              <w:spacing w:before="120" w:after="120" w:line="256" w:lineRule="auto"/>
              <w:rPr>
                <w:color w:val="000000" w:themeColor="text1"/>
                <w:sz w:val="18"/>
                <w:szCs w:val="18"/>
                <w:lang w:bidi="ar-EG"/>
              </w:rPr>
            </w:pPr>
            <w:r w:rsidRPr="00C805FB">
              <w:rPr>
                <w:color w:val="000000" w:themeColor="text1"/>
                <w:sz w:val="18"/>
                <w:szCs w:val="18"/>
                <w:lang w:bidi="ar-EG"/>
              </w:rPr>
              <w:t>&lt;0.001*</w:t>
            </w:r>
          </w:p>
        </w:tc>
        <w:tc>
          <w:tcPr>
            <w:tcW w:w="1209" w:type="pct"/>
            <w:noWrap/>
            <w:vAlign w:val="center"/>
            <w:hideMark/>
          </w:tcPr>
          <w:p w14:paraId="77BC1598" w14:textId="77777777" w:rsidR="00FE68F6" w:rsidRPr="00C805FB" w:rsidRDefault="00FE68F6" w:rsidP="00830E6D">
            <w:pPr>
              <w:bidi w:val="0"/>
              <w:spacing w:before="120" w:after="120" w:line="256" w:lineRule="auto"/>
              <w:rPr>
                <w:color w:val="000000" w:themeColor="text1"/>
                <w:sz w:val="18"/>
                <w:szCs w:val="18"/>
                <w:lang w:bidi="ar-EG"/>
              </w:rPr>
            </w:pPr>
            <w:r w:rsidRPr="00C805FB">
              <w:rPr>
                <w:color w:val="000000" w:themeColor="text1"/>
                <w:sz w:val="18"/>
                <w:szCs w:val="18"/>
                <w:lang w:bidi="ar-EG"/>
              </w:rPr>
              <w:t>&lt;0.001*</w:t>
            </w:r>
          </w:p>
        </w:tc>
        <w:tc>
          <w:tcPr>
            <w:tcW w:w="506" w:type="pct"/>
            <w:noWrap/>
            <w:vAlign w:val="center"/>
          </w:tcPr>
          <w:p w14:paraId="05957264" w14:textId="77777777" w:rsidR="00FE68F6" w:rsidRPr="00C805FB" w:rsidRDefault="00FE68F6" w:rsidP="00830E6D">
            <w:pPr>
              <w:bidi w:val="0"/>
              <w:spacing w:before="120" w:after="120" w:line="256" w:lineRule="auto"/>
              <w:rPr>
                <w:rFonts w:ascii="Calibri" w:eastAsia="Calibri" w:hAnsi="Calibri" w:cs="Arial"/>
                <w:color w:val="000000" w:themeColor="text1"/>
                <w:sz w:val="18"/>
                <w:szCs w:val="18"/>
                <w:lang w:bidi="ar-EG"/>
              </w:rPr>
            </w:pPr>
          </w:p>
        </w:tc>
      </w:tr>
      <w:tr w:rsidR="009A0D61" w:rsidRPr="00C805FB" w14:paraId="18E7ACA4" w14:textId="77777777" w:rsidTr="009A0D61">
        <w:trPr>
          <w:jc w:val="center"/>
        </w:trPr>
        <w:tc>
          <w:tcPr>
            <w:tcW w:w="661" w:type="pct"/>
            <w:vMerge w:val="restart"/>
            <w:vAlign w:val="center"/>
          </w:tcPr>
          <w:p w14:paraId="035650A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ESR (ml/</w:t>
            </w:r>
            <w:proofErr w:type="spellStart"/>
            <w:r w:rsidRPr="00C805FB">
              <w:rPr>
                <w:color w:val="000000" w:themeColor="text1"/>
                <w:sz w:val="18"/>
                <w:szCs w:val="18"/>
                <w:lang w:bidi="ar-EG"/>
              </w:rPr>
              <w:t>hr</w:t>
            </w:r>
            <w:proofErr w:type="spellEnd"/>
            <w:r w:rsidRPr="00C805FB">
              <w:rPr>
                <w:color w:val="000000" w:themeColor="text1"/>
                <w:sz w:val="18"/>
                <w:szCs w:val="18"/>
                <w:lang w:bidi="ar-EG"/>
              </w:rPr>
              <w:t>)</w:t>
            </w:r>
          </w:p>
        </w:tc>
        <w:tc>
          <w:tcPr>
            <w:tcW w:w="1172" w:type="pct"/>
            <w:gridSpan w:val="2"/>
            <w:noWrap/>
            <w:vAlign w:val="center"/>
            <w:hideMark/>
          </w:tcPr>
          <w:p w14:paraId="2161E6F3"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Before</w:t>
            </w:r>
          </w:p>
        </w:tc>
        <w:tc>
          <w:tcPr>
            <w:tcW w:w="773" w:type="pct"/>
            <w:noWrap/>
            <w:vAlign w:val="center"/>
            <w:hideMark/>
          </w:tcPr>
          <w:p w14:paraId="43E5B38C"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51.7±28.7</w:t>
            </w:r>
          </w:p>
        </w:tc>
        <w:tc>
          <w:tcPr>
            <w:tcW w:w="679" w:type="pct"/>
            <w:vAlign w:val="center"/>
            <w:hideMark/>
          </w:tcPr>
          <w:p w14:paraId="5E25CF55"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47.7±20.6</w:t>
            </w:r>
          </w:p>
        </w:tc>
        <w:tc>
          <w:tcPr>
            <w:tcW w:w="1209" w:type="pct"/>
            <w:noWrap/>
            <w:vAlign w:val="center"/>
            <w:hideMark/>
          </w:tcPr>
          <w:p w14:paraId="6B8FE909"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75.6±14.9</w:t>
            </w:r>
          </w:p>
        </w:tc>
        <w:tc>
          <w:tcPr>
            <w:tcW w:w="506" w:type="pct"/>
            <w:noWrap/>
            <w:vAlign w:val="center"/>
            <w:hideMark/>
          </w:tcPr>
          <w:p w14:paraId="0AEBF376"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0.059</w:t>
            </w:r>
          </w:p>
        </w:tc>
      </w:tr>
      <w:tr w:rsidR="009A0D61" w:rsidRPr="00C805FB" w14:paraId="0CE4F252" w14:textId="77777777" w:rsidTr="009A0D61">
        <w:trPr>
          <w:jc w:val="center"/>
        </w:trPr>
        <w:tc>
          <w:tcPr>
            <w:tcW w:w="661" w:type="pct"/>
            <w:vMerge/>
            <w:vAlign w:val="center"/>
            <w:hideMark/>
          </w:tcPr>
          <w:p w14:paraId="0AD6E0F4" w14:textId="77777777" w:rsidR="00FE68F6" w:rsidRPr="00C805FB" w:rsidRDefault="00FE68F6" w:rsidP="00830E6D">
            <w:pPr>
              <w:bidi w:val="0"/>
              <w:rPr>
                <w:color w:val="000000" w:themeColor="text1"/>
                <w:sz w:val="18"/>
                <w:szCs w:val="18"/>
                <w:lang w:bidi="ar-EG"/>
              </w:rPr>
            </w:pPr>
          </w:p>
        </w:tc>
        <w:tc>
          <w:tcPr>
            <w:tcW w:w="1172" w:type="pct"/>
            <w:gridSpan w:val="2"/>
            <w:noWrap/>
            <w:vAlign w:val="center"/>
            <w:hideMark/>
          </w:tcPr>
          <w:p w14:paraId="7080AE27"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After</w:t>
            </w:r>
          </w:p>
        </w:tc>
        <w:tc>
          <w:tcPr>
            <w:tcW w:w="773" w:type="pct"/>
            <w:noWrap/>
            <w:vAlign w:val="center"/>
            <w:hideMark/>
          </w:tcPr>
          <w:p w14:paraId="13A6133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16.2±8.4</w:t>
            </w:r>
          </w:p>
        </w:tc>
        <w:tc>
          <w:tcPr>
            <w:tcW w:w="679" w:type="pct"/>
            <w:vAlign w:val="center"/>
            <w:hideMark/>
          </w:tcPr>
          <w:p w14:paraId="653CFBC7"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21.3±8.2</w:t>
            </w:r>
          </w:p>
        </w:tc>
        <w:tc>
          <w:tcPr>
            <w:tcW w:w="1209" w:type="pct"/>
            <w:noWrap/>
            <w:vAlign w:val="center"/>
            <w:hideMark/>
          </w:tcPr>
          <w:p w14:paraId="6F93DB5B"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22.0±5.7</w:t>
            </w:r>
          </w:p>
        </w:tc>
        <w:tc>
          <w:tcPr>
            <w:tcW w:w="506" w:type="pct"/>
            <w:noWrap/>
            <w:vAlign w:val="center"/>
            <w:hideMark/>
          </w:tcPr>
          <w:p w14:paraId="165318A3"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0.147</w:t>
            </w:r>
          </w:p>
        </w:tc>
      </w:tr>
      <w:tr w:rsidR="009A0D61" w:rsidRPr="00C805FB" w14:paraId="000596A2" w14:textId="77777777" w:rsidTr="009A0D61">
        <w:trPr>
          <w:jc w:val="center"/>
        </w:trPr>
        <w:tc>
          <w:tcPr>
            <w:tcW w:w="661" w:type="pct"/>
            <w:vMerge/>
            <w:vAlign w:val="center"/>
            <w:hideMark/>
          </w:tcPr>
          <w:p w14:paraId="4630E3BE" w14:textId="77777777" w:rsidR="00FE68F6" w:rsidRPr="00C805FB" w:rsidRDefault="00FE68F6" w:rsidP="00830E6D">
            <w:pPr>
              <w:bidi w:val="0"/>
              <w:rPr>
                <w:color w:val="000000" w:themeColor="text1"/>
                <w:sz w:val="18"/>
                <w:szCs w:val="18"/>
                <w:lang w:bidi="ar-EG"/>
              </w:rPr>
            </w:pPr>
          </w:p>
        </w:tc>
        <w:tc>
          <w:tcPr>
            <w:tcW w:w="1172" w:type="pct"/>
            <w:gridSpan w:val="2"/>
            <w:noWrap/>
            <w:vAlign w:val="center"/>
            <w:hideMark/>
          </w:tcPr>
          <w:p w14:paraId="5C9DD374"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¤p-value (times)</w:t>
            </w:r>
          </w:p>
        </w:tc>
        <w:tc>
          <w:tcPr>
            <w:tcW w:w="773" w:type="pct"/>
            <w:noWrap/>
            <w:vAlign w:val="center"/>
            <w:hideMark/>
          </w:tcPr>
          <w:p w14:paraId="2DC5E468"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&lt;0.001*</w:t>
            </w:r>
          </w:p>
        </w:tc>
        <w:tc>
          <w:tcPr>
            <w:tcW w:w="679" w:type="pct"/>
            <w:vAlign w:val="center"/>
            <w:hideMark/>
          </w:tcPr>
          <w:p w14:paraId="1BD82667"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&lt;0.001*</w:t>
            </w:r>
          </w:p>
        </w:tc>
        <w:tc>
          <w:tcPr>
            <w:tcW w:w="1209" w:type="pct"/>
            <w:noWrap/>
            <w:vAlign w:val="center"/>
            <w:hideMark/>
          </w:tcPr>
          <w:p w14:paraId="4E45EEDF"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0.003*</w:t>
            </w:r>
          </w:p>
        </w:tc>
        <w:tc>
          <w:tcPr>
            <w:tcW w:w="506" w:type="pct"/>
            <w:noWrap/>
            <w:vAlign w:val="center"/>
          </w:tcPr>
          <w:p w14:paraId="6BE9B65A" w14:textId="77777777" w:rsidR="00FE68F6" w:rsidRPr="00C805FB" w:rsidRDefault="00FE68F6" w:rsidP="00830E6D">
            <w:pPr>
              <w:bidi w:val="0"/>
              <w:spacing w:before="120" w:after="120"/>
              <w:rPr>
                <w:color w:val="000000" w:themeColor="text1"/>
                <w:sz w:val="18"/>
                <w:szCs w:val="18"/>
                <w:lang w:bidi="ar-EG"/>
              </w:rPr>
            </w:pPr>
          </w:p>
        </w:tc>
      </w:tr>
      <w:tr w:rsidR="009A0D61" w:rsidRPr="00C805FB" w14:paraId="2A96E269" w14:textId="77777777" w:rsidTr="009A0D61">
        <w:trPr>
          <w:jc w:val="center"/>
        </w:trPr>
        <w:tc>
          <w:tcPr>
            <w:tcW w:w="661" w:type="pct"/>
            <w:vMerge w:val="restart"/>
            <w:vAlign w:val="center"/>
          </w:tcPr>
          <w:p w14:paraId="7F89256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CRP (mg/dL)</w:t>
            </w:r>
          </w:p>
        </w:tc>
        <w:tc>
          <w:tcPr>
            <w:tcW w:w="1172" w:type="pct"/>
            <w:gridSpan w:val="2"/>
            <w:noWrap/>
            <w:vAlign w:val="center"/>
            <w:hideMark/>
          </w:tcPr>
          <w:p w14:paraId="4B6DF841"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Before</w:t>
            </w:r>
          </w:p>
        </w:tc>
        <w:tc>
          <w:tcPr>
            <w:tcW w:w="773" w:type="pct"/>
            <w:noWrap/>
            <w:vAlign w:val="center"/>
            <w:hideMark/>
          </w:tcPr>
          <w:p w14:paraId="54D9A2DD"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29.7±27.7</w:t>
            </w:r>
          </w:p>
        </w:tc>
        <w:tc>
          <w:tcPr>
            <w:tcW w:w="679" w:type="pct"/>
            <w:vAlign w:val="center"/>
            <w:hideMark/>
          </w:tcPr>
          <w:p w14:paraId="3C49DC8A"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27.3±21.0</w:t>
            </w:r>
          </w:p>
        </w:tc>
        <w:tc>
          <w:tcPr>
            <w:tcW w:w="1209" w:type="pct"/>
            <w:noWrap/>
            <w:vAlign w:val="center"/>
            <w:hideMark/>
          </w:tcPr>
          <w:p w14:paraId="789E7551"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59.8±44.4</w:t>
            </w:r>
          </w:p>
        </w:tc>
        <w:tc>
          <w:tcPr>
            <w:tcW w:w="506" w:type="pct"/>
            <w:noWrap/>
            <w:vAlign w:val="center"/>
            <w:hideMark/>
          </w:tcPr>
          <w:p w14:paraId="7207A6CC"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0.052</w:t>
            </w:r>
          </w:p>
        </w:tc>
      </w:tr>
      <w:tr w:rsidR="009A0D61" w:rsidRPr="00C805FB" w14:paraId="7A23707C" w14:textId="77777777" w:rsidTr="009A0D61">
        <w:trPr>
          <w:jc w:val="center"/>
        </w:trPr>
        <w:tc>
          <w:tcPr>
            <w:tcW w:w="661" w:type="pct"/>
            <w:vMerge/>
            <w:vAlign w:val="center"/>
            <w:hideMark/>
          </w:tcPr>
          <w:p w14:paraId="7978AB2F" w14:textId="77777777" w:rsidR="00FE68F6" w:rsidRPr="00C805FB" w:rsidRDefault="00FE68F6" w:rsidP="00830E6D">
            <w:pPr>
              <w:bidi w:val="0"/>
              <w:rPr>
                <w:color w:val="000000" w:themeColor="text1"/>
                <w:sz w:val="18"/>
                <w:szCs w:val="18"/>
                <w:lang w:bidi="ar-EG"/>
              </w:rPr>
            </w:pPr>
          </w:p>
        </w:tc>
        <w:tc>
          <w:tcPr>
            <w:tcW w:w="1172" w:type="pct"/>
            <w:gridSpan w:val="2"/>
            <w:noWrap/>
            <w:vAlign w:val="center"/>
            <w:hideMark/>
          </w:tcPr>
          <w:p w14:paraId="254C307F"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After</w:t>
            </w:r>
          </w:p>
        </w:tc>
        <w:tc>
          <w:tcPr>
            <w:tcW w:w="773" w:type="pct"/>
            <w:noWrap/>
            <w:vAlign w:val="center"/>
            <w:hideMark/>
          </w:tcPr>
          <w:p w14:paraId="76ED4CE1"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7.8±6.1</w:t>
            </w:r>
          </w:p>
        </w:tc>
        <w:tc>
          <w:tcPr>
            <w:tcW w:w="679" w:type="pct"/>
            <w:vAlign w:val="center"/>
            <w:hideMark/>
          </w:tcPr>
          <w:p w14:paraId="08AB3E4A"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10.3±5.3</w:t>
            </w:r>
          </w:p>
        </w:tc>
        <w:tc>
          <w:tcPr>
            <w:tcW w:w="1209" w:type="pct"/>
            <w:noWrap/>
            <w:vAlign w:val="center"/>
            <w:hideMark/>
          </w:tcPr>
          <w:p w14:paraId="2C815BC0"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16.6±17.1</w:t>
            </w:r>
          </w:p>
        </w:tc>
        <w:tc>
          <w:tcPr>
            <w:tcW w:w="506" w:type="pct"/>
            <w:noWrap/>
            <w:vAlign w:val="center"/>
            <w:hideMark/>
          </w:tcPr>
          <w:p w14:paraId="79A9976F"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0.097</w:t>
            </w:r>
          </w:p>
        </w:tc>
      </w:tr>
      <w:tr w:rsidR="009A0D61" w:rsidRPr="00C805FB" w14:paraId="623006F6" w14:textId="77777777" w:rsidTr="009A0D61">
        <w:trPr>
          <w:jc w:val="center"/>
        </w:trPr>
        <w:tc>
          <w:tcPr>
            <w:tcW w:w="661" w:type="pct"/>
            <w:vMerge/>
            <w:vAlign w:val="center"/>
            <w:hideMark/>
          </w:tcPr>
          <w:p w14:paraId="3C9F4C4B" w14:textId="77777777" w:rsidR="00FE68F6" w:rsidRPr="00C805FB" w:rsidRDefault="00FE68F6" w:rsidP="00830E6D">
            <w:pPr>
              <w:bidi w:val="0"/>
              <w:rPr>
                <w:color w:val="000000" w:themeColor="text1"/>
                <w:sz w:val="18"/>
                <w:szCs w:val="18"/>
                <w:lang w:bidi="ar-EG"/>
              </w:rPr>
            </w:pPr>
          </w:p>
        </w:tc>
        <w:tc>
          <w:tcPr>
            <w:tcW w:w="1172" w:type="pct"/>
            <w:gridSpan w:val="2"/>
            <w:noWrap/>
            <w:vAlign w:val="center"/>
            <w:hideMark/>
          </w:tcPr>
          <w:p w14:paraId="463EADD7"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¤p-value (times)</w:t>
            </w:r>
          </w:p>
        </w:tc>
        <w:tc>
          <w:tcPr>
            <w:tcW w:w="773" w:type="pct"/>
            <w:noWrap/>
            <w:vAlign w:val="center"/>
            <w:hideMark/>
          </w:tcPr>
          <w:p w14:paraId="6D9FEDB7"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0.004*</w:t>
            </w:r>
          </w:p>
        </w:tc>
        <w:tc>
          <w:tcPr>
            <w:tcW w:w="679" w:type="pct"/>
            <w:vAlign w:val="center"/>
            <w:hideMark/>
          </w:tcPr>
          <w:p w14:paraId="2B6F72CD"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&lt;0.001*</w:t>
            </w:r>
          </w:p>
        </w:tc>
        <w:tc>
          <w:tcPr>
            <w:tcW w:w="1209" w:type="pct"/>
            <w:noWrap/>
            <w:vAlign w:val="center"/>
            <w:hideMark/>
          </w:tcPr>
          <w:p w14:paraId="6D93FCE9"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0.025*</w:t>
            </w:r>
          </w:p>
        </w:tc>
        <w:tc>
          <w:tcPr>
            <w:tcW w:w="506" w:type="pct"/>
            <w:noWrap/>
            <w:vAlign w:val="center"/>
          </w:tcPr>
          <w:p w14:paraId="615A59B3" w14:textId="77777777" w:rsidR="00FE68F6" w:rsidRPr="00C805FB" w:rsidRDefault="00FE68F6" w:rsidP="00830E6D">
            <w:pPr>
              <w:bidi w:val="0"/>
              <w:spacing w:before="120" w:after="120"/>
              <w:rPr>
                <w:color w:val="000000" w:themeColor="text1"/>
                <w:sz w:val="18"/>
                <w:szCs w:val="18"/>
                <w:lang w:bidi="ar-EG"/>
              </w:rPr>
            </w:pPr>
          </w:p>
        </w:tc>
      </w:tr>
      <w:tr w:rsidR="009A0D61" w:rsidRPr="00C805FB" w14:paraId="10175E68" w14:textId="77777777" w:rsidTr="009A0D61">
        <w:trPr>
          <w:jc w:val="center"/>
        </w:trPr>
        <w:tc>
          <w:tcPr>
            <w:tcW w:w="661" w:type="pct"/>
            <w:vMerge w:val="restart"/>
            <w:vAlign w:val="center"/>
          </w:tcPr>
          <w:p w14:paraId="643D0AB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Fecal Calprotectin (µg/mg)</w:t>
            </w:r>
          </w:p>
        </w:tc>
        <w:tc>
          <w:tcPr>
            <w:tcW w:w="1172" w:type="pct"/>
            <w:gridSpan w:val="2"/>
            <w:noWrap/>
            <w:vAlign w:val="center"/>
            <w:hideMark/>
          </w:tcPr>
          <w:p w14:paraId="14D202BA"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Before</w:t>
            </w:r>
          </w:p>
          <w:p w14:paraId="57BF5C08"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rPr>
              <w:t>Median (IQR)</w:t>
            </w:r>
          </w:p>
        </w:tc>
        <w:tc>
          <w:tcPr>
            <w:tcW w:w="773" w:type="pct"/>
            <w:noWrap/>
            <w:vAlign w:val="center"/>
            <w:hideMark/>
          </w:tcPr>
          <w:p w14:paraId="633A7D2A"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875(445-1200)</w:t>
            </w:r>
          </w:p>
        </w:tc>
        <w:tc>
          <w:tcPr>
            <w:tcW w:w="679" w:type="pct"/>
            <w:vAlign w:val="center"/>
            <w:hideMark/>
          </w:tcPr>
          <w:p w14:paraId="55E0A16D"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779.5(641-985)</w:t>
            </w:r>
          </w:p>
        </w:tc>
        <w:tc>
          <w:tcPr>
            <w:tcW w:w="1209" w:type="pct"/>
            <w:noWrap/>
            <w:vAlign w:val="center"/>
            <w:hideMark/>
          </w:tcPr>
          <w:p w14:paraId="259DC564"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660(550-1400)</w:t>
            </w:r>
          </w:p>
        </w:tc>
        <w:tc>
          <w:tcPr>
            <w:tcW w:w="506" w:type="pct"/>
            <w:noWrap/>
            <w:vAlign w:val="center"/>
            <w:hideMark/>
          </w:tcPr>
          <w:p w14:paraId="30AA4B4C"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0.959</w:t>
            </w:r>
          </w:p>
        </w:tc>
      </w:tr>
      <w:tr w:rsidR="009A0D61" w:rsidRPr="00C805FB" w14:paraId="65481BD1" w14:textId="77777777" w:rsidTr="009A0D61">
        <w:trPr>
          <w:jc w:val="center"/>
        </w:trPr>
        <w:tc>
          <w:tcPr>
            <w:tcW w:w="661" w:type="pct"/>
            <w:vMerge/>
            <w:vAlign w:val="center"/>
            <w:hideMark/>
          </w:tcPr>
          <w:p w14:paraId="6B8D6D4E" w14:textId="77777777" w:rsidR="00FE68F6" w:rsidRPr="00C805FB" w:rsidRDefault="00FE68F6" w:rsidP="00830E6D">
            <w:pPr>
              <w:bidi w:val="0"/>
              <w:rPr>
                <w:color w:val="000000" w:themeColor="text1"/>
                <w:sz w:val="18"/>
                <w:szCs w:val="18"/>
                <w:lang w:bidi="ar-EG"/>
              </w:rPr>
            </w:pPr>
          </w:p>
        </w:tc>
        <w:tc>
          <w:tcPr>
            <w:tcW w:w="1172" w:type="pct"/>
            <w:gridSpan w:val="2"/>
            <w:noWrap/>
            <w:vAlign w:val="center"/>
            <w:hideMark/>
          </w:tcPr>
          <w:p w14:paraId="2BA74C03"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After</w:t>
            </w:r>
          </w:p>
          <w:p w14:paraId="4C1BE089"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rPr>
              <w:t>Median (IQR)</w:t>
            </w:r>
          </w:p>
        </w:tc>
        <w:tc>
          <w:tcPr>
            <w:tcW w:w="773" w:type="pct"/>
            <w:noWrap/>
            <w:vAlign w:val="center"/>
            <w:hideMark/>
          </w:tcPr>
          <w:p w14:paraId="6481D29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379(250-850)</w:t>
            </w:r>
          </w:p>
        </w:tc>
        <w:tc>
          <w:tcPr>
            <w:tcW w:w="679" w:type="pct"/>
            <w:vAlign w:val="center"/>
            <w:hideMark/>
          </w:tcPr>
          <w:p w14:paraId="6379D1FC"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649.5(436.5-885)</w:t>
            </w:r>
          </w:p>
        </w:tc>
        <w:tc>
          <w:tcPr>
            <w:tcW w:w="1209" w:type="pct"/>
            <w:noWrap/>
            <w:vAlign w:val="center"/>
            <w:hideMark/>
          </w:tcPr>
          <w:p w14:paraId="5379A18A"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630(521-900)</w:t>
            </w:r>
          </w:p>
        </w:tc>
        <w:tc>
          <w:tcPr>
            <w:tcW w:w="506" w:type="pct"/>
            <w:noWrap/>
            <w:vAlign w:val="center"/>
            <w:hideMark/>
          </w:tcPr>
          <w:p w14:paraId="7C3701AC"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0.254</w:t>
            </w:r>
          </w:p>
        </w:tc>
      </w:tr>
      <w:tr w:rsidR="009A0D61" w:rsidRPr="00C805FB" w14:paraId="23E64E6E" w14:textId="77777777" w:rsidTr="009A0D61">
        <w:trPr>
          <w:jc w:val="center"/>
        </w:trPr>
        <w:tc>
          <w:tcPr>
            <w:tcW w:w="661" w:type="pct"/>
            <w:vMerge/>
            <w:tcBorders>
              <w:bottom w:val="single" w:sz="4" w:space="0" w:color="auto"/>
            </w:tcBorders>
            <w:vAlign w:val="center"/>
            <w:hideMark/>
          </w:tcPr>
          <w:p w14:paraId="1A601657" w14:textId="77777777" w:rsidR="00FE68F6" w:rsidRPr="00C805FB" w:rsidRDefault="00FE68F6" w:rsidP="00830E6D">
            <w:pPr>
              <w:bidi w:val="0"/>
              <w:rPr>
                <w:color w:val="000000" w:themeColor="text1"/>
                <w:sz w:val="18"/>
                <w:szCs w:val="18"/>
                <w:lang w:bidi="ar-EG"/>
              </w:rPr>
            </w:pPr>
          </w:p>
        </w:tc>
        <w:tc>
          <w:tcPr>
            <w:tcW w:w="1172" w:type="pct"/>
            <w:gridSpan w:val="2"/>
            <w:tcBorders>
              <w:bottom w:val="single" w:sz="4" w:space="0" w:color="auto"/>
            </w:tcBorders>
            <w:noWrap/>
            <w:vAlign w:val="center"/>
            <w:hideMark/>
          </w:tcPr>
          <w:p w14:paraId="7345D348"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#p-value (times)</w:t>
            </w:r>
          </w:p>
        </w:tc>
        <w:tc>
          <w:tcPr>
            <w:tcW w:w="773" w:type="pct"/>
            <w:tcBorders>
              <w:bottom w:val="single" w:sz="4" w:space="0" w:color="auto"/>
            </w:tcBorders>
            <w:noWrap/>
            <w:vAlign w:val="center"/>
            <w:hideMark/>
          </w:tcPr>
          <w:p w14:paraId="58C75C87"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0.030*</w:t>
            </w:r>
          </w:p>
        </w:tc>
        <w:tc>
          <w:tcPr>
            <w:tcW w:w="679" w:type="pct"/>
            <w:tcBorders>
              <w:bottom w:val="single" w:sz="4" w:space="0" w:color="auto"/>
            </w:tcBorders>
            <w:vAlign w:val="center"/>
            <w:hideMark/>
          </w:tcPr>
          <w:p w14:paraId="73358C1E"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0.007*</w:t>
            </w:r>
          </w:p>
        </w:tc>
        <w:tc>
          <w:tcPr>
            <w:tcW w:w="1209" w:type="pct"/>
            <w:tcBorders>
              <w:bottom w:val="single" w:sz="4" w:space="0" w:color="auto"/>
            </w:tcBorders>
            <w:noWrap/>
            <w:vAlign w:val="center"/>
            <w:hideMark/>
          </w:tcPr>
          <w:p w14:paraId="684D5C5F" w14:textId="77777777" w:rsidR="00FE68F6" w:rsidRPr="00C805FB" w:rsidRDefault="00FE68F6" w:rsidP="00830E6D">
            <w:pPr>
              <w:bidi w:val="0"/>
              <w:spacing w:before="120" w:after="120"/>
              <w:rPr>
                <w:color w:val="000000" w:themeColor="text1"/>
                <w:sz w:val="18"/>
                <w:szCs w:val="18"/>
                <w:lang w:bidi="ar-EG"/>
              </w:rPr>
            </w:pPr>
            <w:r w:rsidRPr="00C805FB">
              <w:rPr>
                <w:color w:val="000000" w:themeColor="text1"/>
                <w:sz w:val="18"/>
                <w:szCs w:val="18"/>
                <w:lang w:bidi="ar-EG"/>
              </w:rPr>
              <w:t>0.225</w:t>
            </w:r>
          </w:p>
        </w:tc>
        <w:tc>
          <w:tcPr>
            <w:tcW w:w="506" w:type="pct"/>
            <w:tcBorders>
              <w:bottom w:val="single" w:sz="4" w:space="0" w:color="auto"/>
            </w:tcBorders>
            <w:noWrap/>
            <w:vAlign w:val="center"/>
          </w:tcPr>
          <w:p w14:paraId="7ADDA3EA" w14:textId="77777777" w:rsidR="00FE68F6" w:rsidRPr="00C805FB" w:rsidRDefault="00FE68F6" w:rsidP="009A0D61">
            <w:pPr>
              <w:keepNext/>
              <w:bidi w:val="0"/>
              <w:spacing w:before="120" w:after="120"/>
              <w:rPr>
                <w:color w:val="000000" w:themeColor="text1"/>
                <w:sz w:val="18"/>
                <w:szCs w:val="18"/>
                <w:lang w:bidi="ar-EG"/>
              </w:rPr>
            </w:pPr>
          </w:p>
        </w:tc>
      </w:tr>
    </w:tbl>
    <w:p w14:paraId="2EF33923" w14:textId="70C33BAD" w:rsidR="009A0D61" w:rsidRPr="009A0D61" w:rsidRDefault="009A0D61" w:rsidP="009A0D61">
      <w:pPr>
        <w:bidi w:val="0"/>
        <w:spacing w:after="120"/>
        <w:rPr>
          <w:color w:val="000000"/>
          <w:sz w:val="18"/>
          <w:szCs w:val="18"/>
        </w:rPr>
      </w:pPr>
      <w:r w:rsidRPr="009A0D61">
        <w:rPr>
          <w:color w:val="000000"/>
          <w:sz w:val="18"/>
          <w:szCs w:val="18"/>
        </w:rPr>
        <w:t>Data presented as n (%). §Fisher’s Exact test. ¤Marginal homogeneity test. #Wilcoxon Signed Ranks Test.</w:t>
      </w:r>
    </w:p>
    <w:p w14:paraId="438C30D8" w14:textId="26C8F671" w:rsidR="002C7A1F" w:rsidRDefault="00652184" w:rsidP="00BE4619">
      <w:pPr>
        <w:bidi w:val="0"/>
        <w:spacing w:after="160" w:line="480" w:lineRule="auto"/>
        <w:ind w:firstLine="720"/>
        <w:rPr>
          <w:rFonts w:eastAsia="Calibri"/>
          <w:b/>
          <w:bCs/>
        </w:rPr>
      </w:pPr>
      <w:r w:rsidRPr="00E7572F">
        <w:rPr>
          <w:rFonts w:eastAsia="Calibri"/>
        </w:rPr>
        <w:t xml:space="preserve">In the fistula group, 40.9% of patients were NSAID users, whereas 15.6% of patients in the non-fistula group used NSAIDs </w:t>
      </w:r>
      <w:r w:rsidR="00E27EC1">
        <w:rPr>
          <w:rFonts w:eastAsia="Calibri"/>
          <w:b/>
          <w:bCs/>
        </w:rPr>
        <w:t>Fig.</w:t>
      </w:r>
      <w:r w:rsidR="002C7A1F" w:rsidRPr="00E7572F">
        <w:rPr>
          <w:rFonts w:eastAsia="Calibri"/>
          <w:b/>
          <w:bCs/>
        </w:rPr>
        <w:t xml:space="preserve"> 1</w:t>
      </w:r>
      <w:r w:rsidR="00E27EC1">
        <w:rPr>
          <w:rFonts w:eastAsia="Calibri"/>
          <w:b/>
          <w:bCs/>
        </w:rPr>
        <w:t>.</w:t>
      </w:r>
    </w:p>
    <w:p w14:paraId="2B86D0A0" w14:textId="77777777" w:rsidR="00FC4FE5" w:rsidRDefault="00FC4FE5" w:rsidP="00FC4FE5">
      <w:pPr>
        <w:keepNext/>
        <w:bidi w:val="0"/>
        <w:spacing w:after="160" w:line="480" w:lineRule="auto"/>
        <w:ind w:firstLine="720"/>
      </w:pPr>
      <w:r>
        <w:rPr>
          <w:noProof/>
        </w:rPr>
        <w:drawing>
          <wp:inline distT="0" distB="0" distL="0" distR="0" wp14:anchorId="70E585DF" wp14:editId="3B7F34AB">
            <wp:extent cx="5019675" cy="2514600"/>
            <wp:effectExtent l="0" t="0" r="9525" b="0"/>
            <wp:docPr id="141839323" name="Picture 1" descr="Figure (1): NSAID intake among the study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9323" name="Picture 1" descr="Figure (1): NSAID intake among the study group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2514600"/>
                    </a:xfrm>
                    <a:prstGeom prst="rect">
                      <a:avLst/>
                    </a:prstGeom>
                    <a:noFill/>
                    <a:ln>
                      <a:noFill/>
                    </a:ln>
                  </pic:spPr>
                </pic:pic>
              </a:graphicData>
            </a:graphic>
          </wp:inline>
        </w:drawing>
      </w:r>
    </w:p>
    <w:p w14:paraId="04A5EF04" w14:textId="1E70886B" w:rsidR="00FC4FE5" w:rsidRDefault="00FC4FE5" w:rsidP="00FC4FE5">
      <w:pPr>
        <w:bidi w:val="0"/>
        <w:jc w:val="center"/>
        <w:rPr>
          <w:rFonts w:eastAsia="Calibri"/>
          <w:sz w:val="18"/>
          <w:szCs w:val="18"/>
        </w:rPr>
      </w:pPr>
      <w:r w:rsidRPr="00C805FB">
        <w:rPr>
          <w:sz w:val="18"/>
          <w:szCs w:val="18"/>
        </w:rPr>
        <w:t xml:space="preserve">Fig </w:t>
      </w:r>
      <w:r w:rsidRPr="00C805FB">
        <w:rPr>
          <w:sz w:val="18"/>
          <w:szCs w:val="18"/>
        </w:rPr>
        <w:fldChar w:fldCharType="begin"/>
      </w:r>
      <w:r w:rsidRPr="00C805FB">
        <w:rPr>
          <w:sz w:val="18"/>
          <w:szCs w:val="18"/>
        </w:rPr>
        <w:instrText xml:space="preserve"> SEQ Figure \* ARABIC </w:instrText>
      </w:r>
      <w:r w:rsidRPr="00C805FB">
        <w:rPr>
          <w:sz w:val="18"/>
          <w:szCs w:val="18"/>
        </w:rPr>
        <w:fldChar w:fldCharType="separate"/>
      </w:r>
      <w:r w:rsidR="00042FA0">
        <w:rPr>
          <w:noProof/>
          <w:sz w:val="18"/>
          <w:szCs w:val="18"/>
        </w:rPr>
        <w:t>1</w:t>
      </w:r>
      <w:r w:rsidRPr="00C805FB">
        <w:rPr>
          <w:noProof/>
          <w:sz w:val="18"/>
          <w:szCs w:val="18"/>
        </w:rPr>
        <w:fldChar w:fldCharType="end"/>
      </w:r>
      <w:r w:rsidRPr="00C805FB">
        <w:rPr>
          <w:sz w:val="18"/>
          <w:szCs w:val="18"/>
        </w:rPr>
        <w:t xml:space="preserve">. </w:t>
      </w:r>
      <w:bookmarkStart w:id="4" w:name="_Toc142423365"/>
      <w:r w:rsidRPr="00C805FB">
        <w:rPr>
          <w:rFonts w:eastAsia="Calibri"/>
          <w:sz w:val="18"/>
          <w:szCs w:val="18"/>
        </w:rPr>
        <w:t>NSAID intake among the study groups.</w:t>
      </w:r>
      <w:bookmarkEnd w:id="4"/>
    </w:p>
    <w:p w14:paraId="316655F8" w14:textId="77777777" w:rsidR="00C805FB" w:rsidRPr="00C805FB" w:rsidRDefault="00C805FB" w:rsidP="00C805FB">
      <w:pPr>
        <w:bidi w:val="0"/>
        <w:jc w:val="center"/>
        <w:rPr>
          <w:rFonts w:eastAsia="Calibri"/>
          <w:b/>
          <w:bCs/>
          <w:sz w:val="18"/>
          <w:szCs w:val="18"/>
        </w:rPr>
      </w:pPr>
    </w:p>
    <w:p w14:paraId="3047337A" w14:textId="46350C53" w:rsidR="00B060DC" w:rsidRDefault="00652184" w:rsidP="00BE4619">
      <w:pPr>
        <w:pStyle w:val="Heading1"/>
        <w:spacing w:after="240"/>
        <w:ind w:firstLine="720"/>
        <w:rPr>
          <w:rFonts w:eastAsia="SimSun"/>
          <w:color w:val="auto"/>
          <w:sz w:val="24"/>
          <w:szCs w:val="24"/>
          <w:lang w:eastAsia="zh-CN"/>
        </w:rPr>
      </w:pPr>
      <w:r w:rsidRPr="00E7572F">
        <w:rPr>
          <w:rFonts w:eastAsia="SimSun"/>
          <w:b w:val="0"/>
          <w:bCs w:val="0"/>
          <w:color w:val="auto"/>
          <w:sz w:val="24"/>
          <w:szCs w:val="24"/>
          <w:lang w:eastAsia="zh-CN"/>
        </w:rPr>
        <w:t xml:space="preserve">Almost all patients in the fistula group experienced fistula closure, as confirmed by cross-imaging studies, with only one patient exhibiting </w:t>
      </w:r>
      <w:r w:rsidR="00D90BB8">
        <w:rPr>
          <w:rFonts w:eastAsia="SimSun"/>
          <w:b w:val="0"/>
          <w:bCs w:val="0"/>
          <w:color w:val="auto"/>
          <w:sz w:val="24"/>
          <w:szCs w:val="24"/>
          <w:lang w:eastAsia="zh-CN"/>
        </w:rPr>
        <w:t xml:space="preserve">a </w:t>
      </w:r>
      <w:r w:rsidRPr="00E7572F">
        <w:rPr>
          <w:rFonts w:eastAsia="SimSun"/>
          <w:b w:val="0"/>
          <w:bCs w:val="0"/>
          <w:color w:val="auto"/>
          <w:sz w:val="24"/>
          <w:szCs w:val="24"/>
          <w:lang w:eastAsia="zh-CN"/>
        </w:rPr>
        <w:t>persistent fistula. This patient was receiving conventional treatment, including immunomodulators and corticosteroids</w:t>
      </w:r>
      <w:r w:rsidR="00E27EC1">
        <w:rPr>
          <w:rFonts w:eastAsia="SimSun"/>
          <w:b w:val="0"/>
          <w:bCs w:val="0"/>
          <w:color w:val="auto"/>
          <w:sz w:val="24"/>
          <w:szCs w:val="24"/>
          <w:lang w:eastAsia="zh-CN"/>
        </w:rPr>
        <w:t xml:space="preserve"> Fig.</w:t>
      </w:r>
      <w:r w:rsidR="002C7A1F" w:rsidRPr="00E7572F">
        <w:rPr>
          <w:rFonts w:eastAsia="SimSun"/>
          <w:color w:val="auto"/>
          <w:sz w:val="24"/>
          <w:szCs w:val="24"/>
          <w:lang w:eastAsia="zh-CN"/>
        </w:rPr>
        <w:t xml:space="preserve"> 2</w:t>
      </w:r>
      <w:r w:rsidR="00E27EC1">
        <w:rPr>
          <w:rFonts w:eastAsia="SimSun"/>
          <w:color w:val="auto"/>
          <w:sz w:val="24"/>
          <w:szCs w:val="24"/>
          <w:lang w:eastAsia="zh-CN"/>
        </w:rPr>
        <w:t>.</w:t>
      </w:r>
    </w:p>
    <w:p w14:paraId="39E5A38C" w14:textId="77777777" w:rsidR="00FC4FE5" w:rsidRDefault="00FC4FE5" w:rsidP="00FC4FE5">
      <w:pPr>
        <w:keepNext/>
        <w:bidi w:val="0"/>
        <w:jc w:val="both"/>
      </w:pPr>
      <w:r>
        <w:rPr>
          <w:noProof/>
        </w:rPr>
        <w:drawing>
          <wp:inline distT="0" distB="0" distL="0" distR="0" wp14:anchorId="3B789A39" wp14:editId="257C53F9">
            <wp:extent cx="5025404" cy="3026664"/>
            <wp:effectExtent l="0" t="0" r="3810" b="2540"/>
            <wp:docPr id="1" name="Picture 1" descr="Figure (2): Fistula's outcome after treatment among patients of fistul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Fistula's outcome after treatment among patients of fistula group."/>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5404" cy="3026664"/>
                    </a:xfrm>
                    <a:prstGeom prst="rect">
                      <a:avLst/>
                    </a:prstGeom>
                    <a:noFill/>
                    <a:ln>
                      <a:noFill/>
                    </a:ln>
                  </pic:spPr>
                </pic:pic>
              </a:graphicData>
            </a:graphic>
          </wp:inline>
        </w:drawing>
      </w:r>
    </w:p>
    <w:p w14:paraId="0A22CD99" w14:textId="56BCB890" w:rsidR="00FC4FE5" w:rsidRPr="00C805FB" w:rsidRDefault="00FC4FE5" w:rsidP="00FC4FE5">
      <w:pPr>
        <w:bidi w:val="0"/>
        <w:jc w:val="center"/>
        <w:rPr>
          <w:rFonts w:eastAsia="Arial"/>
          <w:bCs/>
          <w:sz w:val="18"/>
          <w:szCs w:val="18"/>
        </w:rPr>
      </w:pPr>
      <w:r w:rsidRPr="00C805FB">
        <w:rPr>
          <w:sz w:val="18"/>
          <w:szCs w:val="18"/>
        </w:rPr>
        <w:t xml:space="preserve">Fig </w:t>
      </w:r>
      <w:r w:rsidRPr="00C805FB">
        <w:rPr>
          <w:sz w:val="18"/>
          <w:szCs w:val="18"/>
        </w:rPr>
        <w:fldChar w:fldCharType="begin"/>
      </w:r>
      <w:r w:rsidRPr="00C805FB">
        <w:rPr>
          <w:sz w:val="18"/>
          <w:szCs w:val="18"/>
        </w:rPr>
        <w:instrText xml:space="preserve"> SEQ Figure \* ARABIC </w:instrText>
      </w:r>
      <w:r w:rsidRPr="00C805FB">
        <w:rPr>
          <w:sz w:val="18"/>
          <w:szCs w:val="18"/>
        </w:rPr>
        <w:fldChar w:fldCharType="separate"/>
      </w:r>
      <w:r w:rsidR="00042FA0">
        <w:rPr>
          <w:noProof/>
          <w:sz w:val="18"/>
          <w:szCs w:val="18"/>
        </w:rPr>
        <w:t>2</w:t>
      </w:r>
      <w:r w:rsidRPr="00C805FB">
        <w:rPr>
          <w:noProof/>
          <w:sz w:val="18"/>
          <w:szCs w:val="18"/>
        </w:rPr>
        <w:fldChar w:fldCharType="end"/>
      </w:r>
      <w:r w:rsidRPr="00C805FB">
        <w:rPr>
          <w:sz w:val="18"/>
          <w:szCs w:val="18"/>
        </w:rPr>
        <w:t xml:space="preserve">. </w:t>
      </w:r>
      <w:r w:rsidRPr="00C805FB">
        <w:rPr>
          <w:rFonts w:eastAsia="Arial"/>
          <w:bCs/>
          <w:sz w:val="18"/>
          <w:szCs w:val="18"/>
        </w:rPr>
        <w:t>Fistula's outcome after treatment among patients of fistula group.</w:t>
      </w:r>
    </w:p>
    <w:p w14:paraId="65118903" w14:textId="77777777" w:rsidR="00C805FB" w:rsidRPr="00FC4FE5" w:rsidRDefault="00C805FB" w:rsidP="00C805FB">
      <w:pPr>
        <w:bidi w:val="0"/>
        <w:jc w:val="center"/>
        <w:rPr>
          <w:rFonts w:eastAsia="SimSun"/>
          <w:lang w:eastAsia="zh-CN"/>
        </w:rPr>
      </w:pPr>
    </w:p>
    <w:p w14:paraId="368EAEC8" w14:textId="77777777" w:rsidR="00315FC0" w:rsidRPr="00FE68F6" w:rsidRDefault="00950A9C" w:rsidP="00761A41">
      <w:pPr>
        <w:pStyle w:val="Heading1"/>
        <w:rPr>
          <w:caps/>
          <w:color w:val="auto"/>
          <w:sz w:val="24"/>
          <w:szCs w:val="24"/>
        </w:rPr>
      </w:pPr>
      <w:r w:rsidRPr="00FE68F6">
        <w:rPr>
          <w:caps/>
          <w:color w:val="auto"/>
          <w:sz w:val="24"/>
          <w:szCs w:val="24"/>
        </w:rPr>
        <w:t>Discussion</w:t>
      </w:r>
    </w:p>
    <w:p w14:paraId="2B45109C" w14:textId="08347B90" w:rsidR="003D2DCE" w:rsidRPr="00E7572F" w:rsidRDefault="00A3355D" w:rsidP="00BE4619">
      <w:pPr>
        <w:pStyle w:val="H1"/>
        <w:ind w:firstLine="720"/>
        <w:rPr>
          <w:rFonts w:eastAsia="SimSun"/>
          <w:b w:val="0"/>
          <w:bCs w:val="0"/>
          <w:color w:val="auto"/>
          <w:sz w:val="24"/>
          <w:szCs w:val="24"/>
          <w:lang w:eastAsia="zh-CN"/>
        </w:rPr>
      </w:pPr>
      <w:bookmarkStart w:id="5" w:name="_Hlk535994018"/>
      <w:r w:rsidRPr="00A3355D">
        <w:rPr>
          <w:rFonts w:eastAsia="SimSun"/>
          <w:b w:val="0"/>
          <w:bCs w:val="0"/>
          <w:color w:val="auto"/>
          <w:sz w:val="24"/>
          <w:szCs w:val="24"/>
          <w:lang w:eastAsia="zh-CN"/>
        </w:rPr>
        <w:t xml:space="preserve">Identifying clinical predictors of fistula formation in </w:t>
      </w:r>
      <w:r w:rsidR="000D58AE">
        <w:rPr>
          <w:rFonts w:eastAsia="SimSun"/>
          <w:b w:val="0"/>
          <w:bCs w:val="0"/>
          <w:color w:val="auto"/>
          <w:sz w:val="24"/>
          <w:szCs w:val="24"/>
          <w:lang w:eastAsia="zh-CN"/>
        </w:rPr>
        <w:t>CD</w:t>
      </w:r>
      <w:r w:rsidRPr="00A3355D">
        <w:rPr>
          <w:rFonts w:eastAsia="SimSun"/>
          <w:b w:val="0"/>
          <w:bCs w:val="0"/>
          <w:color w:val="auto"/>
          <w:sz w:val="24"/>
          <w:szCs w:val="24"/>
          <w:lang w:eastAsia="zh-CN"/>
        </w:rPr>
        <w:t xml:space="preserve"> is vital for effective management. Although prior studies have examined serologic, clinical, and genetic factors, their predictive value remains limited. Improved understanding of these markers could enhance risk stratification and e</w:t>
      </w:r>
      <w:r>
        <w:rPr>
          <w:rFonts w:eastAsia="SimSun"/>
          <w:b w:val="0"/>
          <w:bCs w:val="0"/>
          <w:color w:val="auto"/>
          <w:sz w:val="24"/>
          <w:szCs w:val="24"/>
          <w:lang w:eastAsia="zh-CN"/>
        </w:rPr>
        <w:t>nable earlier, targeted therapy</w:t>
      </w:r>
      <w:r w:rsidRPr="00A3355D">
        <w:rPr>
          <w:rFonts w:eastAsia="SimSun"/>
          <w:b w:val="0"/>
          <w:bCs w:val="0"/>
          <w:color w:val="auto"/>
          <w:sz w:val="24"/>
          <w:szCs w:val="24"/>
          <w:lang w:eastAsia="zh-CN"/>
        </w:rPr>
        <w:t xml:space="preserve"> </w:t>
      </w:r>
      <w:r w:rsidR="00040566" w:rsidRPr="00E7572F">
        <w:rPr>
          <w:rFonts w:eastAsia="SimSun"/>
          <w:color w:val="auto"/>
          <w:sz w:val="24"/>
          <w:szCs w:val="24"/>
          <w:lang w:eastAsia="zh-CN"/>
        </w:rPr>
        <w:t>[</w:t>
      </w:r>
      <w:r w:rsidR="00223A49" w:rsidRPr="00E7572F">
        <w:rPr>
          <w:rFonts w:eastAsia="SimSun"/>
          <w:color w:val="auto"/>
          <w:sz w:val="24"/>
          <w:szCs w:val="24"/>
          <w:lang w:eastAsia="zh-CN"/>
        </w:rPr>
        <w:t>15</w:t>
      </w:r>
      <w:r w:rsidR="00040566" w:rsidRPr="00E7572F">
        <w:rPr>
          <w:rFonts w:eastAsia="SimSun"/>
          <w:color w:val="auto"/>
          <w:sz w:val="24"/>
          <w:szCs w:val="24"/>
          <w:lang w:eastAsia="zh-CN"/>
        </w:rPr>
        <w:t>]</w:t>
      </w:r>
      <w:r w:rsidR="000B21C8" w:rsidRPr="00E7572F">
        <w:rPr>
          <w:rFonts w:eastAsia="SimSun"/>
          <w:color w:val="auto"/>
          <w:sz w:val="24"/>
          <w:szCs w:val="24"/>
          <w:lang w:eastAsia="zh-CN"/>
        </w:rPr>
        <w:t>.</w:t>
      </w:r>
      <w:r w:rsidR="008D3B54" w:rsidRPr="00E7572F">
        <w:rPr>
          <w:rFonts w:eastAsia="SimSun"/>
          <w:color w:val="auto"/>
          <w:sz w:val="24"/>
          <w:szCs w:val="24"/>
          <w:lang w:eastAsia="zh-CN"/>
        </w:rPr>
        <w:t xml:space="preserve"> </w:t>
      </w:r>
      <w:r w:rsidR="00927BC7" w:rsidRPr="00E7572F">
        <w:rPr>
          <w:rFonts w:eastAsia="SimSun"/>
          <w:b w:val="0"/>
          <w:bCs w:val="0"/>
          <w:color w:val="auto"/>
          <w:sz w:val="24"/>
          <w:szCs w:val="24"/>
          <w:lang w:eastAsia="zh-CN"/>
        </w:rPr>
        <w:t xml:space="preserve">Unfortunately, this study lacked genetic and serologic markers. </w:t>
      </w:r>
      <w:r w:rsidR="00D90BB8">
        <w:rPr>
          <w:rFonts w:eastAsia="SimSun"/>
          <w:b w:val="0"/>
          <w:bCs w:val="0"/>
          <w:color w:val="auto"/>
          <w:sz w:val="24"/>
          <w:szCs w:val="24"/>
          <w:lang w:eastAsia="zh-CN"/>
        </w:rPr>
        <w:t>An</w:t>
      </w:r>
      <w:r w:rsidR="00927BC7" w:rsidRPr="00E7572F">
        <w:rPr>
          <w:rFonts w:eastAsia="SimSun"/>
          <w:b w:val="0"/>
          <w:bCs w:val="0"/>
          <w:color w:val="auto"/>
          <w:sz w:val="24"/>
          <w:szCs w:val="24"/>
          <w:lang w:eastAsia="zh-CN"/>
        </w:rPr>
        <w:t xml:space="preserve"> extended follow-up period was recommended.</w:t>
      </w:r>
    </w:p>
    <w:p w14:paraId="069428D6" w14:textId="49E300BA" w:rsidR="003D2DCE" w:rsidRPr="00E7572F" w:rsidRDefault="006E618E" w:rsidP="00761A41">
      <w:pPr>
        <w:pStyle w:val="H1"/>
        <w:ind w:firstLine="720"/>
        <w:rPr>
          <w:rFonts w:eastAsia="SimSun"/>
          <w:b w:val="0"/>
          <w:bCs w:val="0"/>
          <w:color w:val="auto"/>
          <w:sz w:val="24"/>
          <w:szCs w:val="24"/>
          <w:lang w:eastAsia="zh-CN"/>
        </w:rPr>
      </w:pPr>
      <w:r w:rsidRPr="006E618E">
        <w:rPr>
          <w:rFonts w:eastAsia="SimSun"/>
          <w:b w:val="0"/>
          <w:bCs w:val="0"/>
          <w:color w:val="auto"/>
          <w:sz w:val="24"/>
          <w:szCs w:val="24"/>
          <w:lang w:eastAsia="zh-CN"/>
        </w:rPr>
        <w:t xml:space="preserve">In our study, although male patients were more frequently observed in the fistula group, the difference between groups was not statistically significant. Similarly, age differences did not reach statistical significance. This aligns partly with Zeitz et al., who, using SIBDCS data from 1,600 patients, linked male sex and younger age at diagnosis to higher risks of perianal and non-perianal fistulae </w:t>
      </w:r>
      <w:r w:rsidRPr="006E618E">
        <w:rPr>
          <w:rFonts w:eastAsia="SimSun"/>
          <w:color w:val="auto"/>
          <w:sz w:val="24"/>
          <w:szCs w:val="24"/>
          <w:lang w:eastAsia="zh-CN"/>
        </w:rPr>
        <w:t xml:space="preserve">[10]. </w:t>
      </w:r>
      <w:r w:rsidRPr="006E618E">
        <w:rPr>
          <w:rFonts w:eastAsia="SimSun"/>
          <w:b w:val="0"/>
          <w:bCs w:val="0"/>
          <w:color w:val="auto"/>
          <w:sz w:val="24"/>
          <w:szCs w:val="24"/>
          <w:lang w:eastAsia="zh-CN"/>
        </w:rPr>
        <w:t xml:space="preserve">Similarly, </w:t>
      </w:r>
      <w:proofErr w:type="spellStart"/>
      <w:r w:rsidRPr="006E618E">
        <w:rPr>
          <w:rFonts w:eastAsia="SimSun"/>
          <w:b w:val="0"/>
          <w:bCs w:val="0"/>
          <w:color w:val="auto"/>
          <w:sz w:val="24"/>
          <w:szCs w:val="24"/>
          <w:lang w:eastAsia="zh-CN"/>
        </w:rPr>
        <w:t>Cosnes</w:t>
      </w:r>
      <w:proofErr w:type="spellEnd"/>
      <w:r w:rsidRPr="006E618E">
        <w:rPr>
          <w:rFonts w:eastAsia="SimSun"/>
          <w:b w:val="0"/>
          <w:bCs w:val="0"/>
          <w:color w:val="auto"/>
          <w:sz w:val="24"/>
          <w:szCs w:val="24"/>
          <w:lang w:eastAsia="zh-CN"/>
        </w:rPr>
        <w:t xml:space="preserve"> et al. found that Crohn’s disease diagnosed before age 40 increased the likelihood of penetrating complications and a more severe disease course </w:t>
      </w:r>
      <w:r w:rsidRPr="006E618E">
        <w:rPr>
          <w:rFonts w:eastAsia="SimSun"/>
          <w:color w:val="auto"/>
          <w:sz w:val="24"/>
          <w:szCs w:val="24"/>
          <w:lang w:eastAsia="zh-CN"/>
        </w:rPr>
        <w:t>[16].</w:t>
      </w:r>
    </w:p>
    <w:p w14:paraId="05F6120D" w14:textId="3B3BF83C" w:rsidR="003D2DCE" w:rsidRPr="00E7572F" w:rsidRDefault="006E618E" w:rsidP="00761A41">
      <w:pPr>
        <w:pStyle w:val="H1"/>
        <w:ind w:firstLine="720"/>
        <w:rPr>
          <w:rFonts w:eastAsia="SimSun"/>
          <w:b w:val="0"/>
          <w:bCs w:val="0"/>
          <w:color w:val="auto"/>
          <w:sz w:val="24"/>
          <w:szCs w:val="24"/>
          <w:lang w:eastAsia="zh-CN"/>
        </w:rPr>
      </w:pPr>
      <w:r w:rsidRPr="006E618E">
        <w:rPr>
          <w:rFonts w:eastAsia="SimSun"/>
          <w:b w:val="0"/>
          <w:bCs w:val="0"/>
          <w:color w:val="auto"/>
          <w:sz w:val="24"/>
          <w:szCs w:val="24"/>
          <w:lang w:eastAsia="zh-CN"/>
        </w:rPr>
        <w:t xml:space="preserve">In </w:t>
      </w:r>
      <w:r w:rsidR="000D58AE">
        <w:rPr>
          <w:rFonts w:eastAsia="SimSun"/>
          <w:b w:val="0"/>
          <w:bCs w:val="0"/>
          <w:color w:val="auto"/>
          <w:sz w:val="24"/>
          <w:szCs w:val="24"/>
          <w:lang w:eastAsia="zh-CN"/>
        </w:rPr>
        <w:t>this</w:t>
      </w:r>
      <w:r w:rsidRPr="006E618E">
        <w:rPr>
          <w:rFonts w:eastAsia="SimSun"/>
          <w:b w:val="0"/>
          <w:bCs w:val="0"/>
          <w:color w:val="auto"/>
          <w:sz w:val="24"/>
          <w:szCs w:val="24"/>
          <w:lang w:eastAsia="zh-CN"/>
        </w:rPr>
        <w:t xml:space="preserve"> study, smoking was more common in the fistula group, but </w:t>
      </w:r>
      <w:r w:rsidR="00D90BB8">
        <w:rPr>
          <w:rFonts w:eastAsia="SimSun"/>
          <w:b w:val="0"/>
          <w:bCs w:val="0"/>
          <w:color w:val="auto"/>
          <w:sz w:val="24"/>
          <w:szCs w:val="24"/>
          <w:lang w:eastAsia="zh-CN"/>
        </w:rPr>
        <w:t xml:space="preserve">it was </w:t>
      </w:r>
      <w:r w:rsidRPr="006E618E">
        <w:rPr>
          <w:rFonts w:eastAsia="SimSun"/>
          <w:b w:val="0"/>
          <w:bCs w:val="0"/>
          <w:color w:val="auto"/>
          <w:sz w:val="24"/>
          <w:szCs w:val="24"/>
          <w:lang w:eastAsia="zh-CN"/>
        </w:rPr>
        <w:t xml:space="preserve">not statistically significant. This supports Braithwaite et al.'s review, which found smoking was not a strong predictor of fistulae </w:t>
      </w:r>
      <w:r w:rsidRPr="006E618E">
        <w:rPr>
          <w:rFonts w:eastAsia="SimSun"/>
          <w:color w:val="auto"/>
          <w:sz w:val="24"/>
          <w:szCs w:val="24"/>
          <w:lang w:eastAsia="zh-CN"/>
        </w:rPr>
        <w:t>[17].</w:t>
      </w:r>
      <w:r w:rsidRPr="006E618E">
        <w:rPr>
          <w:rFonts w:eastAsia="SimSun"/>
          <w:b w:val="0"/>
          <w:bCs w:val="0"/>
          <w:color w:val="auto"/>
          <w:sz w:val="24"/>
          <w:szCs w:val="24"/>
          <w:lang w:eastAsia="zh-CN"/>
        </w:rPr>
        <w:t xml:space="preserve"> However, Patel et al. (2016) linked smoking to poor disease control, supporting cessation in Crohn’s management </w:t>
      </w:r>
      <w:r w:rsidRPr="006E618E">
        <w:rPr>
          <w:rFonts w:eastAsia="SimSun"/>
          <w:color w:val="auto"/>
          <w:sz w:val="24"/>
          <w:szCs w:val="24"/>
          <w:lang w:eastAsia="zh-CN"/>
        </w:rPr>
        <w:t>[18].</w:t>
      </w:r>
    </w:p>
    <w:p w14:paraId="71EA64E3" w14:textId="26F48E65" w:rsidR="00703DB4" w:rsidRPr="00E7572F" w:rsidRDefault="00BE749F" w:rsidP="00D376D1">
      <w:pPr>
        <w:pStyle w:val="H1"/>
        <w:ind w:firstLine="720"/>
        <w:jc w:val="left"/>
        <w:rPr>
          <w:color w:val="auto"/>
        </w:rPr>
      </w:pPr>
      <w:r w:rsidRPr="00E7572F">
        <w:rPr>
          <w:rFonts w:eastAsia="SimSun"/>
          <w:b w:val="0"/>
          <w:bCs w:val="0"/>
          <w:color w:val="auto"/>
          <w:sz w:val="24"/>
          <w:szCs w:val="24"/>
          <w:lang w:eastAsia="zh-CN"/>
        </w:rPr>
        <w:t>A significant finding in this study was the strong association between NSAID use and the development of f</w:t>
      </w:r>
      <w:r w:rsidR="00AE2BBD">
        <w:rPr>
          <w:rFonts w:eastAsia="SimSun"/>
          <w:b w:val="0"/>
          <w:bCs w:val="0"/>
          <w:color w:val="auto"/>
          <w:sz w:val="24"/>
          <w:szCs w:val="24"/>
          <w:lang w:eastAsia="zh-CN"/>
        </w:rPr>
        <w:t>istulizing Crohn’s disease (p =</w:t>
      </w:r>
      <w:r w:rsidRPr="00E7572F">
        <w:rPr>
          <w:rFonts w:eastAsia="SimSun"/>
          <w:b w:val="0"/>
          <w:bCs w:val="0"/>
          <w:color w:val="auto"/>
          <w:sz w:val="24"/>
          <w:szCs w:val="24"/>
          <w:lang w:eastAsia="zh-CN"/>
        </w:rPr>
        <w:t xml:space="preserve">0.008). Logistic regression analysis confirmed that NSAID intake was an independent risk factor for fistula formation, increasing the likelihood </w:t>
      </w:r>
      <w:r w:rsidR="00AE2BBD">
        <w:rPr>
          <w:rFonts w:eastAsia="SimSun"/>
          <w:b w:val="0"/>
          <w:bCs w:val="0"/>
          <w:color w:val="auto"/>
          <w:sz w:val="24"/>
          <w:szCs w:val="24"/>
          <w:lang w:eastAsia="zh-CN"/>
        </w:rPr>
        <w:t>by approximately fourfold (OR =</w:t>
      </w:r>
      <w:r w:rsidRPr="00E7572F">
        <w:rPr>
          <w:rFonts w:eastAsia="SimSun"/>
          <w:b w:val="0"/>
          <w:bCs w:val="0"/>
          <w:color w:val="auto"/>
          <w:sz w:val="24"/>
          <w:szCs w:val="24"/>
          <w:lang w:eastAsia="zh-CN"/>
        </w:rPr>
        <w:t>4.03).</w:t>
      </w:r>
      <w:r w:rsidR="00490EBE" w:rsidRPr="00E7572F">
        <w:rPr>
          <w:color w:val="auto"/>
        </w:rPr>
        <w:t xml:space="preserve"> </w:t>
      </w:r>
      <w:r w:rsidR="00490EBE" w:rsidRPr="00E7572F">
        <w:rPr>
          <w:rFonts w:eastAsia="SimSun"/>
          <w:b w:val="0"/>
          <w:bCs w:val="0"/>
          <w:color w:val="auto"/>
          <w:sz w:val="24"/>
          <w:szCs w:val="24"/>
          <w:lang w:eastAsia="zh-CN"/>
        </w:rPr>
        <w:t>Our study further demonstrated that NSAID users had poorer treatment outcomes, as assessed by imaging studies (MRE and CTE), c</w:t>
      </w:r>
      <w:r w:rsidR="00AE2BBD">
        <w:rPr>
          <w:rFonts w:eastAsia="SimSun"/>
          <w:b w:val="0"/>
          <w:bCs w:val="0"/>
          <w:color w:val="auto"/>
          <w:sz w:val="24"/>
          <w:szCs w:val="24"/>
          <w:lang w:eastAsia="zh-CN"/>
        </w:rPr>
        <w:t>ompared to non-NSAID users (p &lt;</w:t>
      </w:r>
      <w:r w:rsidR="00490EBE" w:rsidRPr="00E7572F">
        <w:rPr>
          <w:rFonts w:eastAsia="SimSun"/>
          <w:b w:val="0"/>
          <w:bCs w:val="0"/>
          <w:color w:val="auto"/>
          <w:sz w:val="24"/>
          <w:szCs w:val="24"/>
          <w:lang w:eastAsia="zh-CN"/>
        </w:rPr>
        <w:t>0.001). These results underscore the importance of minimizing NSAID use in patients with CD to prevent disease progression and improve therapeutic efficacy.</w:t>
      </w:r>
    </w:p>
    <w:p w14:paraId="63216ADA" w14:textId="482D531F" w:rsidR="003D2DCE" w:rsidRPr="00E7572F" w:rsidRDefault="009F74FA"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NSAIDs are widely prescribed for arthritis management; however, they are known to aggravate intestinal inflammation in individuals with Crohn’s disease (CD). This association suggests a possible link between arthritis, NSAID use, and the development of fistulizing CD. In the fistula group, 9 out of 18 patients who reported NSAID use were taking them for arthritis treatment. Similarly, in the non-fistula group, 4 out of 7 NSAID users used them for arthritis management.</w:t>
      </w:r>
    </w:p>
    <w:p w14:paraId="57BEBD4C" w14:textId="784E9D1D" w:rsidR="003D2DCE" w:rsidRPr="00E7572F" w:rsidRDefault="00DB307D"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In two individuals with CD</w:t>
      </w:r>
      <w:r w:rsidR="005862EF" w:rsidRPr="00E7572F">
        <w:rPr>
          <w:rFonts w:eastAsia="SimSun"/>
          <w:b w:val="0"/>
          <w:bCs w:val="0"/>
          <w:color w:val="auto"/>
          <w:sz w:val="24"/>
          <w:szCs w:val="24"/>
          <w:lang w:eastAsia="zh-CN"/>
        </w:rPr>
        <w:t xml:space="preserve"> </w:t>
      </w:r>
      <w:r w:rsidR="00D90BB8">
        <w:rPr>
          <w:rFonts w:eastAsia="SimSun"/>
          <w:b w:val="0"/>
          <w:bCs w:val="0"/>
          <w:color w:val="auto"/>
          <w:sz w:val="24"/>
          <w:szCs w:val="24"/>
          <w:lang w:eastAsia="zh-CN"/>
        </w:rPr>
        <w:t xml:space="preserve">and ileo-colonic conditions, </w:t>
      </w:r>
      <w:proofErr w:type="spellStart"/>
      <w:r w:rsidR="00B7479A">
        <w:rPr>
          <w:rFonts w:eastAsia="SimSun"/>
          <w:b w:val="0"/>
          <w:bCs w:val="0"/>
          <w:color w:val="auto"/>
          <w:sz w:val="24"/>
          <w:szCs w:val="24"/>
          <w:lang w:eastAsia="zh-CN"/>
        </w:rPr>
        <w:t>R</w:t>
      </w:r>
      <w:r w:rsidR="00D90BB8">
        <w:rPr>
          <w:rFonts w:eastAsia="SimSun"/>
          <w:b w:val="0"/>
          <w:bCs w:val="0"/>
          <w:color w:val="auto"/>
          <w:sz w:val="24"/>
          <w:szCs w:val="24"/>
          <w:lang w:eastAsia="zh-CN"/>
        </w:rPr>
        <w:t>ofecoxib</w:t>
      </w:r>
      <w:proofErr w:type="spellEnd"/>
      <w:r w:rsidR="00D90BB8">
        <w:rPr>
          <w:rFonts w:eastAsia="SimSun"/>
          <w:b w:val="0"/>
          <w:bCs w:val="0"/>
          <w:color w:val="auto"/>
          <w:sz w:val="24"/>
          <w:szCs w:val="24"/>
          <w:lang w:eastAsia="zh-CN"/>
        </w:rPr>
        <w:t xml:space="preserve"> (12.5 mg/day) was </w:t>
      </w:r>
      <w:r w:rsidR="005060B5">
        <w:rPr>
          <w:rFonts w:eastAsia="SimSun"/>
          <w:b w:val="0"/>
          <w:bCs w:val="0"/>
          <w:color w:val="auto"/>
          <w:sz w:val="24"/>
          <w:szCs w:val="24"/>
          <w:lang w:eastAsia="zh-CN"/>
        </w:rPr>
        <w:t>discontinued after 1 and 3 days, respectively, due to bleeding from a perianal fistula, as reported in a prospective, open-label study</w:t>
      </w:r>
      <w:r w:rsidRPr="00E7572F">
        <w:rPr>
          <w:rFonts w:eastAsia="SimSun"/>
          <w:b w:val="0"/>
          <w:bCs w:val="0"/>
          <w:color w:val="auto"/>
          <w:sz w:val="24"/>
          <w:szCs w:val="24"/>
          <w:lang w:eastAsia="zh-CN"/>
        </w:rPr>
        <w:t xml:space="preserve"> by Reinisch et al. This emphasizes the possible hazards associated with</w:t>
      </w:r>
      <w:r w:rsidR="005862EF" w:rsidRPr="00E7572F">
        <w:rPr>
          <w:rFonts w:eastAsia="SimSun"/>
          <w:b w:val="0"/>
          <w:bCs w:val="0"/>
          <w:color w:val="auto"/>
          <w:sz w:val="24"/>
          <w:szCs w:val="24"/>
          <w:lang w:eastAsia="zh-CN"/>
        </w:rPr>
        <w:t xml:space="preserve"> using Cox-2 selective NSAIDs (</w:t>
      </w:r>
      <w:r w:rsidR="00E27EC1">
        <w:rPr>
          <w:rFonts w:eastAsia="SimSun"/>
          <w:b w:val="0"/>
          <w:bCs w:val="0"/>
          <w:color w:val="auto"/>
          <w:sz w:val="24"/>
          <w:szCs w:val="24"/>
          <w:lang w:eastAsia="zh-CN"/>
        </w:rPr>
        <w:t>R</w:t>
      </w:r>
      <w:r w:rsidRPr="00E7572F">
        <w:rPr>
          <w:rFonts w:eastAsia="SimSun"/>
          <w:b w:val="0"/>
          <w:bCs w:val="0"/>
          <w:color w:val="auto"/>
          <w:sz w:val="24"/>
          <w:szCs w:val="24"/>
          <w:lang w:eastAsia="zh-CN"/>
        </w:rPr>
        <w:t xml:space="preserve">ofecoxib) and additional NSAIDs among people with CD </w:t>
      </w:r>
      <w:r w:rsidR="00040566" w:rsidRPr="00E7572F">
        <w:rPr>
          <w:rFonts w:eastAsia="SimSun"/>
          <w:color w:val="auto"/>
          <w:sz w:val="24"/>
          <w:szCs w:val="24"/>
          <w:lang w:eastAsia="zh-CN"/>
        </w:rPr>
        <w:t>[</w:t>
      </w:r>
      <w:r w:rsidR="002C0FA9" w:rsidRPr="00E7572F">
        <w:rPr>
          <w:rFonts w:eastAsia="SimSun"/>
          <w:color w:val="auto"/>
          <w:sz w:val="24"/>
          <w:szCs w:val="24"/>
          <w:lang w:eastAsia="zh-CN"/>
        </w:rPr>
        <w:t>19</w:t>
      </w:r>
      <w:r w:rsidR="00040566" w:rsidRPr="00E7572F">
        <w:rPr>
          <w:rFonts w:eastAsia="SimSun"/>
          <w:color w:val="auto"/>
          <w:sz w:val="24"/>
          <w:szCs w:val="24"/>
          <w:lang w:eastAsia="zh-CN"/>
        </w:rPr>
        <w:t>]</w:t>
      </w:r>
      <w:r w:rsidR="000B21C8" w:rsidRPr="00E7572F">
        <w:rPr>
          <w:rFonts w:eastAsia="SimSun"/>
          <w:color w:val="auto"/>
          <w:sz w:val="24"/>
          <w:szCs w:val="24"/>
          <w:lang w:eastAsia="zh-CN"/>
        </w:rPr>
        <w:t>.</w:t>
      </w:r>
    </w:p>
    <w:p w14:paraId="4B70E40D" w14:textId="5C7C3B09" w:rsidR="003D2DCE" w:rsidRPr="00E7572F" w:rsidRDefault="000D58AE" w:rsidP="00FE68F6">
      <w:pPr>
        <w:pStyle w:val="H1"/>
        <w:ind w:firstLine="720"/>
        <w:rPr>
          <w:rFonts w:eastAsia="SimSun"/>
          <w:color w:val="auto"/>
          <w:sz w:val="24"/>
          <w:szCs w:val="24"/>
          <w:lang w:eastAsia="zh-CN"/>
        </w:rPr>
      </w:pPr>
      <w:r w:rsidRPr="000D58AE">
        <w:rPr>
          <w:rFonts w:eastAsia="SimSun"/>
          <w:b w:val="0"/>
          <w:bCs w:val="0"/>
          <w:color w:val="auto"/>
          <w:sz w:val="24"/>
          <w:szCs w:val="24"/>
          <w:lang w:eastAsia="zh-CN"/>
        </w:rPr>
        <w:t xml:space="preserve">Consistent with our findings, Long et al. demonstrated that frequent NSAID intake (≥5 times per month) was linked to a higher risk of Crohn’s disease relapse. In their cohort of 791 patients in remission, 247 (43.2%) reported NSAID use, and those with regular exposure showed a significantly greater likelihood of active disease at six months (23% vs. 15%, p = 0.04; adjusted RR = 1.65, 95% CI = 1.12–2.44). These results suggest that habitual NSAID consumption may contribute to disease reactivation. </w:t>
      </w:r>
      <w:r w:rsidR="00040566" w:rsidRPr="00E7572F">
        <w:rPr>
          <w:rFonts w:eastAsia="SimSun"/>
          <w:color w:val="auto"/>
          <w:sz w:val="24"/>
          <w:szCs w:val="24"/>
          <w:lang w:eastAsia="zh-CN"/>
        </w:rPr>
        <w:t>[</w:t>
      </w:r>
      <w:r w:rsidR="002C0FA9" w:rsidRPr="00E7572F">
        <w:rPr>
          <w:rFonts w:eastAsia="SimSun"/>
          <w:color w:val="auto"/>
          <w:sz w:val="24"/>
          <w:szCs w:val="24"/>
          <w:lang w:eastAsia="zh-CN"/>
        </w:rPr>
        <w:t>20</w:t>
      </w:r>
      <w:r w:rsidR="00040566" w:rsidRPr="00E7572F">
        <w:rPr>
          <w:rFonts w:eastAsia="SimSun"/>
          <w:color w:val="auto"/>
          <w:sz w:val="24"/>
          <w:szCs w:val="24"/>
          <w:lang w:eastAsia="zh-CN"/>
        </w:rPr>
        <w:t>]</w:t>
      </w:r>
      <w:r w:rsidR="000B21C8" w:rsidRPr="00E7572F">
        <w:rPr>
          <w:rFonts w:eastAsia="SimSun"/>
          <w:color w:val="auto"/>
          <w:sz w:val="24"/>
          <w:szCs w:val="24"/>
          <w:lang w:eastAsia="zh-CN"/>
        </w:rPr>
        <w:t>.</w:t>
      </w:r>
    </w:p>
    <w:p w14:paraId="27D849B5" w14:textId="7A7520CA" w:rsidR="00A63751" w:rsidRPr="00E7572F" w:rsidRDefault="004B7911"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In this study, </w:t>
      </w:r>
      <w:r w:rsidR="00D90BB8">
        <w:rPr>
          <w:rFonts w:eastAsia="SimSun"/>
          <w:b w:val="0"/>
          <w:bCs w:val="0"/>
          <w:color w:val="auto"/>
          <w:sz w:val="24"/>
          <w:szCs w:val="24"/>
          <w:lang w:eastAsia="zh-CN"/>
        </w:rPr>
        <w:t>arthritis was observed in 19 patients (42.2%) in the non-fistula group, comprising</w:t>
      </w:r>
      <w:r w:rsidRPr="00E7572F">
        <w:rPr>
          <w:rFonts w:eastAsia="SimSun"/>
          <w:b w:val="0"/>
          <w:bCs w:val="0"/>
          <w:color w:val="auto"/>
          <w:sz w:val="24"/>
          <w:szCs w:val="24"/>
          <w:lang w:eastAsia="zh-CN"/>
        </w:rPr>
        <w:t xml:space="preserve"> 16 with peripheral arthritis and 3 with axial arthritis. In the non-fistula group, 12 patients (26.6%) had arthritis, with 11 cases of peripheral arthritis and 1 case of axial arthritis. Although the difference between the two groups is not statistically significant—either in the overall prevalence of arthritis or in its specific subtypes—the higher occurrence of arthritis in the fistula group aligns with previous studies suggesting that arthritis is a marker of more aggressive disease phenotypes, such as fistulizing and </w:t>
      </w:r>
      <w:proofErr w:type="spellStart"/>
      <w:r w:rsidRPr="00E7572F">
        <w:rPr>
          <w:rFonts w:eastAsia="SimSun"/>
          <w:b w:val="0"/>
          <w:bCs w:val="0"/>
          <w:color w:val="auto"/>
          <w:sz w:val="24"/>
          <w:szCs w:val="24"/>
          <w:lang w:eastAsia="zh-CN"/>
        </w:rPr>
        <w:t>stricturing</w:t>
      </w:r>
      <w:proofErr w:type="spellEnd"/>
      <w:r w:rsidRPr="00E7572F">
        <w:rPr>
          <w:rFonts w:eastAsia="SimSun"/>
          <w:b w:val="0"/>
          <w:bCs w:val="0"/>
          <w:color w:val="auto"/>
          <w:sz w:val="24"/>
          <w:szCs w:val="24"/>
          <w:lang w:eastAsia="zh-CN"/>
        </w:rPr>
        <w:t xml:space="preserve"> forms.</w:t>
      </w:r>
    </w:p>
    <w:p w14:paraId="121CA7A0" w14:textId="6594D6F5" w:rsidR="004E5645" w:rsidRPr="00E7572F" w:rsidRDefault="00A63751" w:rsidP="00761A41">
      <w:pPr>
        <w:pStyle w:val="H1"/>
        <w:ind w:firstLine="720"/>
        <w:rPr>
          <w:b w:val="0"/>
          <w:bCs w:val="0"/>
          <w:color w:val="auto"/>
        </w:rPr>
      </w:pPr>
      <w:r w:rsidRPr="00E7572F">
        <w:rPr>
          <w:rFonts w:eastAsia="SimSun"/>
          <w:b w:val="0"/>
          <w:bCs w:val="0"/>
          <w:color w:val="auto"/>
          <w:sz w:val="24"/>
          <w:szCs w:val="24"/>
          <w:lang w:eastAsia="zh-CN"/>
        </w:rPr>
        <w:t xml:space="preserve">Vavricka et al. conducted a prospective cohort study on patients with inflammatory bowel disease (IBD) from an adult clinic in Switzerland. The study included 950 patients, of whom 580 (61%) had </w:t>
      </w:r>
      <w:r w:rsidR="00661BA9">
        <w:rPr>
          <w:rFonts w:eastAsia="SimSun"/>
          <w:b w:val="0"/>
          <w:bCs w:val="0"/>
          <w:color w:val="auto"/>
          <w:sz w:val="24"/>
          <w:szCs w:val="24"/>
          <w:lang w:eastAsia="zh-CN"/>
        </w:rPr>
        <w:t>CD</w:t>
      </w:r>
      <w:r w:rsidRPr="00E7572F">
        <w:rPr>
          <w:rFonts w:eastAsia="SimSun"/>
          <w:b w:val="0"/>
          <w:bCs w:val="0"/>
          <w:color w:val="auto"/>
          <w:sz w:val="24"/>
          <w:szCs w:val="24"/>
          <w:lang w:eastAsia="zh-CN"/>
        </w:rPr>
        <w:t>, with a mean age of 41 years. Among those with CD, 249 patients (43%) exhibited extraintestinal manifestations, with arthritis being the most prevalent (33%), followed by aphthous stomatitis (10%), uveitis (6%), erythema nodosum (6%), ankylosing spondylitis (6%), psoriasis (2%), pyoderma gangrenosum (2%), and primary sclerosing cholangitis (1%). Multiple logistic regression analysis identified active disease (</w:t>
      </w:r>
      <w:r w:rsidR="00AE2BBD">
        <w:rPr>
          <w:rFonts w:eastAsia="SimSun"/>
          <w:b w:val="0"/>
          <w:bCs w:val="0"/>
          <w:color w:val="auto"/>
          <w:sz w:val="24"/>
          <w:szCs w:val="24"/>
          <w:lang w:eastAsia="zh-CN"/>
        </w:rPr>
        <w:t>OR =</w:t>
      </w:r>
      <w:r w:rsidRPr="00E7572F">
        <w:rPr>
          <w:rFonts w:eastAsia="SimSun"/>
          <w:b w:val="0"/>
          <w:bCs w:val="0"/>
          <w:color w:val="auto"/>
          <w:sz w:val="24"/>
          <w:szCs w:val="24"/>
          <w:lang w:eastAsia="zh-CN"/>
        </w:rPr>
        <w:t xml:space="preserve">1.95, 95% </w:t>
      </w:r>
      <w:r w:rsidR="00AE2BBD">
        <w:rPr>
          <w:rFonts w:eastAsia="SimSun"/>
          <w:b w:val="0"/>
          <w:bCs w:val="0"/>
          <w:color w:val="auto"/>
          <w:sz w:val="24"/>
          <w:szCs w:val="24"/>
          <w:lang w:eastAsia="zh-CN"/>
        </w:rPr>
        <w:t>CI =1.17–3.23, P =</w:t>
      </w:r>
      <w:r w:rsidRPr="00E7572F">
        <w:rPr>
          <w:rFonts w:eastAsia="SimSun"/>
          <w:b w:val="0"/>
          <w:bCs w:val="0"/>
          <w:color w:val="auto"/>
          <w:sz w:val="24"/>
          <w:szCs w:val="24"/>
          <w:lang w:eastAsia="zh-CN"/>
        </w:rPr>
        <w:t>0.01) an</w:t>
      </w:r>
      <w:r w:rsidR="00AE2BBD">
        <w:rPr>
          <w:rFonts w:eastAsia="SimSun"/>
          <w:b w:val="0"/>
          <w:bCs w:val="0"/>
          <w:color w:val="auto"/>
          <w:sz w:val="24"/>
          <w:szCs w:val="24"/>
          <w:lang w:eastAsia="zh-CN"/>
        </w:rPr>
        <w:t>d a family history of IBD (OR =1.77, 95% CI =</w:t>
      </w:r>
      <w:r w:rsidRPr="00E7572F">
        <w:rPr>
          <w:rFonts w:eastAsia="SimSun"/>
          <w:b w:val="0"/>
          <w:bCs w:val="0"/>
          <w:color w:val="auto"/>
          <w:sz w:val="24"/>
          <w:szCs w:val="24"/>
          <w:lang w:eastAsia="zh-CN"/>
        </w:rPr>
        <w:t>1.07–2.92, P = 0.025) as significant predictors of persistent extraintestinal manifestations in CD</w:t>
      </w:r>
      <w:r w:rsidRPr="00E7572F">
        <w:rPr>
          <w:rFonts w:eastAsia="SimSun"/>
          <w:color w:val="auto"/>
          <w:sz w:val="24"/>
          <w:szCs w:val="24"/>
          <w:lang w:eastAsia="zh-CN"/>
        </w:rPr>
        <w:t xml:space="preserve"> </w:t>
      </w:r>
      <w:r w:rsidR="0050713B" w:rsidRPr="00E7572F">
        <w:rPr>
          <w:rFonts w:eastAsia="SimSun"/>
          <w:color w:val="auto"/>
          <w:sz w:val="24"/>
          <w:szCs w:val="24"/>
          <w:lang w:eastAsia="zh-CN"/>
        </w:rPr>
        <w:t>[21].</w:t>
      </w:r>
    </w:p>
    <w:p w14:paraId="015CE775" w14:textId="19BC9282" w:rsidR="00F0794E" w:rsidRPr="00E7572F" w:rsidRDefault="00661BA9" w:rsidP="00761A41">
      <w:pPr>
        <w:pStyle w:val="H1"/>
        <w:ind w:firstLine="720"/>
        <w:rPr>
          <w:rFonts w:eastAsia="SimSun"/>
          <w:b w:val="0"/>
          <w:bCs w:val="0"/>
          <w:color w:val="auto"/>
          <w:sz w:val="24"/>
          <w:szCs w:val="24"/>
          <w:lang w:eastAsia="zh-CN"/>
        </w:rPr>
      </w:pPr>
      <w:r w:rsidRPr="00661BA9">
        <w:rPr>
          <w:rFonts w:eastAsia="SimSun"/>
          <w:b w:val="0"/>
          <w:bCs w:val="0"/>
          <w:color w:val="auto"/>
          <w:sz w:val="24"/>
          <w:szCs w:val="24"/>
          <w:lang w:eastAsia="zh-CN"/>
        </w:rPr>
        <w:t xml:space="preserve">Palm et al. evaluated peripheral arthritis six years after IBD diagnosis in a cohort of 654 patients, of whom 521 underwent rheumatologic assessment. Only 0.8% had arthritis at follow-up, although 12% reported prior symptoms, indicating that while peripheral arthritis may occur early in IBD, its long-term prevalence is low. </w:t>
      </w:r>
      <w:r w:rsidR="0050713B" w:rsidRPr="00E7572F">
        <w:rPr>
          <w:rFonts w:eastAsia="SimSun"/>
          <w:color w:val="auto"/>
          <w:sz w:val="24"/>
          <w:szCs w:val="24"/>
          <w:lang w:eastAsia="zh-CN"/>
        </w:rPr>
        <w:t>[22].</w:t>
      </w:r>
    </w:p>
    <w:p w14:paraId="2518ECD0" w14:textId="57D2F289" w:rsidR="00DD7B65" w:rsidRPr="00E7572F" w:rsidRDefault="00633E23"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In our study, no statistically significant differences were observed between the</w:t>
      </w:r>
      <w:r w:rsidR="00E2052B" w:rsidRPr="00E7572F">
        <w:rPr>
          <w:rFonts w:eastAsia="SimSun"/>
          <w:b w:val="0"/>
          <w:bCs w:val="0"/>
          <w:color w:val="auto"/>
          <w:sz w:val="24"/>
          <w:szCs w:val="24"/>
          <w:lang w:eastAsia="zh-CN"/>
        </w:rPr>
        <w:t xml:space="preserve"> two</w:t>
      </w:r>
      <w:r w:rsidRPr="00E7572F">
        <w:rPr>
          <w:rFonts w:eastAsia="SimSun"/>
          <w:b w:val="0"/>
          <w:bCs w:val="0"/>
          <w:color w:val="auto"/>
          <w:sz w:val="24"/>
          <w:szCs w:val="24"/>
          <w:lang w:eastAsia="zh-CN"/>
        </w:rPr>
        <w:t xml:space="preserve"> groups concerning the SES-CD before treatment. However, both groups demonstrated significant improvement following management, with the fistula group showing a more pronounced response to treatment. These findings suggest that the SES-CD is primarily reflective of luminal disease activity rather than a reliable marker for fistula development. Moreover, despite the increased disease burden, </w:t>
      </w:r>
      <w:r w:rsidR="00661BA9">
        <w:rPr>
          <w:rFonts w:eastAsia="SimSun"/>
          <w:b w:val="0"/>
          <w:bCs w:val="0"/>
          <w:color w:val="auto"/>
          <w:sz w:val="24"/>
          <w:szCs w:val="24"/>
          <w:lang w:eastAsia="zh-CN"/>
        </w:rPr>
        <w:t>cases</w:t>
      </w:r>
      <w:r w:rsidRPr="00E7572F">
        <w:rPr>
          <w:rFonts w:eastAsia="SimSun"/>
          <w:b w:val="0"/>
          <w:bCs w:val="0"/>
          <w:color w:val="auto"/>
          <w:sz w:val="24"/>
          <w:szCs w:val="24"/>
          <w:lang w:eastAsia="zh-CN"/>
        </w:rPr>
        <w:t xml:space="preserve"> with fistulizing </w:t>
      </w:r>
      <w:r w:rsidR="00661BA9">
        <w:rPr>
          <w:rFonts w:eastAsia="SimSun"/>
          <w:b w:val="0"/>
          <w:bCs w:val="0"/>
          <w:color w:val="auto"/>
          <w:sz w:val="24"/>
          <w:szCs w:val="24"/>
          <w:lang w:eastAsia="zh-CN"/>
        </w:rPr>
        <w:t>CD</w:t>
      </w:r>
      <w:r w:rsidRPr="00E7572F">
        <w:rPr>
          <w:rFonts w:eastAsia="SimSun"/>
          <w:b w:val="0"/>
          <w:bCs w:val="0"/>
          <w:color w:val="auto"/>
          <w:sz w:val="24"/>
          <w:szCs w:val="24"/>
          <w:lang w:eastAsia="zh-CN"/>
        </w:rPr>
        <w:t xml:space="preserve"> are capable of achieving substantial clinical improvement with appropriate therapeutic interventions</w:t>
      </w:r>
      <w:r w:rsidR="00DD7B65" w:rsidRPr="00E7572F">
        <w:rPr>
          <w:rFonts w:eastAsia="SimSun"/>
          <w:b w:val="0"/>
          <w:bCs w:val="0"/>
          <w:color w:val="auto"/>
          <w:sz w:val="24"/>
          <w:szCs w:val="24"/>
          <w:lang w:eastAsia="zh-CN"/>
        </w:rPr>
        <w:t>.</w:t>
      </w:r>
    </w:p>
    <w:p w14:paraId="44E99F96" w14:textId="06A24BA6" w:rsidR="003D2DCE" w:rsidRPr="00E7572F" w:rsidRDefault="00633E23" w:rsidP="00761A41">
      <w:pPr>
        <w:pStyle w:val="H1"/>
        <w:ind w:firstLine="720"/>
        <w:rPr>
          <w:rFonts w:eastAsia="SimSun"/>
          <w:b w:val="0"/>
          <w:bCs w:val="0"/>
          <w:color w:val="auto"/>
          <w:sz w:val="24"/>
          <w:szCs w:val="24"/>
          <w:rtl/>
          <w:lang w:eastAsia="zh-CN"/>
        </w:rPr>
      </w:pPr>
      <w:r w:rsidRPr="00E7572F">
        <w:rPr>
          <w:rFonts w:eastAsia="SimSun"/>
          <w:b w:val="0"/>
          <w:bCs w:val="0"/>
          <w:color w:val="auto"/>
          <w:sz w:val="24"/>
          <w:szCs w:val="24"/>
          <w:lang w:eastAsia="zh-CN"/>
        </w:rPr>
        <w:t>Additionally, we observed that in the fistula group, the most frequent site of involvement was the entero</w:t>
      </w:r>
      <w:r w:rsidR="00E2052B" w:rsidRPr="00E7572F">
        <w:rPr>
          <w:rFonts w:eastAsia="SimSun"/>
          <w:b w:val="0"/>
          <w:bCs w:val="0"/>
          <w:color w:val="auto"/>
          <w:sz w:val="24"/>
          <w:szCs w:val="24"/>
          <w:lang w:eastAsia="zh-CN"/>
        </w:rPr>
        <w:t>-enteric fistula (48.9%), with i</w:t>
      </w:r>
      <w:r w:rsidRPr="00E7572F">
        <w:rPr>
          <w:rFonts w:eastAsia="SimSun"/>
          <w:b w:val="0"/>
          <w:bCs w:val="0"/>
          <w:color w:val="auto"/>
          <w:sz w:val="24"/>
          <w:szCs w:val="24"/>
          <w:lang w:eastAsia="zh-CN"/>
        </w:rPr>
        <w:t xml:space="preserve">nfliximab being the most commonly employed treatment. Surgical intervention was carried out in 31.1% of cases. Among the surgical treatments, three patients with perianal fistulas underwent fistulotomy with Ligation of the </w:t>
      </w:r>
      <w:proofErr w:type="spellStart"/>
      <w:r w:rsidRPr="00E7572F">
        <w:rPr>
          <w:rFonts w:eastAsia="SimSun"/>
          <w:b w:val="0"/>
          <w:bCs w:val="0"/>
          <w:color w:val="auto"/>
          <w:sz w:val="24"/>
          <w:szCs w:val="24"/>
          <w:lang w:eastAsia="zh-CN"/>
        </w:rPr>
        <w:t>Intersphincteric</w:t>
      </w:r>
      <w:proofErr w:type="spellEnd"/>
      <w:r w:rsidRPr="00E7572F">
        <w:rPr>
          <w:rFonts w:eastAsia="SimSun"/>
          <w:b w:val="0"/>
          <w:bCs w:val="0"/>
          <w:color w:val="auto"/>
          <w:sz w:val="24"/>
          <w:szCs w:val="24"/>
          <w:lang w:eastAsia="zh-CN"/>
        </w:rPr>
        <w:t xml:space="preserve"> Tract (LIFT)</w:t>
      </w:r>
      <w:r w:rsidR="00D90BB8">
        <w:rPr>
          <w:rFonts w:eastAsia="SimSun"/>
          <w:b w:val="0"/>
          <w:bCs w:val="0"/>
          <w:color w:val="auto"/>
          <w:sz w:val="24"/>
          <w:szCs w:val="24"/>
          <w:lang w:eastAsia="zh-CN"/>
        </w:rPr>
        <w:t>. In comparison,</w:t>
      </w:r>
      <w:r w:rsidRPr="00E7572F">
        <w:rPr>
          <w:rFonts w:eastAsia="SimSun"/>
          <w:b w:val="0"/>
          <w:bCs w:val="0"/>
          <w:color w:val="auto"/>
          <w:sz w:val="24"/>
          <w:szCs w:val="24"/>
          <w:lang w:eastAsia="zh-CN"/>
        </w:rPr>
        <w:t xml:space="preserve"> the remaining 11 patients received various fistulotomy procedures (all surgeries were performed </w:t>
      </w:r>
      <w:r w:rsidR="00D90BB8">
        <w:rPr>
          <w:rFonts w:eastAsia="SimSun"/>
          <w:b w:val="0"/>
          <w:bCs w:val="0"/>
          <w:color w:val="auto"/>
          <w:sz w:val="24"/>
          <w:szCs w:val="24"/>
          <w:lang w:eastAsia="zh-CN"/>
        </w:rPr>
        <w:t>before</w:t>
      </w:r>
      <w:r w:rsidRPr="00E7572F">
        <w:rPr>
          <w:rFonts w:eastAsia="SimSun"/>
          <w:b w:val="0"/>
          <w:bCs w:val="0"/>
          <w:color w:val="auto"/>
          <w:sz w:val="24"/>
          <w:szCs w:val="24"/>
          <w:lang w:eastAsia="zh-CN"/>
        </w:rPr>
        <w:t xml:space="preserve"> the commencement of the study). </w:t>
      </w:r>
      <w:r w:rsidR="008D3B54" w:rsidRPr="00E7572F">
        <w:rPr>
          <w:rFonts w:eastAsia="SimSun"/>
          <w:b w:val="0"/>
          <w:bCs w:val="0"/>
          <w:color w:val="auto"/>
          <w:sz w:val="24"/>
          <w:szCs w:val="24"/>
          <w:lang w:eastAsia="zh-CN"/>
        </w:rPr>
        <w:t>Throughout the one-year follow-up period, all patients experienced significant clinical improvement with their respective treatment strategies. However, one patient who received only conventional therapy showed limited improvement and continued to experience fistulizing disease</w:t>
      </w:r>
      <w:r w:rsidRPr="00E7572F">
        <w:rPr>
          <w:rFonts w:eastAsia="SimSun"/>
          <w:b w:val="0"/>
          <w:bCs w:val="0"/>
          <w:color w:val="auto"/>
          <w:sz w:val="24"/>
          <w:szCs w:val="24"/>
          <w:lang w:eastAsia="zh-CN"/>
        </w:rPr>
        <w:t>. This particular patient was unable to access biological therapy due to unavailability and delays in state-sponsored treatment provision.</w:t>
      </w:r>
      <w:r w:rsidR="00DD7B65" w:rsidRPr="00E7572F">
        <w:rPr>
          <w:rFonts w:eastAsia="SimSun"/>
          <w:b w:val="0"/>
          <w:bCs w:val="0"/>
          <w:color w:val="auto"/>
          <w:sz w:val="24"/>
          <w:szCs w:val="24"/>
          <w:lang w:eastAsia="zh-CN"/>
        </w:rPr>
        <w:t xml:space="preserve"> </w:t>
      </w:r>
    </w:p>
    <w:p w14:paraId="667F6489" w14:textId="2C3E7410" w:rsidR="003D2DCE" w:rsidRPr="00E7572F" w:rsidRDefault="00633E23"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In 2019, Schwartz et al. conducted a systematic review to assess the prevalence of fistulizing </w:t>
      </w:r>
      <w:r w:rsidR="00661BA9">
        <w:rPr>
          <w:rFonts w:eastAsia="SimSun"/>
          <w:b w:val="0"/>
          <w:bCs w:val="0"/>
          <w:color w:val="auto"/>
          <w:sz w:val="24"/>
          <w:szCs w:val="24"/>
          <w:lang w:eastAsia="zh-CN"/>
        </w:rPr>
        <w:t>CD</w:t>
      </w:r>
      <w:r w:rsidRPr="00E7572F">
        <w:rPr>
          <w:rFonts w:eastAsia="SimSun"/>
          <w:b w:val="0"/>
          <w:bCs w:val="0"/>
          <w:color w:val="auto"/>
          <w:sz w:val="24"/>
          <w:szCs w:val="24"/>
          <w:lang w:eastAsia="zh-CN"/>
        </w:rPr>
        <w:t xml:space="preserve"> (FCD) in the United States. The study encompassed 76,600 cases of </w:t>
      </w:r>
      <w:r w:rsidR="00661BA9">
        <w:rPr>
          <w:rFonts w:eastAsia="SimSun"/>
          <w:b w:val="0"/>
          <w:bCs w:val="0"/>
          <w:color w:val="auto"/>
          <w:sz w:val="24"/>
          <w:szCs w:val="24"/>
          <w:lang w:eastAsia="zh-CN"/>
        </w:rPr>
        <w:t xml:space="preserve">CD </w:t>
      </w:r>
      <w:r w:rsidRPr="00E7572F">
        <w:rPr>
          <w:rFonts w:eastAsia="SimSun"/>
          <w:b w:val="0"/>
          <w:bCs w:val="0"/>
          <w:color w:val="auto"/>
          <w:sz w:val="24"/>
          <w:szCs w:val="24"/>
          <w:lang w:eastAsia="zh-CN"/>
        </w:rPr>
        <w:t xml:space="preserve">and 15,700 new incident cases of FCD in 2017. The distribution of fistula types among patients was as follows: 52,000 with perianal fistulas, 7,400 with recto-vaginal fistulas, 2,300 with entero-cutaneous fistulas, and 14,100 with internal fistulas. These findings indicate that 11.7% of individuals with Crohn’s disease in the U.S. have FCD at any given time, with 8.1% presenting with perianal fistulas, 1.1% with recto-vaginal fistulas, 0.3% with entero-cutaneous fistulas, and 2.2% with internal fistulas </w:t>
      </w:r>
      <w:r w:rsidR="00040566" w:rsidRPr="00E7572F">
        <w:rPr>
          <w:rFonts w:eastAsia="SimSun"/>
          <w:color w:val="auto"/>
          <w:sz w:val="24"/>
          <w:szCs w:val="24"/>
          <w:lang w:eastAsia="zh-CN"/>
        </w:rPr>
        <w:t>[</w:t>
      </w:r>
      <w:r w:rsidR="002C0FA9" w:rsidRPr="00E7572F">
        <w:rPr>
          <w:rFonts w:eastAsia="SimSun"/>
          <w:color w:val="auto"/>
          <w:sz w:val="24"/>
          <w:szCs w:val="24"/>
          <w:lang w:eastAsia="zh-CN"/>
        </w:rPr>
        <w:t>2</w:t>
      </w:r>
      <w:r w:rsidR="00AE2BBD">
        <w:rPr>
          <w:rFonts w:eastAsia="SimSun"/>
          <w:color w:val="auto"/>
          <w:sz w:val="24"/>
          <w:szCs w:val="24"/>
          <w:lang w:eastAsia="zh-CN"/>
        </w:rPr>
        <w:t>3</w:t>
      </w:r>
      <w:r w:rsidR="00040566" w:rsidRPr="00E7572F">
        <w:rPr>
          <w:rFonts w:eastAsia="SimSun"/>
          <w:color w:val="auto"/>
          <w:sz w:val="24"/>
          <w:szCs w:val="24"/>
          <w:lang w:eastAsia="zh-CN"/>
        </w:rPr>
        <w:t>]</w:t>
      </w:r>
      <w:r w:rsidR="00653641" w:rsidRPr="00E7572F">
        <w:rPr>
          <w:rFonts w:eastAsia="SimSun"/>
          <w:color w:val="auto"/>
          <w:sz w:val="24"/>
          <w:szCs w:val="24"/>
          <w:lang w:eastAsia="zh-CN"/>
        </w:rPr>
        <w:t>.</w:t>
      </w:r>
    </w:p>
    <w:p w14:paraId="706B6AFB" w14:textId="04BE4907" w:rsidR="003D2DCE" w:rsidRPr="00E7572F" w:rsidRDefault="00DD2D68"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In our study, CDAI scores before and after treatment were substantially greater in the fistula group than the non-fistula group (p-value = 0.001, p-value = 0.035, respectively). CDAI scores significantly improved after treatment compared to those before treatment in each study group, with a p-value &lt; 0.001 for each group. Additionally, our study revealed no substantial statistical variation among different management plans in the fistula group regarding the CDAI score, neither before nor after treatment.</w:t>
      </w:r>
    </w:p>
    <w:p w14:paraId="63F41BB6" w14:textId="724D3733" w:rsidR="003D2DCE" w:rsidRPr="00E7572F" w:rsidRDefault="00661BA9" w:rsidP="00761A41">
      <w:pPr>
        <w:pStyle w:val="H1"/>
        <w:ind w:firstLine="720"/>
        <w:rPr>
          <w:rFonts w:eastAsia="SimSun"/>
          <w:b w:val="0"/>
          <w:bCs w:val="0"/>
          <w:color w:val="auto"/>
          <w:sz w:val="24"/>
          <w:szCs w:val="24"/>
          <w:highlight w:val="yellow"/>
          <w:lang w:eastAsia="zh-CN"/>
        </w:rPr>
      </w:pPr>
      <w:r w:rsidRPr="00661BA9">
        <w:rPr>
          <w:rFonts w:eastAsia="SimSun"/>
          <w:b w:val="0"/>
          <w:bCs w:val="0"/>
          <w:color w:val="auto"/>
          <w:sz w:val="24"/>
          <w:szCs w:val="24"/>
          <w:lang w:eastAsia="zh-CN"/>
        </w:rPr>
        <w:t>Hanauer et al. conducted a randomized controlled trial in 2002</w:t>
      </w:r>
      <w:r w:rsidR="00D90BB8">
        <w:rPr>
          <w:rFonts w:eastAsia="SimSun"/>
          <w:b w:val="0"/>
          <w:bCs w:val="0"/>
          <w:color w:val="auto"/>
          <w:sz w:val="24"/>
          <w:szCs w:val="24"/>
          <w:lang w:eastAsia="zh-CN"/>
        </w:rPr>
        <w:t>,</w:t>
      </w:r>
      <w:r w:rsidRPr="00661BA9">
        <w:rPr>
          <w:rFonts w:eastAsia="SimSun"/>
          <w:b w:val="0"/>
          <w:bCs w:val="0"/>
          <w:color w:val="auto"/>
          <w:sz w:val="24"/>
          <w:szCs w:val="24"/>
          <w:lang w:eastAsia="zh-CN"/>
        </w:rPr>
        <w:t xml:space="preserve"> </w:t>
      </w:r>
      <w:r w:rsidR="00D90BB8">
        <w:rPr>
          <w:rFonts w:eastAsia="SimSun" w:hint="eastAsia"/>
          <w:b w:val="0"/>
          <w:bCs w:val="0"/>
          <w:color w:val="auto"/>
          <w:sz w:val="24"/>
          <w:szCs w:val="24"/>
          <w:lang w:eastAsia="zh-CN"/>
        </w:rPr>
        <w:t>involving 573 patients with a CDAI of</w:t>
      </w:r>
      <w:r w:rsidR="00D90BB8">
        <w:rPr>
          <w:rFonts w:eastAsia="SimSun" w:hint="eastAsia"/>
          <w:b w:val="0"/>
          <w:bCs w:val="0"/>
          <w:color w:val="auto"/>
          <w:sz w:val="24"/>
          <w:szCs w:val="24"/>
          <w:lang w:eastAsia="zh-CN"/>
        </w:rPr>
        <w:t>≥</w:t>
      </w:r>
      <w:r w:rsidR="00D90BB8">
        <w:rPr>
          <w:rFonts w:eastAsia="SimSun" w:hint="eastAsia"/>
          <w:b w:val="0"/>
          <w:bCs w:val="0"/>
          <w:color w:val="auto"/>
          <w:sz w:val="24"/>
          <w:szCs w:val="24"/>
          <w:lang w:eastAsia="zh-CN"/>
        </w:rPr>
        <w:t>220 who received a 5 mg/kg infusion of infliximab</w:t>
      </w:r>
      <w:r w:rsidRPr="00661BA9">
        <w:rPr>
          <w:rFonts w:eastAsia="SimSun"/>
          <w:b w:val="0"/>
          <w:bCs w:val="0"/>
          <w:color w:val="auto"/>
          <w:sz w:val="24"/>
          <w:szCs w:val="24"/>
          <w:lang w:eastAsia="zh-CN"/>
        </w:rPr>
        <w:t xml:space="preserve"> at baseline. </w:t>
      </w:r>
      <w:r w:rsidR="00D90BB8">
        <w:rPr>
          <w:rFonts w:eastAsia="SimSun"/>
          <w:b w:val="0"/>
          <w:bCs w:val="0"/>
          <w:color w:val="auto"/>
          <w:sz w:val="24"/>
          <w:szCs w:val="24"/>
          <w:lang w:eastAsia="zh-CN"/>
        </w:rPr>
        <w:t xml:space="preserve">The response was assessed at week 2, after which patients were randomized to receive either a </w:t>
      </w:r>
      <w:r w:rsidRPr="00661BA9">
        <w:rPr>
          <w:rFonts w:eastAsia="SimSun"/>
          <w:b w:val="0"/>
          <w:bCs w:val="0"/>
          <w:color w:val="auto"/>
          <w:sz w:val="24"/>
          <w:szCs w:val="24"/>
          <w:lang w:eastAsia="zh-CN"/>
        </w:rPr>
        <w:t xml:space="preserve">placebo, continued 5 mg/kg infusions, or escalation to 10 mg/kg. Remission was defined as CDAI &lt; 150 at week 30. Overall, 58% of patients improved after the initial infusion. By week 30, remission occurred in 21% of the placebo group, 39% of those maintained on 5 mg/kg, and 45% of those escalated to 10 mg/kg, with differences reaching statistical significance (P &lt; 0.001) </w:t>
      </w:r>
      <w:r w:rsidR="00040566" w:rsidRPr="00E7572F">
        <w:rPr>
          <w:rFonts w:eastAsia="SimSun"/>
          <w:color w:val="auto"/>
          <w:sz w:val="24"/>
          <w:szCs w:val="24"/>
          <w:lang w:eastAsia="zh-CN"/>
        </w:rPr>
        <w:t>[</w:t>
      </w:r>
      <w:r w:rsidR="0050713B" w:rsidRPr="00E7572F">
        <w:rPr>
          <w:rFonts w:eastAsia="SimSun"/>
          <w:color w:val="auto"/>
          <w:sz w:val="24"/>
          <w:szCs w:val="24"/>
          <w:lang w:eastAsia="zh-CN"/>
        </w:rPr>
        <w:t>24</w:t>
      </w:r>
      <w:r w:rsidR="00040566" w:rsidRPr="00E7572F">
        <w:rPr>
          <w:rFonts w:eastAsia="SimSun"/>
          <w:color w:val="auto"/>
          <w:sz w:val="24"/>
          <w:szCs w:val="24"/>
          <w:lang w:eastAsia="zh-CN"/>
        </w:rPr>
        <w:t>]</w:t>
      </w:r>
      <w:r w:rsidR="009F4536" w:rsidRPr="00E7572F">
        <w:rPr>
          <w:rFonts w:eastAsia="SimSun"/>
          <w:color w:val="auto"/>
          <w:sz w:val="24"/>
          <w:szCs w:val="24"/>
          <w:lang w:eastAsia="zh-CN"/>
        </w:rPr>
        <w:t>.</w:t>
      </w:r>
    </w:p>
    <w:p w14:paraId="4CFA2A1B" w14:textId="005CA128" w:rsidR="00FE0368" w:rsidRPr="00E7572F" w:rsidRDefault="00DB63F9"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In this study, no statistically significant differences were observed among the various management strategies in the fistula group with respect to fistula characteristics. Additionally, all patients in the management plans demonstrated clinical improvement and fistula closure within the one-year follow-up period, </w:t>
      </w:r>
      <w:r w:rsidR="00D90BB8">
        <w:rPr>
          <w:rFonts w:eastAsia="SimSun"/>
          <w:b w:val="0"/>
          <w:bCs w:val="0"/>
          <w:color w:val="auto"/>
          <w:sz w:val="24"/>
          <w:szCs w:val="24"/>
          <w:lang w:eastAsia="zh-CN"/>
        </w:rPr>
        <w:t>except</w:t>
      </w:r>
      <w:r w:rsidRPr="00E7572F">
        <w:rPr>
          <w:rFonts w:eastAsia="SimSun"/>
          <w:b w:val="0"/>
          <w:bCs w:val="0"/>
          <w:color w:val="auto"/>
          <w:sz w:val="24"/>
          <w:szCs w:val="24"/>
          <w:lang w:eastAsia="zh-CN"/>
        </w:rPr>
        <w:t xml:space="preserve"> one patient who had a persistent fistula despite receiving conventional treatment. No significant differences were found regarding the clinical and fistula outcomes across the different management options. Furthermore, improvements in the SES-CD and histological activity were achieved with infliximab and surgery, but not with adalimumab</w:t>
      </w:r>
      <w:r w:rsidR="005F7E1E" w:rsidRPr="00E7572F">
        <w:rPr>
          <w:rFonts w:eastAsia="SimSun"/>
          <w:b w:val="0"/>
          <w:bCs w:val="0"/>
          <w:color w:val="auto"/>
          <w:sz w:val="24"/>
          <w:szCs w:val="24"/>
          <w:lang w:eastAsia="zh-CN"/>
        </w:rPr>
        <w:t>.</w:t>
      </w:r>
    </w:p>
    <w:p w14:paraId="3616B420" w14:textId="4FFB014B" w:rsidR="00A951DF" w:rsidRPr="00E7572F" w:rsidRDefault="005F7E1E"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Similar to our results, Zhu et al. published a retrospective study in 2021. Utilizing clinical and MRI studies, the authors examined the effectiveness of infliximab on the rehabilitation of perianal FCD (PFCD) as observed throughout follow-up. The data they collected </w:t>
      </w:r>
      <w:r w:rsidR="00D90BB8">
        <w:rPr>
          <w:rFonts w:eastAsia="SimSun"/>
          <w:b w:val="0"/>
          <w:bCs w:val="0"/>
          <w:color w:val="auto"/>
          <w:sz w:val="24"/>
          <w:szCs w:val="24"/>
          <w:lang w:eastAsia="zh-CN"/>
        </w:rPr>
        <w:t>were</w:t>
      </w:r>
      <w:r w:rsidRPr="00E7572F">
        <w:rPr>
          <w:rFonts w:eastAsia="SimSun"/>
          <w:b w:val="0"/>
          <w:bCs w:val="0"/>
          <w:color w:val="auto"/>
          <w:sz w:val="24"/>
          <w:szCs w:val="24"/>
          <w:lang w:eastAsia="zh-CN"/>
        </w:rPr>
        <w:t xml:space="preserve"> intended to discover predictors of reaching profound radiologic remission. The use of infliximab for perianal fistulas was associated with significant rates of healing, which rose as the duration of therapy was extended </w:t>
      </w:r>
      <w:r w:rsidR="00A951DF" w:rsidRPr="00E7572F">
        <w:rPr>
          <w:rFonts w:eastAsia="SimSun"/>
          <w:color w:val="auto"/>
          <w:sz w:val="24"/>
          <w:szCs w:val="24"/>
          <w:lang w:eastAsia="zh-CN"/>
        </w:rPr>
        <w:t>[</w:t>
      </w:r>
      <w:r w:rsidR="0050713B" w:rsidRPr="00E7572F">
        <w:rPr>
          <w:rFonts w:eastAsia="SimSun"/>
          <w:color w:val="auto"/>
          <w:sz w:val="24"/>
          <w:szCs w:val="24"/>
          <w:lang w:eastAsia="zh-CN"/>
        </w:rPr>
        <w:t>25</w:t>
      </w:r>
      <w:r w:rsidR="00A951DF" w:rsidRPr="00E7572F">
        <w:rPr>
          <w:rFonts w:eastAsia="SimSun"/>
          <w:color w:val="auto"/>
          <w:sz w:val="24"/>
          <w:szCs w:val="24"/>
          <w:lang w:eastAsia="zh-CN"/>
        </w:rPr>
        <w:t>].</w:t>
      </w:r>
    </w:p>
    <w:p w14:paraId="074FB49C" w14:textId="7063720F" w:rsidR="003D2DCE" w:rsidRPr="00E7572F" w:rsidRDefault="005F7E1E"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In 2017, Yarur et al. conducted </w:t>
      </w:r>
      <w:r w:rsidR="00D90BB8">
        <w:rPr>
          <w:rFonts w:eastAsia="SimSun"/>
          <w:b w:val="0"/>
          <w:bCs w:val="0"/>
          <w:color w:val="auto"/>
          <w:sz w:val="24"/>
          <w:szCs w:val="24"/>
          <w:lang w:eastAsia="zh-CN"/>
        </w:rPr>
        <w:t>a study on 117 individuals with PFCD who received</w:t>
      </w:r>
      <w:r w:rsidR="005862EF" w:rsidRPr="00E7572F">
        <w:rPr>
          <w:rFonts w:eastAsia="SimSun"/>
          <w:b w:val="0"/>
          <w:bCs w:val="0"/>
          <w:color w:val="auto"/>
          <w:sz w:val="24"/>
          <w:szCs w:val="24"/>
          <w:lang w:eastAsia="zh-CN"/>
        </w:rPr>
        <w:t xml:space="preserve"> i</w:t>
      </w:r>
      <w:r w:rsidRPr="00E7572F">
        <w:rPr>
          <w:rFonts w:eastAsia="SimSun"/>
          <w:b w:val="0"/>
          <w:bCs w:val="0"/>
          <w:color w:val="auto"/>
          <w:sz w:val="24"/>
          <w:szCs w:val="24"/>
          <w:lang w:eastAsia="zh-CN"/>
        </w:rPr>
        <w:t xml:space="preserve">nfliximab for a minimum of 24 weeks. The results showed that individuals </w:t>
      </w:r>
      <w:r w:rsidR="00D90BB8">
        <w:rPr>
          <w:rFonts w:eastAsia="SimSun"/>
          <w:b w:val="0"/>
          <w:bCs w:val="0"/>
          <w:color w:val="auto"/>
          <w:sz w:val="24"/>
          <w:szCs w:val="24"/>
          <w:lang w:eastAsia="zh-CN"/>
        </w:rPr>
        <w:t xml:space="preserve">with clinically healed fistulas had greater levels of infliximab in their blood than those with active fistulas (15.8 vs. 4.4 </w:t>
      </w:r>
      <w:proofErr w:type="spellStart"/>
      <w:r w:rsidR="00D90BB8">
        <w:rPr>
          <w:rFonts w:eastAsia="SimSun"/>
          <w:b w:val="0"/>
          <w:bCs w:val="0"/>
          <w:color w:val="auto"/>
          <w:sz w:val="24"/>
          <w:szCs w:val="24"/>
          <w:lang w:eastAsia="zh-CN"/>
        </w:rPr>
        <w:t>μg</w:t>
      </w:r>
      <w:proofErr w:type="spellEnd"/>
      <w:r w:rsidR="00D90BB8">
        <w:rPr>
          <w:rFonts w:eastAsia="SimSun"/>
          <w:b w:val="0"/>
          <w:bCs w:val="0"/>
          <w:color w:val="auto"/>
          <w:sz w:val="24"/>
          <w:szCs w:val="24"/>
          <w:lang w:eastAsia="zh-CN"/>
        </w:rPr>
        <w:t xml:space="preserve">/mL, P &lt; </w:t>
      </w:r>
      <w:r w:rsidR="00AE2BBD" w:rsidRPr="00AE2BBD">
        <w:rPr>
          <w:rFonts w:eastAsia="SimSun"/>
          <w:b w:val="0"/>
          <w:bCs w:val="0"/>
          <w:color w:val="auto"/>
          <w:sz w:val="24"/>
          <w:szCs w:val="24"/>
          <w:lang w:eastAsia="zh-CN"/>
        </w:rPr>
        <w:t>0.001</w:t>
      </w:r>
      <w:r w:rsidRPr="00E7572F">
        <w:rPr>
          <w:rFonts w:eastAsia="SimSun"/>
          <w:b w:val="0"/>
          <w:bCs w:val="0"/>
          <w:color w:val="auto"/>
          <w:sz w:val="24"/>
          <w:szCs w:val="24"/>
          <w:lang w:eastAsia="zh-CN"/>
        </w:rPr>
        <w:t xml:space="preserve">). The authors concluded that, </w:t>
      </w:r>
      <w:r w:rsidR="00D90BB8">
        <w:rPr>
          <w:rFonts w:eastAsia="SimSun"/>
          <w:b w:val="0"/>
          <w:bCs w:val="0"/>
          <w:color w:val="auto"/>
          <w:sz w:val="24"/>
          <w:szCs w:val="24"/>
          <w:lang w:eastAsia="zh-CN"/>
        </w:rPr>
        <w:t xml:space="preserve">to cure perianal fistulas completely, infliximab levels above 10 </w:t>
      </w:r>
      <w:proofErr w:type="spellStart"/>
      <w:r w:rsidR="00D90BB8">
        <w:rPr>
          <w:rFonts w:eastAsia="SimSun"/>
          <w:b w:val="0"/>
          <w:bCs w:val="0"/>
          <w:color w:val="auto"/>
          <w:sz w:val="24"/>
          <w:szCs w:val="24"/>
          <w:lang w:eastAsia="zh-CN"/>
        </w:rPr>
        <w:t>μg</w:t>
      </w:r>
      <w:proofErr w:type="spellEnd"/>
      <w:r w:rsidR="00D90BB8">
        <w:rPr>
          <w:rFonts w:eastAsia="SimSun"/>
          <w:b w:val="0"/>
          <w:bCs w:val="0"/>
          <w:color w:val="auto"/>
          <w:sz w:val="24"/>
          <w:szCs w:val="24"/>
          <w:lang w:eastAsia="zh-CN"/>
        </w:rPr>
        <w:t>/mL may</w:t>
      </w:r>
      <w:r w:rsidRPr="00E7572F">
        <w:rPr>
          <w:rFonts w:eastAsia="SimSun"/>
          <w:b w:val="0"/>
          <w:bCs w:val="0"/>
          <w:color w:val="auto"/>
          <w:sz w:val="24"/>
          <w:szCs w:val="24"/>
          <w:lang w:eastAsia="zh-CN"/>
        </w:rPr>
        <w:t xml:space="preserve"> be required. These findings clearly indicate that, </w:t>
      </w:r>
      <w:r w:rsidR="00D90BB8">
        <w:rPr>
          <w:rFonts w:eastAsia="SimSun"/>
          <w:b w:val="0"/>
          <w:bCs w:val="0"/>
          <w:color w:val="auto"/>
          <w:sz w:val="24"/>
          <w:szCs w:val="24"/>
          <w:lang w:eastAsia="zh-CN"/>
        </w:rPr>
        <w:t>to handle PFCD optimally with infliximab, serum levels of the medication must be targeted at significantly</w:t>
      </w:r>
      <w:r w:rsidRPr="00E7572F">
        <w:rPr>
          <w:rFonts w:eastAsia="SimSun"/>
          <w:b w:val="0"/>
          <w:bCs w:val="0"/>
          <w:color w:val="auto"/>
          <w:sz w:val="24"/>
          <w:szCs w:val="24"/>
          <w:lang w:eastAsia="zh-CN"/>
        </w:rPr>
        <w:t xml:space="preserve"> higher levels throughout both the induction and maintenance stages of therapy. </w:t>
      </w:r>
      <w:r w:rsidR="00040566" w:rsidRPr="00E7572F">
        <w:rPr>
          <w:rFonts w:eastAsia="SimSun"/>
          <w:color w:val="auto"/>
          <w:sz w:val="24"/>
          <w:szCs w:val="24"/>
          <w:lang w:eastAsia="zh-CN"/>
        </w:rPr>
        <w:t>[</w:t>
      </w:r>
      <w:r w:rsidR="0050713B" w:rsidRPr="00E7572F">
        <w:rPr>
          <w:rFonts w:eastAsia="SimSun"/>
          <w:color w:val="auto"/>
          <w:sz w:val="24"/>
          <w:szCs w:val="24"/>
          <w:lang w:eastAsia="zh-CN"/>
        </w:rPr>
        <w:t>26</w:t>
      </w:r>
      <w:r w:rsidR="00040566" w:rsidRPr="00E7572F">
        <w:rPr>
          <w:rFonts w:eastAsia="SimSun"/>
          <w:color w:val="auto"/>
          <w:sz w:val="24"/>
          <w:szCs w:val="24"/>
          <w:lang w:eastAsia="zh-CN"/>
        </w:rPr>
        <w:t>]</w:t>
      </w:r>
      <w:r w:rsidR="00C311A1" w:rsidRPr="00E7572F">
        <w:rPr>
          <w:rFonts w:eastAsia="SimSun"/>
          <w:color w:val="auto"/>
          <w:sz w:val="24"/>
          <w:szCs w:val="24"/>
          <w:lang w:eastAsia="zh-CN"/>
        </w:rPr>
        <w:t>.</w:t>
      </w:r>
    </w:p>
    <w:p w14:paraId="311FF830" w14:textId="3C21505D" w:rsidR="003D2DCE" w:rsidRPr="00E7572F" w:rsidRDefault="005F7E1E"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 xml:space="preserve">The first trial to </w:t>
      </w:r>
      <w:r w:rsidR="00D90BB8">
        <w:rPr>
          <w:rFonts w:eastAsia="SimSun"/>
          <w:b w:val="0"/>
          <w:bCs w:val="0"/>
          <w:color w:val="auto"/>
          <w:sz w:val="24"/>
          <w:szCs w:val="24"/>
          <w:lang w:eastAsia="zh-CN"/>
        </w:rPr>
        <w:t xml:space="preserve">assess the effectiveness of adalimumab (ADA) in treating FCD was the CHARM study, </w:t>
      </w:r>
      <w:r w:rsidRPr="00E7572F">
        <w:rPr>
          <w:rFonts w:eastAsia="SimSun"/>
          <w:b w:val="0"/>
          <w:bCs w:val="0"/>
          <w:color w:val="auto"/>
          <w:sz w:val="24"/>
          <w:szCs w:val="24"/>
          <w:lang w:eastAsia="zh-CN"/>
        </w:rPr>
        <w:t>conducted in 2007. 117 (15.2%) of the 778 CD individuals whose maintenance treatment was evaluated by Colombel et al. had perianal or enterocutaneous fistulas that were draining. Thirty percent of the individuals receiving ADA experienced fistula repair, in contrast to thirteen percent receiving a placebo [at week 26 (p-value = 0.043) and week 56 (ADA</w:t>
      </w:r>
      <w:r w:rsidR="00AE2BBD">
        <w:rPr>
          <w:rFonts w:eastAsia="SimSun"/>
          <w:b w:val="0"/>
          <w:bCs w:val="0"/>
          <w:color w:val="auto"/>
          <w:sz w:val="24"/>
          <w:szCs w:val="24"/>
          <w:lang w:eastAsia="zh-CN"/>
        </w:rPr>
        <w:t xml:space="preserve"> 33% vs. placebo 13%, p-value =</w:t>
      </w:r>
      <w:r w:rsidRPr="00E7572F">
        <w:rPr>
          <w:rFonts w:eastAsia="SimSun"/>
          <w:b w:val="0"/>
          <w:bCs w:val="0"/>
          <w:color w:val="auto"/>
          <w:sz w:val="24"/>
          <w:szCs w:val="24"/>
          <w:lang w:eastAsia="zh-CN"/>
        </w:rPr>
        <w:t xml:space="preserve">0.016)] </w:t>
      </w:r>
      <w:r w:rsidR="00040566" w:rsidRPr="00E7572F">
        <w:rPr>
          <w:rFonts w:eastAsia="SimSun"/>
          <w:color w:val="auto"/>
          <w:sz w:val="24"/>
          <w:szCs w:val="24"/>
          <w:lang w:eastAsia="zh-CN"/>
        </w:rPr>
        <w:t>[</w:t>
      </w:r>
      <w:r w:rsidR="0050713B" w:rsidRPr="00E7572F">
        <w:rPr>
          <w:rFonts w:eastAsia="SimSun"/>
          <w:color w:val="auto"/>
          <w:sz w:val="24"/>
          <w:szCs w:val="24"/>
          <w:lang w:eastAsia="zh-CN"/>
        </w:rPr>
        <w:t>27</w:t>
      </w:r>
      <w:r w:rsidR="00040566" w:rsidRPr="00E7572F">
        <w:rPr>
          <w:rFonts w:eastAsia="SimSun"/>
          <w:color w:val="auto"/>
          <w:sz w:val="24"/>
          <w:szCs w:val="24"/>
          <w:lang w:eastAsia="zh-CN"/>
        </w:rPr>
        <w:t>]</w:t>
      </w:r>
      <w:r w:rsidR="00C311A1" w:rsidRPr="00E7572F">
        <w:rPr>
          <w:rFonts w:eastAsia="SimSun"/>
          <w:color w:val="auto"/>
          <w:sz w:val="24"/>
          <w:szCs w:val="24"/>
          <w:lang w:eastAsia="zh-CN"/>
        </w:rPr>
        <w:t>.</w:t>
      </w:r>
    </w:p>
    <w:p w14:paraId="5A22EBCE" w14:textId="6A280B8B" w:rsidR="003D2DCE" w:rsidRPr="00E7572F" w:rsidRDefault="004B1EE2" w:rsidP="00761A41">
      <w:pPr>
        <w:pStyle w:val="H1"/>
        <w:ind w:firstLine="720"/>
        <w:rPr>
          <w:rFonts w:eastAsia="SimSun"/>
          <w:b w:val="0"/>
          <w:bCs w:val="0"/>
          <w:color w:val="auto"/>
          <w:sz w:val="24"/>
          <w:szCs w:val="24"/>
          <w:lang w:eastAsia="zh-CN"/>
        </w:rPr>
      </w:pPr>
      <w:r w:rsidRPr="00E7572F">
        <w:rPr>
          <w:rFonts w:eastAsia="SimSun"/>
          <w:b w:val="0"/>
          <w:bCs w:val="0"/>
          <w:color w:val="auto"/>
          <w:sz w:val="24"/>
          <w:szCs w:val="24"/>
          <w:lang w:eastAsia="zh-CN"/>
        </w:rPr>
        <w:t>In this study, fecal calprotectin levels remained significantly higher after treatment in the fistula group compared to the non-fistula group (p = 0.003). Additionally, ESR, CRP, and FCP showed significant improvement in both groups following treatment</w:t>
      </w:r>
      <w:r w:rsidR="00D90BB8">
        <w:rPr>
          <w:rFonts w:eastAsia="SimSun"/>
          <w:b w:val="0"/>
          <w:bCs w:val="0"/>
          <w:color w:val="auto"/>
          <w:sz w:val="24"/>
          <w:szCs w:val="24"/>
          <w:lang w:eastAsia="zh-CN"/>
        </w:rPr>
        <w:t xml:space="preserve">, as compared to their baseline levels (p &lt; </w:t>
      </w:r>
      <w:r w:rsidRPr="00E7572F">
        <w:rPr>
          <w:rFonts w:eastAsia="SimSun"/>
          <w:b w:val="0"/>
          <w:bCs w:val="0"/>
          <w:color w:val="auto"/>
          <w:sz w:val="24"/>
          <w:szCs w:val="24"/>
          <w:lang w:eastAsia="zh-CN"/>
        </w:rPr>
        <w:t xml:space="preserve">0.001 for each). In the fistula group, laboratory markers improved significantly with infliximab therapy and surgical intervention. However, fecal calprotectin levels did not exhibit a statistically significant reduction in </w:t>
      </w:r>
      <w:r w:rsidR="002F00A3">
        <w:rPr>
          <w:rFonts w:eastAsia="SimSun"/>
          <w:b w:val="0"/>
          <w:bCs w:val="0"/>
          <w:color w:val="auto"/>
          <w:sz w:val="24"/>
          <w:szCs w:val="24"/>
          <w:lang w:eastAsia="zh-CN"/>
        </w:rPr>
        <w:t>cases</w:t>
      </w:r>
      <w:r w:rsidRPr="00E7572F">
        <w:rPr>
          <w:rFonts w:eastAsia="SimSun"/>
          <w:b w:val="0"/>
          <w:bCs w:val="0"/>
          <w:color w:val="auto"/>
          <w:sz w:val="24"/>
          <w:szCs w:val="24"/>
          <w:lang w:eastAsia="zh-CN"/>
        </w:rPr>
        <w:t xml:space="preserve"> treated with adalimumab.</w:t>
      </w:r>
    </w:p>
    <w:p w14:paraId="08BD12F5" w14:textId="4C9A94EE" w:rsidR="003D2DCE" w:rsidRPr="00E7572F" w:rsidRDefault="006E618E" w:rsidP="00761A41">
      <w:pPr>
        <w:pStyle w:val="H1"/>
        <w:ind w:firstLine="720"/>
        <w:rPr>
          <w:rFonts w:eastAsia="SimSun"/>
          <w:b w:val="0"/>
          <w:bCs w:val="0"/>
          <w:color w:val="auto"/>
          <w:sz w:val="24"/>
          <w:szCs w:val="24"/>
          <w:lang w:eastAsia="zh-CN"/>
        </w:rPr>
      </w:pPr>
      <w:r w:rsidRPr="006E618E">
        <w:rPr>
          <w:rFonts w:eastAsia="SimSun"/>
          <w:b w:val="0"/>
          <w:bCs w:val="0"/>
          <w:color w:val="auto"/>
          <w:sz w:val="24"/>
          <w:szCs w:val="24"/>
          <w:lang w:eastAsia="zh-CN"/>
        </w:rPr>
        <w:t xml:space="preserve">A 2016 meta-analysis by Zhuge et al. found that fecal calprotectin has limited reliability in assessing </w:t>
      </w:r>
      <w:r>
        <w:rPr>
          <w:rFonts w:eastAsia="SimSun"/>
          <w:b w:val="0"/>
          <w:bCs w:val="0"/>
          <w:color w:val="auto"/>
          <w:sz w:val="24"/>
          <w:szCs w:val="24"/>
          <w:lang w:eastAsia="zh-CN"/>
        </w:rPr>
        <w:t>CD</w:t>
      </w:r>
      <w:r w:rsidRPr="006E618E">
        <w:rPr>
          <w:rFonts w:eastAsia="SimSun"/>
          <w:b w:val="0"/>
          <w:bCs w:val="0"/>
          <w:color w:val="auto"/>
          <w:sz w:val="24"/>
          <w:szCs w:val="24"/>
          <w:lang w:eastAsia="zh-CN"/>
        </w:rPr>
        <w:t xml:space="preserve"> activity. The pooled sensitivity was approximately 0.75, with specificity ranging from 0.47 to 0.78. For CD recurrence, </w:t>
      </w:r>
      <w:r w:rsidR="00D90BB8">
        <w:rPr>
          <w:rFonts w:eastAsia="SimSun"/>
          <w:b w:val="0"/>
          <w:bCs w:val="0"/>
          <w:color w:val="auto"/>
          <w:sz w:val="24"/>
          <w:szCs w:val="24"/>
          <w:lang w:eastAsia="zh-CN"/>
        </w:rPr>
        <w:t xml:space="preserve">the sensitivity was approximately 0.74, and the </w:t>
      </w:r>
      <w:r w:rsidRPr="006E618E">
        <w:rPr>
          <w:rFonts w:eastAsia="SimSun"/>
          <w:b w:val="0"/>
          <w:bCs w:val="0"/>
          <w:color w:val="auto"/>
          <w:sz w:val="24"/>
          <w:szCs w:val="24"/>
          <w:lang w:eastAsia="zh-CN"/>
        </w:rPr>
        <w:t>specificity ranged from 0.56 to 0.71. Due to significant pooled asymmetry and variability in study quality, the diagnostic accuracy of fecal calprotectin may be overestimated</w:t>
      </w:r>
      <w:r w:rsidR="00797BD7" w:rsidRPr="00E7572F">
        <w:rPr>
          <w:rFonts w:eastAsia="SimSun"/>
          <w:b w:val="0"/>
          <w:bCs w:val="0"/>
          <w:color w:val="auto"/>
          <w:sz w:val="24"/>
          <w:szCs w:val="24"/>
          <w:lang w:eastAsia="zh-CN"/>
        </w:rPr>
        <w:t xml:space="preserve"> </w:t>
      </w:r>
      <w:r w:rsidR="00040566" w:rsidRPr="00E7572F">
        <w:rPr>
          <w:rFonts w:eastAsia="SimSun"/>
          <w:color w:val="auto"/>
          <w:sz w:val="24"/>
          <w:szCs w:val="24"/>
          <w:lang w:eastAsia="zh-CN"/>
        </w:rPr>
        <w:t>[</w:t>
      </w:r>
      <w:r w:rsidR="00223A49" w:rsidRPr="00E7572F">
        <w:rPr>
          <w:rFonts w:eastAsia="SimSun"/>
          <w:color w:val="auto"/>
          <w:sz w:val="24"/>
          <w:szCs w:val="24"/>
          <w:lang w:eastAsia="zh-CN"/>
        </w:rPr>
        <w:t>2</w:t>
      </w:r>
      <w:r w:rsidR="0050713B" w:rsidRPr="00E7572F">
        <w:rPr>
          <w:rFonts w:eastAsia="SimSun"/>
          <w:color w:val="auto"/>
          <w:sz w:val="24"/>
          <w:szCs w:val="24"/>
          <w:lang w:eastAsia="zh-CN"/>
        </w:rPr>
        <w:t>8</w:t>
      </w:r>
      <w:r w:rsidR="00040566" w:rsidRPr="00E7572F">
        <w:rPr>
          <w:rFonts w:eastAsia="SimSun"/>
          <w:color w:val="auto"/>
          <w:sz w:val="24"/>
          <w:szCs w:val="24"/>
          <w:lang w:eastAsia="zh-CN"/>
        </w:rPr>
        <w:t>]</w:t>
      </w:r>
      <w:r w:rsidR="00C311A1" w:rsidRPr="00E7572F">
        <w:rPr>
          <w:rFonts w:eastAsia="SimSun"/>
          <w:color w:val="auto"/>
          <w:sz w:val="24"/>
          <w:szCs w:val="24"/>
          <w:lang w:eastAsia="zh-CN"/>
        </w:rPr>
        <w:t>.</w:t>
      </w:r>
    </w:p>
    <w:p w14:paraId="588D01AA" w14:textId="45037BE3" w:rsidR="009C62FA" w:rsidRDefault="000E10FD" w:rsidP="00761A41">
      <w:pPr>
        <w:pStyle w:val="H1"/>
        <w:ind w:firstLine="720"/>
        <w:rPr>
          <w:rFonts w:eastAsia="SimSun"/>
          <w:color w:val="auto"/>
          <w:sz w:val="24"/>
          <w:szCs w:val="24"/>
          <w:lang w:eastAsia="zh-CN"/>
        </w:rPr>
      </w:pPr>
      <w:r w:rsidRPr="00E7572F">
        <w:rPr>
          <w:rFonts w:eastAsia="SimSun"/>
          <w:b w:val="0"/>
          <w:bCs w:val="0"/>
          <w:color w:val="auto"/>
          <w:sz w:val="24"/>
          <w:szCs w:val="24"/>
          <w:lang w:eastAsia="zh-CN"/>
        </w:rPr>
        <w:t xml:space="preserve">In a retrospective analysis, Li et al. found that a </w:t>
      </w:r>
      <w:r w:rsidR="00D90BB8">
        <w:rPr>
          <w:rFonts w:eastAsia="SimSun"/>
          <w:b w:val="0"/>
          <w:bCs w:val="0"/>
          <w:color w:val="auto"/>
          <w:sz w:val="24"/>
          <w:szCs w:val="24"/>
          <w:lang w:eastAsia="zh-CN"/>
        </w:rPr>
        <w:t>higher level of ESR, combined with a lower eosinophil count, may more precisely identify CD patients who are at risk of developing</w:t>
      </w:r>
      <w:r w:rsidRPr="00E7572F">
        <w:rPr>
          <w:rFonts w:eastAsia="SimSun"/>
          <w:b w:val="0"/>
          <w:bCs w:val="0"/>
          <w:color w:val="auto"/>
          <w:sz w:val="24"/>
          <w:szCs w:val="24"/>
          <w:lang w:eastAsia="zh-CN"/>
        </w:rPr>
        <w:t xml:space="preserve"> a fistula </w:t>
      </w:r>
      <w:r w:rsidR="00040566" w:rsidRPr="00E7572F">
        <w:rPr>
          <w:rFonts w:eastAsia="SimSun"/>
          <w:color w:val="auto"/>
          <w:sz w:val="24"/>
          <w:szCs w:val="24"/>
          <w:lang w:eastAsia="zh-CN"/>
        </w:rPr>
        <w:t>[</w:t>
      </w:r>
      <w:r w:rsidR="0050713B" w:rsidRPr="00E7572F">
        <w:rPr>
          <w:rFonts w:eastAsia="SimSun"/>
          <w:color w:val="auto"/>
          <w:sz w:val="24"/>
          <w:szCs w:val="24"/>
          <w:lang w:eastAsia="zh-CN"/>
        </w:rPr>
        <w:t>29</w:t>
      </w:r>
      <w:r w:rsidR="00040566" w:rsidRPr="00E7572F">
        <w:rPr>
          <w:rFonts w:eastAsia="SimSun"/>
          <w:color w:val="auto"/>
          <w:sz w:val="24"/>
          <w:szCs w:val="24"/>
          <w:lang w:eastAsia="zh-CN"/>
        </w:rPr>
        <w:t>]</w:t>
      </w:r>
      <w:r w:rsidR="00C311A1" w:rsidRPr="00E7572F">
        <w:rPr>
          <w:rFonts w:eastAsia="SimSun"/>
          <w:color w:val="auto"/>
          <w:sz w:val="24"/>
          <w:szCs w:val="24"/>
          <w:lang w:eastAsia="zh-CN"/>
        </w:rPr>
        <w:t>.</w:t>
      </w:r>
    </w:p>
    <w:p w14:paraId="0397DA39" w14:textId="281E3545" w:rsidR="00B007D6" w:rsidRPr="00E7572F" w:rsidRDefault="00B007D6" w:rsidP="00761A41">
      <w:pPr>
        <w:pStyle w:val="H1"/>
        <w:ind w:firstLine="720"/>
        <w:rPr>
          <w:caps/>
          <w:color w:val="auto"/>
        </w:rPr>
      </w:pPr>
      <w:r w:rsidRPr="00E7572F">
        <w:rPr>
          <w:rFonts w:eastAsia="SimSun"/>
          <w:b w:val="0"/>
          <w:bCs w:val="0"/>
          <w:color w:val="auto"/>
          <w:sz w:val="24"/>
          <w:szCs w:val="24"/>
          <w:lang w:eastAsia="zh-CN"/>
        </w:rPr>
        <w:t xml:space="preserve">Despite these valuable insights, several limitations must be considered. </w:t>
      </w:r>
      <w:r>
        <w:rPr>
          <w:rFonts w:eastAsia="SimSun"/>
          <w:b w:val="0"/>
          <w:bCs w:val="0"/>
          <w:color w:val="auto"/>
          <w:sz w:val="24"/>
          <w:szCs w:val="24"/>
          <w:lang w:eastAsia="zh-CN"/>
        </w:rPr>
        <w:t>This</w:t>
      </w:r>
      <w:r w:rsidRPr="00E7572F">
        <w:rPr>
          <w:rFonts w:eastAsia="SimSun"/>
          <w:b w:val="0"/>
          <w:bCs w:val="0"/>
          <w:color w:val="auto"/>
          <w:sz w:val="24"/>
          <w:szCs w:val="24"/>
          <w:lang w:eastAsia="zh-CN"/>
        </w:rPr>
        <w:t xml:space="preserve"> study was conducted on an Egyptian patient population, </w:t>
      </w:r>
      <w:r w:rsidR="00D90BB8">
        <w:rPr>
          <w:rFonts w:eastAsia="SimSun"/>
          <w:b w:val="0"/>
          <w:bCs w:val="0"/>
          <w:color w:val="auto"/>
          <w:sz w:val="24"/>
          <w:szCs w:val="24"/>
          <w:lang w:eastAsia="zh-CN"/>
        </w:rPr>
        <w:t>which may limit</w:t>
      </w:r>
      <w:r w:rsidRPr="00E7572F">
        <w:rPr>
          <w:rFonts w:eastAsia="SimSun"/>
          <w:b w:val="0"/>
          <w:bCs w:val="0"/>
          <w:color w:val="auto"/>
          <w:sz w:val="24"/>
          <w:szCs w:val="24"/>
          <w:lang w:eastAsia="zh-CN"/>
        </w:rPr>
        <w:t xml:space="preserve"> the generalizability of the findings. Additionally, financial and administrative barriers to biologic therapy access may have influenced treatment selection and outcomes. Given the challenges associated with biological therapies, we recommend a further and future cost-effectiveness analysis of different treatment strategies, particularly for healthcare systems in resource-limited settings. </w:t>
      </w:r>
      <w:r w:rsidR="00D90BB8">
        <w:rPr>
          <w:rFonts w:eastAsia="SimSun"/>
          <w:b w:val="0"/>
          <w:bCs w:val="0"/>
          <w:color w:val="auto"/>
          <w:sz w:val="24"/>
          <w:szCs w:val="24"/>
          <w:lang w:eastAsia="zh-CN"/>
        </w:rPr>
        <w:t>Additionally, the small sample sizes resulted from the exclusion of critically ill patients</w:t>
      </w:r>
      <w:r w:rsidR="005060B5">
        <w:rPr>
          <w:rFonts w:eastAsia="SimSun"/>
          <w:b w:val="0"/>
          <w:bCs w:val="0"/>
          <w:color w:val="auto"/>
          <w:sz w:val="24"/>
          <w:szCs w:val="24"/>
          <w:lang w:eastAsia="zh-CN"/>
        </w:rPr>
        <w:t xml:space="preserve"> and</w:t>
      </w:r>
      <w:r w:rsidR="00D90BB8">
        <w:rPr>
          <w:rFonts w:eastAsia="SimSun"/>
          <w:b w:val="0"/>
          <w:bCs w:val="0"/>
          <w:color w:val="auto"/>
          <w:sz w:val="24"/>
          <w:szCs w:val="24"/>
          <w:lang w:eastAsia="zh-CN"/>
        </w:rPr>
        <w:t xml:space="preserve"> some patients' refusal</w:t>
      </w:r>
      <w:r w:rsidRPr="00E7572F">
        <w:rPr>
          <w:rFonts w:eastAsia="SimSun"/>
          <w:b w:val="0"/>
          <w:bCs w:val="0"/>
          <w:color w:val="auto"/>
          <w:sz w:val="24"/>
          <w:szCs w:val="24"/>
          <w:lang w:eastAsia="zh-CN"/>
        </w:rPr>
        <w:t xml:space="preserve"> to participate in the study. The genetic and serologic markers were not available. Future studies should consider incorporating genetic markers (e.g., NOD2 mutations) and serologic markers (e.g., ASCA, ANCA) to better predict disease behavior and therapeutic responses. An extended follow-up period was recommended.</w:t>
      </w:r>
    </w:p>
    <w:p w14:paraId="3485CD98" w14:textId="77777777" w:rsidR="00857818" w:rsidRPr="00FE68F6" w:rsidRDefault="00857818" w:rsidP="00761A41">
      <w:pPr>
        <w:pStyle w:val="H1"/>
        <w:rPr>
          <w:rFonts w:eastAsia="SimSun"/>
          <w:b w:val="0"/>
          <w:bCs w:val="0"/>
          <w:color w:val="auto"/>
          <w:sz w:val="24"/>
          <w:szCs w:val="24"/>
          <w:lang w:eastAsia="zh-CN"/>
        </w:rPr>
      </w:pPr>
      <w:r w:rsidRPr="00FE68F6">
        <w:rPr>
          <w:caps/>
          <w:color w:val="auto"/>
          <w:sz w:val="24"/>
          <w:szCs w:val="24"/>
        </w:rPr>
        <w:t>Conclusion:</w:t>
      </w:r>
    </w:p>
    <w:bookmarkEnd w:id="5"/>
    <w:p w14:paraId="3A003867" w14:textId="174BA5A7" w:rsidR="00282654" w:rsidRPr="00E7572F" w:rsidRDefault="00C906CB" w:rsidP="00761A41">
      <w:pPr>
        <w:pStyle w:val="H1"/>
        <w:rPr>
          <w:rFonts w:eastAsia="SimSun"/>
          <w:b w:val="0"/>
          <w:bCs w:val="0"/>
          <w:color w:val="auto"/>
          <w:sz w:val="24"/>
          <w:szCs w:val="24"/>
          <w:lang w:eastAsia="zh-CN"/>
        </w:rPr>
      </w:pPr>
      <w:r w:rsidRPr="00E7572F">
        <w:rPr>
          <w:rFonts w:eastAsia="SimSun"/>
          <w:b w:val="0"/>
          <w:bCs w:val="0"/>
          <w:color w:val="auto"/>
          <w:sz w:val="24"/>
          <w:szCs w:val="24"/>
          <w:lang w:eastAsia="zh-CN"/>
        </w:rPr>
        <w:t xml:space="preserve">This study highlights NSAID use as a significant risk factor for the development of fistulizing Crohn’s disease, reinforcing its detrimental impact on disease progression and treatment outcomes. The findings also underscore the utility of CDAI and SES-CD in assessing disease severity and monitoring therapeutic response. Furthermore, the study demonstrates that biologic therapy, particularly infliximab, and surgical intervention are the most effective treatment strategies for managing fistulizing Crohn’s disease. While adalimumab contributed to clinical improvement, infliximab and surgery yielded superior outcomes, particularly in terms of fistula closure and </w:t>
      </w:r>
      <w:r w:rsidR="00D90BB8">
        <w:rPr>
          <w:rFonts w:eastAsia="SimSun"/>
          <w:b w:val="0"/>
          <w:bCs w:val="0"/>
          <w:color w:val="auto"/>
          <w:sz w:val="24"/>
          <w:szCs w:val="24"/>
          <w:lang w:eastAsia="zh-CN"/>
        </w:rPr>
        <w:t>reduction in inflammatory markers</w:t>
      </w:r>
      <w:r w:rsidRPr="00E7572F">
        <w:rPr>
          <w:rFonts w:eastAsia="SimSun"/>
          <w:b w:val="0"/>
          <w:bCs w:val="0"/>
          <w:color w:val="auto"/>
          <w:sz w:val="24"/>
          <w:szCs w:val="24"/>
          <w:lang w:eastAsia="zh-CN"/>
        </w:rPr>
        <w:t xml:space="preserve">. </w:t>
      </w:r>
    </w:p>
    <w:p w14:paraId="39C63DB1" w14:textId="77777777" w:rsidR="00857818" w:rsidRPr="00FE68F6" w:rsidRDefault="00857818" w:rsidP="00761A41">
      <w:pPr>
        <w:tabs>
          <w:tab w:val="left" w:pos="7167"/>
          <w:tab w:val="right" w:pos="9027"/>
        </w:tabs>
        <w:bidi w:val="0"/>
        <w:spacing w:line="480" w:lineRule="auto"/>
        <w:jc w:val="both"/>
        <w:rPr>
          <w:b/>
          <w:lang w:bidi="ar-EG"/>
        </w:rPr>
      </w:pPr>
      <w:r w:rsidRPr="00FE68F6">
        <w:rPr>
          <w:b/>
          <w:lang w:bidi="ar-EG"/>
        </w:rPr>
        <w:t>Abbreviations</w:t>
      </w:r>
    </w:p>
    <w:p w14:paraId="77BA5430" w14:textId="4593487E" w:rsidR="00797BD7" w:rsidRPr="00E7572F" w:rsidRDefault="003D2DCE" w:rsidP="00761A41">
      <w:pPr>
        <w:pStyle w:val="H1"/>
        <w:spacing w:after="240"/>
        <w:rPr>
          <w:rFonts w:eastAsia="SimSun"/>
          <w:b w:val="0"/>
          <w:bCs w:val="0"/>
          <w:color w:val="auto"/>
          <w:sz w:val="24"/>
          <w:szCs w:val="24"/>
          <w:lang w:eastAsia="zh-CN"/>
        </w:rPr>
      </w:pPr>
      <w:r w:rsidRPr="00E7572F">
        <w:rPr>
          <w:rFonts w:eastAsia="SimSun"/>
          <w:b w:val="0"/>
          <w:bCs w:val="0"/>
          <w:color w:val="auto"/>
          <w:sz w:val="24"/>
          <w:szCs w:val="24"/>
          <w:lang w:eastAsia="zh-CN"/>
        </w:rPr>
        <w:t xml:space="preserve">CD: Crohn’s Disease, CDAI: </w:t>
      </w:r>
      <w:r w:rsidRPr="00E7572F">
        <w:rPr>
          <w:rFonts w:eastAsia="SimSun"/>
          <w:b w:val="0"/>
          <w:bCs w:val="0"/>
          <w:color w:val="auto"/>
          <w:sz w:val="24"/>
          <w:szCs w:val="24"/>
          <w:lang w:eastAsia="zh-CN"/>
        </w:rPr>
        <w:tab/>
        <w:t>Crohn’s Disease Activity Index, ECCO: European Crohn's and Colitis Organization, IL: Interleukin, IFN: Interferon, TNF: T</w:t>
      </w:r>
      <w:r w:rsidR="00282654" w:rsidRPr="00E7572F">
        <w:rPr>
          <w:rFonts w:eastAsia="SimSun"/>
          <w:b w:val="0"/>
          <w:bCs w:val="0"/>
          <w:color w:val="auto"/>
          <w:sz w:val="24"/>
          <w:szCs w:val="24"/>
          <w:lang w:eastAsia="zh-CN"/>
        </w:rPr>
        <w:t xml:space="preserve">umor Necrosis Factor, NSAIDs: </w:t>
      </w:r>
      <w:r w:rsidRPr="00E7572F">
        <w:rPr>
          <w:rFonts w:eastAsia="SimSun"/>
          <w:b w:val="0"/>
          <w:bCs w:val="0"/>
          <w:color w:val="auto"/>
          <w:sz w:val="24"/>
          <w:szCs w:val="24"/>
          <w:lang w:eastAsia="zh-CN"/>
        </w:rPr>
        <w:t>Non-Steroidal Anti-Inflammatory Drugs, TPMT:</w:t>
      </w:r>
      <w:r w:rsidRPr="00E7572F">
        <w:rPr>
          <w:rFonts w:eastAsia="SimSun"/>
          <w:b w:val="0"/>
          <w:bCs w:val="0"/>
          <w:color w:val="auto"/>
          <w:sz w:val="24"/>
          <w:szCs w:val="24"/>
          <w:lang w:eastAsia="zh-CN"/>
        </w:rPr>
        <w:tab/>
        <w:t xml:space="preserve"> Thiopurine S-methyltransferase, TB: Tuberculosis, IBD:  Inflammatory Bowel Disease, FCP: Fecal Calprotectin, IFX: Infliximab, ADA: Adalimumab, FCD: Fistulizing Crohn’s disease, ACG: Ameri</w:t>
      </w:r>
      <w:r w:rsidR="00BD5476" w:rsidRPr="00E7572F">
        <w:rPr>
          <w:rFonts w:eastAsia="SimSun"/>
          <w:b w:val="0"/>
          <w:bCs w:val="0"/>
          <w:color w:val="auto"/>
          <w:sz w:val="24"/>
          <w:szCs w:val="24"/>
          <w:lang w:eastAsia="zh-CN"/>
        </w:rPr>
        <w:t>can College of Gastroenterology, SES-CD:</w:t>
      </w:r>
      <w:r w:rsidR="00BD5476" w:rsidRPr="00E7572F">
        <w:rPr>
          <w:color w:val="auto"/>
        </w:rPr>
        <w:t xml:space="preserve"> </w:t>
      </w:r>
      <w:r w:rsidR="00BD5476" w:rsidRPr="00E7572F">
        <w:rPr>
          <w:rFonts w:eastAsia="SimSun"/>
          <w:b w:val="0"/>
          <w:bCs w:val="0"/>
          <w:color w:val="auto"/>
          <w:sz w:val="24"/>
          <w:szCs w:val="24"/>
          <w:lang w:eastAsia="zh-CN"/>
        </w:rPr>
        <w:t>Simplified Endoscopic Score for Crohn's Disease.</w:t>
      </w:r>
    </w:p>
    <w:p w14:paraId="30B6B648" w14:textId="77777777" w:rsidR="00C805FB" w:rsidRPr="00C805FB" w:rsidRDefault="00C805FB" w:rsidP="00C805FB">
      <w:pPr>
        <w:bidi w:val="0"/>
        <w:spacing w:before="100" w:beforeAutospacing="1" w:after="100" w:afterAutospacing="1"/>
        <w:rPr>
          <w:rFonts w:ascii="Segoe UI" w:hAnsi="Segoe UI" w:cs="Segoe UI"/>
          <w:b/>
          <w:bCs/>
          <w:lang w:eastAsia="fr-FR"/>
        </w:rPr>
      </w:pPr>
      <w:r w:rsidRPr="00C805FB">
        <w:rPr>
          <w:rFonts w:ascii="Segoe UI" w:hAnsi="Segoe UI" w:cs="Segoe UI"/>
          <w:b/>
          <w:bCs/>
          <w:lang w:eastAsia="fr-FR"/>
        </w:rPr>
        <w:t>Footnotes.</w:t>
      </w:r>
    </w:p>
    <w:p w14:paraId="6C7BAAC4" w14:textId="0B16AC9A" w:rsidR="00C805FB" w:rsidRPr="00C805FB" w:rsidRDefault="00381B15" w:rsidP="00C805FB">
      <w:pPr>
        <w:bidi w:val="0"/>
        <w:spacing w:before="100" w:beforeAutospacing="1" w:after="100" w:afterAutospacing="1"/>
        <w:rPr>
          <w:rFonts w:ascii="Segoe UI" w:hAnsi="Segoe UI" w:cs="Segoe UI"/>
          <w:lang w:eastAsia="fr-FR"/>
        </w:rPr>
      </w:pPr>
      <w:r>
        <w:rPr>
          <w:rFonts w:ascii="Segoe UI" w:hAnsi="Segoe UI" w:cs="Segoe UI"/>
          <w:lang w:eastAsia="fr-FR"/>
        </w:rPr>
        <w:t>Ahmed Agrodey</w:t>
      </w:r>
      <w:r w:rsidR="00C805FB" w:rsidRPr="00C805FB">
        <w:rPr>
          <w:rFonts w:ascii="Segoe UI" w:hAnsi="Segoe UI" w:cs="Segoe UI"/>
          <w:lang w:eastAsia="fr-FR"/>
        </w:rPr>
        <w:t xml:space="preserve"> (lecturer in the internal medicine, gastroenterology, and hepatology unit), </w:t>
      </w:r>
      <w:r>
        <w:rPr>
          <w:rFonts w:ascii="Segoe UI" w:hAnsi="Segoe UI" w:cs="Segoe UI"/>
          <w:lang w:eastAsia="fr-FR"/>
        </w:rPr>
        <w:t>Mohamed Emara</w:t>
      </w:r>
      <w:r w:rsidR="00C805FB" w:rsidRPr="00C805FB">
        <w:rPr>
          <w:rFonts w:ascii="Segoe UI" w:hAnsi="Segoe UI" w:cs="Segoe UI"/>
          <w:lang w:eastAsia="fr-FR"/>
        </w:rPr>
        <w:t xml:space="preserve"> (Professor in the gastroenterology, and hepatology</w:t>
      </w:r>
      <w:r>
        <w:rPr>
          <w:rFonts w:ascii="Segoe UI" w:hAnsi="Segoe UI" w:cs="Segoe UI"/>
          <w:lang w:eastAsia="fr-FR"/>
        </w:rPr>
        <w:t xml:space="preserve"> and infectious diseases department</w:t>
      </w:r>
      <w:r w:rsidR="00C805FB" w:rsidRPr="00C805FB">
        <w:rPr>
          <w:rFonts w:ascii="Segoe UI" w:hAnsi="Segoe UI" w:cs="Segoe UI"/>
          <w:lang w:eastAsia="fr-FR"/>
        </w:rPr>
        <w:t>), and Amany Mohamed (Biostatistician and Professor of Family Medicine) were peer reviewers.</w:t>
      </w:r>
    </w:p>
    <w:p w14:paraId="5F530D66" w14:textId="77777777" w:rsidR="00C805FB" w:rsidRPr="00C805FB" w:rsidRDefault="00C805FB" w:rsidP="00C805FB">
      <w:pPr>
        <w:bidi w:val="0"/>
        <w:spacing w:before="100" w:beforeAutospacing="1" w:after="100" w:afterAutospacing="1"/>
        <w:rPr>
          <w:rFonts w:ascii="Segoe UI" w:hAnsi="Segoe UI" w:cs="Segoe UI"/>
          <w:lang w:eastAsia="fr-FR"/>
        </w:rPr>
      </w:pPr>
      <w:r w:rsidRPr="00C805FB">
        <w:rPr>
          <w:rFonts w:ascii="Segoe UI" w:hAnsi="Segoe UI" w:cs="Segoe UI"/>
          <w:b/>
          <w:bCs/>
          <w:lang w:eastAsia="fr-FR"/>
        </w:rPr>
        <w:t>E- Editor:</w:t>
      </w:r>
      <w:r w:rsidRPr="00C805FB">
        <w:rPr>
          <w:rFonts w:ascii="Segoe UI" w:hAnsi="Segoe UI" w:cs="Segoe UI"/>
          <w:lang w:eastAsia="fr-FR"/>
        </w:rPr>
        <w:t xml:space="preserve"> Salem Youssef Mohamed, Osama Ahmed Khalil, Amany Mohammed.</w:t>
      </w:r>
    </w:p>
    <w:p w14:paraId="1035E6FD" w14:textId="77777777" w:rsidR="00C805FB" w:rsidRPr="00C805FB" w:rsidRDefault="00C805FB" w:rsidP="00C805FB">
      <w:pPr>
        <w:bidi w:val="0"/>
        <w:spacing w:before="100" w:beforeAutospacing="1" w:after="100" w:afterAutospacing="1"/>
        <w:rPr>
          <w:rFonts w:ascii="Segoe UI" w:hAnsi="Segoe UI" w:cs="Segoe UI"/>
          <w:lang w:eastAsia="fr-FR"/>
        </w:rPr>
      </w:pPr>
      <w:r w:rsidRPr="00C805FB">
        <w:rPr>
          <w:rFonts w:ascii="Segoe UI" w:hAnsi="Segoe UI" w:cs="Segoe UI"/>
          <w:b/>
          <w:bCs/>
          <w:lang w:eastAsia="fr-FR"/>
        </w:rPr>
        <w:t>Copyright ©.</w:t>
      </w:r>
      <w:r w:rsidRPr="00C805FB">
        <w:rPr>
          <w:rFonts w:ascii="Segoe UI" w:hAnsi="Segoe UI" w:cs="Segoe UI"/>
          <w:lang w:eastAsia="fr-FR"/>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7EEB1EB8" w14:textId="77777777" w:rsidR="00C805FB" w:rsidRPr="00C805FB" w:rsidRDefault="00C805FB" w:rsidP="00C805FB">
      <w:pPr>
        <w:bidi w:val="0"/>
        <w:spacing w:before="100" w:beforeAutospacing="1" w:after="100" w:afterAutospacing="1"/>
        <w:rPr>
          <w:rFonts w:ascii="Segoe UI" w:hAnsi="Segoe UI" w:cs="Segoe UI"/>
          <w:lang w:eastAsia="fr-FR"/>
        </w:rPr>
      </w:pPr>
      <w:r w:rsidRPr="00C805FB">
        <w:rPr>
          <w:rFonts w:ascii="Segoe UI" w:hAnsi="Segoe UI" w:cs="Segoe UI"/>
          <w:b/>
          <w:bCs/>
          <w:lang w:eastAsia="fr-FR"/>
        </w:rPr>
        <w:t>Disclaimer:</w:t>
      </w:r>
      <w:r w:rsidRPr="00C805FB">
        <w:rPr>
          <w:rFonts w:ascii="Segoe UI" w:hAnsi="Segoe UI" w:cs="Segoe UI"/>
          <w:lang w:eastAsia="fr-FR"/>
        </w:rPr>
        <w:t xml:space="preserve"> The authors' claims in this article are solely their own and do not necessarily represent their affiliated organizations or those of the publisher, the editors, or the reviewers. Any product evaluated in this article or its manufacturer's claim is not guaranteed or endorsed by the publisher.</w:t>
      </w:r>
    </w:p>
    <w:p w14:paraId="1D067C7F" w14:textId="77777777" w:rsidR="00C805FB" w:rsidRPr="00C805FB" w:rsidRDefault="00C805FB" w:rsidP="00C805FB">
      <w:pPr>
        <w:bidi w:val="0"/>
        <w:spacing w:before="100" w:beforeAutospacing="1" w:after="100" w:afterAutospacing="1"/>
        <w:rPr>
          <w:rFonts w:ascii="Segoe UI" w:hAnsi="Segoe UI" w:cs="Segoe UI"/>
          <w:b/>
          <w:lang w:val="yo-NG" w:eastAsia="fr-FR"/>
        </w:rPr>
      </w:pPr>
      <w:r w:rsidRPr="00C805FB">
        <w:rPr>
          <w:rFonts w:ascii="Segoe UI" w:hAnsi="Segoe UI" w:cs="Segoe UI"/>
          <w:b/>
          <w:lang w:val="yo-NG" w:eastAsia="fr-FR"/>
        </w:rPr>
        <w:t>Ethics approval</w:t>
      </w:r>
    </w:p>
    <w:p w14:paraId="5E2903CE" w14:textId="77777777" w:rsidR="0086301C" w:rsidRPr="00E7572F" w:rsidRDefault="0086301C" w:rsidP="0086301C">
      <w:pPr>
        <w:bidi w:val="0"/>
        <w:spacing w:line="480" w:lineRule="auto"/>
        <w:jc w:val="both"/>
        <w:rPr>
          <w:b/>
          <w:lang w:bidi="ar-EG"/>
        </w:rPr>
      </w:pPr>
      <w:r w:rsidRPr="00E7572F">
        <w:rPr>
          <w:b/>
          <w:lang w:bidi="ar-EG"/>
        </w:rPr>
        <w:t xml:space="preserve">Ethics approval and consent to participate </w:t>
      </w:r>
    </w:p>
    <w:p w14:paraId="6683DE82" w14:textId="77777777" w:rsidR="0086301C" w:rsidRPr="00E7572F" w:rsidRDefault="0086301C" w:rsidP="0086301C">
      <w:pPr>
        <w:bidi w:val="0"/>
        <w:spacing w:after="240" w:line="480" w:lineRule="auto"/>
        <w:jc w:val="both"/>
        <w:rPr>
          <w:bCs/>
          <w:lang w:bidi="ar-EG"/>
        </w:rPr>
      </w:pPr>
      <w:r w:rsidRPr="00E7572F">
        <w:rPr>
          <w:bCs/>
          <w:lang w:bidi="ar-EG"/>
        </w:rPr>
        <w:t>This study was approved by the Faculty of Medicine</w:t>
      </w:r>
      <w:r>
        <w:rPr>
          <w:bCs/>
          <w:lang w:bidi="ar-EG"/>
        </w:rPr>
        <w:t>, Ain Shams University Research Ethical Committee, No.</w:t>
      </w:r>
      <w:r w:rsidRPr="00E7572F">
        <w:rPr>
          <w:bCs/>
          <w:lang w:bidi="ar-EG"/>
        </w:rPr>
        <w:t xml:space="preserve"> FMASU MS 771/2022. Each patient was provided </w:t>
      </w:r>
      <w:r>
        <w:rPr>
          <w:bCs/>
          <w:lang w:bidi="ar-EG"/>
        </w:rPr>
        <w:t xml:space="preserve">with a written informed consent form for the </w:t>
      </w:r>
      <w:r w:rsidRPr="00E7572F">
        <w:rPr>
          <w:bCs/>
          <w:lang w:bidi="ar-EG"/>
        </w:rPr>
        <w:t>analysis of anonymized data.</w:t>
      </w:r>
    </w:p>
    <w:p w14:paraId="43E55A23" w14:textId="77777777" w:rsidR="00C805FB" w:rsidRPr="00C805FB" w:rsidRDefault="00C805FB" w:rsidP="00C805FB">
      <w:pPr>
        <w:bidi w:val="0"/>
        <w:spacing w:before="100" w:beforeAutospacing="1" w:after="100" w:afterAutospacing="1"/>
        <w:rPr>
          <w:rFonts w:ascii="Segoe UI" w:hAnsi="Segoe UI" w:cs="Segoe UI"/>
          <w:lang w:eastAsia="fr-FR"/>
        </w:rPr>
      </w:pPr>
      <w:r w:rsidRPr="00C805FB">
        <w:rPr>
          <w:rFonts w:ascii="Segoe UI" w:hAnsi="Segoe UI" w:cs="Segoe UI"/>
          <w:b/>
          <w:bCs/>
          <w:lang w:eastAsia="fr-FR"/>
        </w:rPr>
        <w:t>Data and materials availability:</w:t>
      </w:r>
      <w:r w:rsidRPr="00C805FB">
        <w:rPr>
          <w:rFonts w:ascii="Segoe UI" w:hAnsi="Segoe UI" w:cs="Segoe UI"/>
          <w:lang w:eastAsia="fr-FR"/>
        </w:rPr>
        <w:t xml:space="preserve"> The datasets used and/or analyzed during the current study are available from the corresponding author on reasonable request. </w:t>
      </w:r>
    </w:p>
    <w:p w14:paraId="50BFCC0D" w14:textId="77777777" w:rsidR="00C805FB" w:rsidRPr="00C805FB" w:rsidRDefault="00C805FB" w:rsidP="00C805FB">
      <w:pPr>
        <w:bidi w:val="0"/>
        <w:spacing w:before="100" w:beforeAutospacing="1" w:after="100" w:afterAutospacing="1"/>
        <w:rPr>
          <w:rFonts w:ascii="Segoe UI" w:hAnsi="Segoe UI" w:cs="Segoe UI"/>
          <w:lang w:eastAsia="fr-FR"/>
        </w:rPr>
      </w:pPr>
      <w:r w:rsidRPr="00C805FB">
        <w:rPr>
          <w:rFonts w:ascii="Segoe UI" w:hAnsi="Segoe UI" w:cs="Segoe UI"/>
          <w:b/>
          <w:bCs/>
          <w:lang w:eastAsia="fr-FR"/>
        </w:rPr>
        <w:t>Competing interests</w:t>
      </w:r>
      <w:r w:rsidRPr="00C805FB">
        <w:rPr>
          <w:rFonts w:ascii="Segoe UI" w:hAnsi="Segoe UI" w:cs="Segoe UI"/>
          <w:lang w:eastAsia="fr-FR"/>
        </w:rPr>
        <w:t>: The authors declare that they have no competing interests.</w:t>
      </w:r>
    </w:p>
    <w:p w14:paraId="6C9BEA65" w14:textId="77777777" w:rsidR="0086301C" w:rsidRPr="00E7572F" w:rsidRDefault="00C805FB" w:rsidP="0086301C">
      <w:pPr>
        <w:bidi w:val="0"/>
        <w:spacing w:after="240" w:line="360" w:lineRule="auto"/>
        <w:jc w:val="both"/>
      </w:pPr>
      <w:r w:rsidRPr="00C805FB">
        <w:rPr>
          <w:rFonts w:ascii="Segoe UI" w:hAnsi="Segoe UI" w:cs="Segoe UI"/>
          <w:b/>
          <w:bCs/>
          <w:lang w:eastAsia="fr-FR"/>
        </w:rPr>
        <w:t>Funding</w:t>
      </w:r>
      <w:r w:rsidRPr="00C805FB">
        <w:rPr>
          <w:rFonts w:ascii="Segoe UI" w:hAnsi="Segoe UI" w:cs="Segoe UI"/>
          <w:lang w:eastAsia="fr-FR"/>
        </w:rPr>
        <w:t xml:space="preserve">: </w:t>
      </w:r>
      <w:r w:rsidR="0086301C">
        <w:t>Any specific grant from public, commercial, or nonprofit funding agencies did not support this research</w:t>
      </w:r>
      <w:r w:rsidR="0086301C" w:rsidRPr="00E7572F">
        <w:t>.</w:t>
      </w:r>
    </w:p>
    <w:p w14:paraId="5867B22E" w14:textId="77777777" w:rsidR="00C805FB" w:rsidRPr="00C805FB" w:rsidRDefault="00C805FB" w:rsidP="00C805FB">
      <w:pPr>
        <w:bidi w:val="0"/>
        <w:spacing w:before="100" w:beforeAutospacing="1" w:after="100" w:afterAutospacing="1"/>
        <w:rPr>
          <w:rFonts w:ascii="Segoe UI" w:hAnsi="Segoe UI" w:cs="Segoe UI"/>
          <w:lang w:eastAsia="fr-FR"/>
        </w:rPr>
      </w:pPr>
      <w:r w:rsidRPr="00C805FB">
        <w:rPr>
          <w:rFonts w:ascii="Segoe UI" w:hAnsi="Segoe UI" w:cs="Segoe UI"/>
          <w:b/>
          <w:bCs/>
          <w:lang w:eastAsia="fr-FR"/>
        </w:rPr>
        <w:t>This work</w:t>
      </w:r>
      <w:r w:rsidRPr="00C805FB">
        <w:rPr>
          <w:rFonts w:ascii="Segoe UI" w:hAnsi="Segoe UI" w:cs="Segoe UI"/>
          <w:lang w:eastAsia="fr-FR"/>
        </w:rPr>
        <w:t xml:space="preserve"> was conducted in accordance with the STROBE guidelines.</w:t>
      </w:r>
      <w:bookmarkStart w:id="6" w:name="h11"/>
      <w:bookmarkEnd w:id="6"/>
    </w:p>
    <w:p w14:paraId="1D2B646E" w14:textId="77777777" w:rsidR="00C805FB" w:rsidRPr="00C805FB" w:rsidRDefault="00C805FB" w:rsidP="00C805FB">
      <w:pPr>
        <w:bidi w:val="0"/>
        <w:spacing w:before="100" w:beforeAutospacing="1" w:after="100" w:afterAutospacing="1"/>
        <w:rPr>
          <w:rFonts w:ascii="Segoe UI" w:hAnsi="Segoe UI" w:cs="Segoe UI"/>
          <w:b/>
          <w:bCs/>
          <w:lang w:val="yo-NG" w:eastAsia="fr-FR"/>
        </w:rPr>
      </w:pPr>
      <w:r w:rsidRPr="00C805FB">
        <w:rPr>
          <w:rFonts w:ascii="Segoe UI" w:hAnsi="Segoe UI" w:cs="Segoe UI"/>
          <w:b/>
          <w:bCs/>
          <w:lang w:eastAsia="fr-FR"/>
        </w:rPr>
        <w:t xml:space="preserve">Authors' contributions: </w:t>
      </w:r>
    </w:p>
    <w:p w14:paraId="674170A3" w14:textId="77777777" w:rsidR="001D23F4" w:rsidRDefault="0086301C" w:rsidP="001D23F4">
      <w:pPr>
        <w:bidi w:val="0"/>
        <w:spacing w:after="240" w:line="480" w:lineRule="auto"/>
        <w:jc w:val="both"/>
      </w:pPr>
      <w:r w:rsidRPr="00E7572F">
        <w:t xml:space="preserve">Yehia A M </w:t>
      </w:r>
      <w:r>
        <w:t>collected and followed up on the patients and carried</w:t>
      </w:r>
      <w:r w:rsidRPr="00E7572F">
        <w:t xml:space="preserve"> out the requested investigations. </w:t>
      </w:r>
      <w:proofErr w:type="spellStart"/>
      <w:r w:rsidRPr="00E7572F">
        <w:t>Elfors</w:t>
      </w:r>
      <w:proofErr w:type="spellEnd"/>
      <w:r w:rsidRPr="00E7572F">
        <w:t xml:space="preserve"> M A, Awad E A, Saleh S AB, Hamdy K, El </w:t>
      </w:r>
      <w:proofErr w:type="spellStart"/>
      <w:r w:rsidRPr="00E7572F">
        <w:t>Essawy</w:t>
      </w:r>
      <w:proofErr w:type="spellEnd"/>
      <w:r w:rsidRPr="00E7572F">
        <w:t xml:space="preserve"> H A, Shehab H, </w:t>
      </w:r>
      <w:proofErr w:type="spellStart"/>
      <w:r w:rsidRPr="00E7572F">
        <w:t>Badary</w:t>
      </w:r>
      <w:proofErr w:type="spellEnd"/>
      <w:r w:rsidRPr="00E7572F">
        <w:t xml:space="preserve"> H A</w:t>
      </w:r>
      <w:r>
        <w:t>,</w:t>
      </w:r>
      <w:r w:rsidRPr="00E7572F">
        <w:t xml:space="preserve"> and Farrag A </w:t>
      </w:r>
      <w:proofErr w:type="spellStart"/>
      <w:r w:rsidRPr="00E7572F">
        <w:t>A</w:t>
      </w:r>
      <w:proofErr w:type="spellEnd"/>
      <w:r w:rsidRPr="00E7572F">
        <w:t xml:space="preserve"> shared in following up the patients and analysis of the collected data. All authors read and approved the final manuscript.</w:t>
      </w:r>
    </w:p>
    <w:p w14:paraId="5A2BFC98" w14:textId="0E18C4C5" w:rsidR="00C805FB" w:rsidRPr="00C805FB" w:rsidRDefault="00C805FB" w:rsidP="001D23F4">
      <w:pPr>
        <w:bidi w:val="0"/>
        <w:spacing w:after="240" w:line="480" w:lineRule="auto"/>
        <w:jc w:val="both"/>
        <w:rPr>
          <w:rFonts w:ascii="Segoe UI" w:hAnsi="Segoe UI" w:cs="Segoe UI"/>
          <w:lang w:eastAsia="fr-FR"/>
        </w:rPr>
      </w:pPr>
      <w:r w:rsidRPr="00C805FB">
        <w:rPr>
          <w:rFonts w:ascii="Segoe UI" w:hAnsi="Segoe UI" w:cs="Segoe UI"/>
          <w:b/>
          <w:bCs/>
          <w:lang w:val="en-GB" w:eastAsia="fr-FR"/>
        </w:rPr>
        <w:t>Acknowledgments</w:t>
      </w:r>
      <w:r w:rsidRPr="00C805FB">
        <w:rPr>
          <w:rFonts w:ascii="Segoe UI" w:hAnsi="Segoe UI" w:cs="Segoe UI"/>
          <w:lang w:val="en-GB" w:eastAsia="fr-FR"/>
        </w:rPr>
        <w:t xml:space="preserve">: </w:t>
      </w:r>
      <w:r w:rsidRPr="00C805FB">
        <w:rPr>
          <w:rFonts w:ascii="Segoe UI" w:hAnsi="Segoe UI" w:cs="Segoe UI"/>
          <w:lang w:eastAsia="fr-FR"/>
        </w:rPr>
        <w:t>Not applicable.</w:t>
      </w:r>
    </w:p>
    <w:p w14:paraId="543D8432" w14:textId="2E9F05B5" w:rsidR="00AA3AE3" w:rsidRPr="00FE68F6" w:rsidRDefault="005060C2" w:rsidP="00761A41">
      <w:pPr>
        <w:pStyle w:val="H1"/>
        <w:spacing w:before="240"/>
        <w:rPr>
          <w:caps/>
          <w:color w:val="auto"/>
          <w:sz w:val="24"/>
          <w:szCs w:val="24"/>
        </w:rPr>
      </w:pPr>
      <w:r w:rsidRPr="00FE68F6">
        <w:rPr>
          <w:caps/>
          <w:color w:val="auto"/>
          <w:sz w:val="24"/>
          <w:szCs w:val="24"/>
        </w:rPr>
        <w:t>Ref</w:t>
      </w:r>
      <w:r w:rsidR="0047173E" w:rsidRPr="00FE68F6">
        <w:rPr>
          <w:caps/>
          <w:color w:val="auto"/>
          <w:sz w:val="24"/>
          <w:szCs w:val="24"/>
        </w:rPr>
        <w:t>e</w:t>
      </w:r>
      <w:r w:rsidRPr="00FE68F6">
        <w:rPr>
          <w:caps/>
          <w:color w:val="auto"/>
          <w:sz w:val="24"/>
          <w:szCs w:val="24"/>
        </w:rPr>
        <w:t>rence</w:t>
      </w:r>
      <w:r w:rsidR="00811139" w:rsidRPr="00FE68F6">
        <w:rPr>
          <w:caps/>
          <w:color w:val="auto"/>
          <w:sz w:val="24"/>
          <w:szCs w:val="24"/>
        </w:rPr>
        <w:t>s</w:t>
      </w:r>
      <w:r w:rsidR="003E6CA6" w:rsidRPr="00FE68F6">
        <w:rPr>
          <w:caps/>
          <w:color w:val="auto"/>
          <w:sz w:val="24"/>
          <w:szCs w:val="24"/>
        </w:rPr>
        <w:t>:</w:t>
      </w:r>
    </w:p>
    <w:p w14:paraId="31C5C42F" w14:textId="0C106070"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Selvaratnam S, </w:t>
      </w:r>
      <w:proofErr w:type="spellStart"/>
      <w:r w:rsidRPr="00E7572F">
        <w:rPr>
          <w:rFonts w:eastAsia="SimSun"/>
          <w:b w:val="0"/>
          <w:bCs w:val="0"/>
          <w:color w:val="auto"/>
          <w:sz w:val="24"/>
          <w:szCs w:val="24"/>
          <w:lang w:eastAsia="zh-CN"/>
        </w:rPr>
        <w:t>Gullino</w:t>
      </w:r>
      <w:proofErr w:type="spellEnd"/>
      <w:r w:rsidRPr="00E7572F">
        <w:rPr>
          <w:rFonts w:eastAsia="SimSun"/>
          <w:b w:val="0"/>
          <w:bCs w:val="0"/>
          <w:color w:val="auto"/>
          <w:sz w:val="24"/>
          <w:szCs w:val="24"/>
          <w:lang w:eastAsia="zh-CN"/>
        </w:rPr>
        <w:t xml:space="preserve"> S, Shim L, et al. Epidemiology of inflammatory bowel disease in South America: a systematic review. World J Gastroenterol. 2019; 25(47): 6866-75.</w:t>
      </w:r>
    </w:p>
    <w:p w14:paraId="0B0418D8" w14:textId="2705AB30"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Molodecky</w:t>
      </w:r>
      <w:proofErr w:type="spellEnd"/>
      <w:r w:rsidRPr="00E7572F">
        <w:rPr>
          <w:rFonts w:eastAsia="SimSun"/>
          <w:b w:val="0"/>
          <w:bCs w:val="0"/>
          <w:color w:val="auto"/>
          <w:sz w:val="24"/>
          <w:szCs w:val="24"/>
          <w:lang w:eastAsia="zh-CN"/>
        </w:rPr>
        <w:t xml:space="preserve"> NA, Soon IS, Rabi DM, et al. Increasing incidence and prevalence of the inflammatory bowel diseases with time, based on </w:t>
      </w:r>
      <w:r w:rsidR="00D90BB8">
        <w:rPr>
          <w:rFonts w:eastAsia="SimSun"/>
          <w:b w:val="0"/>
          <w:bCs w:val="0"/>
          <w:color w:val="auto"/>
          <w:sz w:val="24"/>
          <w:szCs w:val="24"/>
          <w:lang w:eastAsia="zh-CN"/>
        </w:rPr>
        <w:t xml:space="preserve">a </w:t>
      </w:r>
      <w:r w:rsidRPr="00E7572F">
        <w:rPr>
          <w:rFonts w:eastAsia="SimSun"/>
          <w:b w:val="0"/>
          <w:bCs w:val="0"/>
          <w:color w:val="auto"/>
          <w:sz w:val="24"/>
          <w:szCs w:val="24"/>
          <w:lang w:eastAsia="zh-CN"/>
        </w:rPr>
        <w:t>systematic review. Gastroenterology. 2012; 142(1): 46-54.</w:t>
      </w:r>
    </w:p>
    <w:p w14:paraId="3739BACF" w14:textId="7D57C60D" w:rsidR="0050713B" w:rsidRPr="00E7572F" w:rsidRDefault="00B87E94"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de Mattos BR, Garcia MP, Nogueira JB, et al. Inflammatory Bowel Disease: An Overview of Immune Mechanisms and Biological Treatments. Mediators Inflamm. </w:t>
      </w:r>
      <w:r w:rsidR="00C32E56" w:rsidRPr="00E7572F">
        <w:rPr>
          <w:rFonts w:eastAsia="SimSun"/>
          <w:b w:val="0"/>
          <w:bCs w:val="0"/>
          <w:color w:val="auto"/>
          <w:sz w:val="24"/>
          <w:szCs w:val="24"/>
          <w:lang w:eastAsia="zh-CN"/>
        </w:rPr>
        <w:t>2015; 2015:493012</w:t>
      </w:r>
      <w:r w:rsidRPr="00E7572F">
        <w:rPr>
          <w:rFonts w:eastAsia="SimSun"/>
          <w:b w:val="0"/>
          <w:bCs w:val="0"/>
          <w:color w:val="auto"/>
          <w:sz w:val="24"/>
          <w:szCs w:val="24"/>
          <w:lang w:eastAsia="zh-CN"/>
        </w:rPr>
        <w:t>. doi:10.1155/2015/493012</w:t>
      </w:r>
    </w:p>
    <w:p w14:paraId="3CC074B6" w14:textId="3D889CA2"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Kedia S, Sharma R, </w:t>
      </w:r>
      <w:proofErr w:type="spellStart"/>
      <w:r w:rsidRPr="00E7572F">
        <w:rPr>
          <w:rFonts w:eastAsia="SimSun"/>
          <w:b w:val="0"/>
          <w:bCs w:val="0"/>
          <w:color w:val="auto"/>
          <w:sz w:val="24"/>
          <w:szCs w:val="24"/>
          <w:lang w:eastAsia="zh-CN"/>
        </w:rPr>
        <w:t>Makharia</w:t>
      </w:r>
      <w:proofErr w:type="spellEnd"/>
      <w:r w:rsidRPr="00E7572F">
        <w:rPr>
          <w:rFonts w:eastAsia="SimSun"/>
          <w:b w:val="0"/>
          <w:bCs w:val="0"/>
          <w:color w:val="auto"/>
          <w:sz w:val="24"/>
          <w:szCs w:val="24"/>
          <w:lang w:eastAsia="zh-CN"/>
        </w:rPr>
        <w:t xml:space="preserve"> G, et al. Indian guidelines on imaging of the small intestine in Crohn’s disease: A joint Indian Society of Gastroenterology and Indian Radiology and Imaging Association consensus statement. Indian Journal of Radiology and Imaging. 2019; 29(2): 111-32.</w:t>
      </w:r>
    </w:p>
    <w:p w14:paraId="3E4A37F8" w14:textId="3D2442FD"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Torres J, </w:t>
      </w:r>
      <w:proofErr w:type="spellStart"/>
      <w:r w:rsidRPr="00E7572F">
        <w:rPr>
          <w:rFonts w:eastAsia="SimSun"/>
          <w:b w:val="0"/>
          <w:bCs w:val="0"/>
          <w:color w:val="auto"/>
          <w:sz w:val="24"/>
          <w:szCs w:val="24"/>
          <w:lang w:eastAsia="zh-CN"/>
        </w:rPr>
        <w:t>Bonovas</w:t>
      </w:r>
      <w:proofErr w:type="spellEnd"/>
      <w:r w:rsidRPr="00E7572F">
        <w:rPr>
          <w:rFonts w:eastAsia="SimSun"/>
          <w:b w:val="0"/>
          <w:bCs w:val="0"/>
          <w:color w:val="auto"/>
          <w:sz w:val="24"/>
          <w:szCs w:val="24"/>
          <w:lang w:eastAsia="zh-CN"/>
        </w:rPr>
        <w:t xml:space="preserve"> S, Doherty G, et al., ECCO guidelines on therapeutics in Crohn's disease: medical treatment. J </w:t>
      </w:r>
      <w:proofErr w:type="spellStart"/>
      <w:r w:rsidRPr="00E7572F">
        <w:rPr>
          <w:rFonts w:eastAsia="SimSun"/>
          <w:b w:val="0"/>
          <w:bCs w:val="0"/>
          <w:color w:val="auto"/>
          <w:sz w:val="24"/>
          <w:szCs w:val="24"/>
          <w:lang w:eastAsia="zh-CN"/>
        </w:rPr>
        <w:t>Crohns</w:t>
      </w:r>
      <w:proofErr w:type="spellEnd"/>
      <w:r w:rsidRPr="00E7572F">
        <w:rPr>
          <w:rFonts w:eastAsia="SimSun"/>
          <w:b w:val="0"/>
          <w:bCs w:val="0"/>
          <w:color w:val="auto"/>
          <w:sz w:val="24"/>
          <w:szCs w:val="24"/>
          <w:lang w:eastAsia="zh-CN"/>
        </w:rPr>
        <w:t xml:space="preserve"> Colitis. 2020 Jan 1; 14(1): 4-22.</w:t>
      </w:r>
    </w:p>
    <w:p w14:paraId="4051F45E" w14:textId="01FAE43C"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Bermejo F, Aguas M, Chaparro M, et al. Recommendations of the Spanish Working Group on Crohn's Disease and Ulcerative Colitis (GETECCU) on the use of thiopurines in inflammatory bowel disease. Gastroenterol Hepatol. 2018; 41(3): 205-21.</w:t>
      </w:r>
    </w:p>
    <w:p w14:paraId="23189ABC" w14:textId="77AA1A19" w:rsidR="0050713B" w:rsidRPr="00E7572F" w:rsidRDefault="00B87E94" w:rsidP="00C32E56">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Peyrin-Biroulet</w:t>
      </w:r>
      <w:proofErr w:type="spellEnd"/>
      <w:r w:rsidRPr="00E7572F">
        <w:rPr>
          <w:rFonts w:eastAsia="SimSun"/>
          <w:b w:val="0"/>
          <w:bCs w:val="0"/>
          <w:color w:val="auto"/>
          <w:sz w:val="24"/>
          <w:szCs w:val="24"/>
          <w:lang w:eastAsia="zh-CN"/>
        </w:rPr>
        <w:t xml:space="preserve"> L, Sandborn WJ, Panaccione R, et al. </w:t>
      </w:r>
      <w:proofErr w:type="spellStart"/>
      <w:r w:rsidRPr="00E7572F">
        <w:rPr>
          <w:rFonts w:eastAsia="SimSun"/>
          <w:b w:val="0"/>
          <w:bCs w:val="0"/>
          <w:color w:val="auto"/>
          <w:sz w:val="24"/>
          <w:szCs w:val="24"/>
          <w:lang w:eastAsia="zh-CN"/>
        </w:rPr>
        <w:t>Tumour</w:t>
      </w:r>
      <w:proofErr w:type="spellEnd"/>
      <w:r w:rsidRPr="00E7572F">
        <w:rPr>
          <w:rFonts w:eastAsia="SimSun"/>
          <w:b w:val="0"/>
          <w:bCs w:val="0"/>
          <w:color w:val="auto"/>
          <w:sz w:val="24"/>
          <w:szCs w:val="24"/>
          <w:lang w:eastAsia="zh-CN"/>
        </w:rPr>
        <w:t xml:space="preserve"> necrosis factor inhibitors in inflammatory bowel disease: the story continues. </w:t>
      </w:r>
      <w:proofErr w:type="spellStart"/>
      <w:r w:rsidRPr="00E7572F">
        <w:rPr>
          <w:rFonts w:eastAsia="SimSun"/>
          <w:b w:val="0"/>
          <w:bCs w:val="0"/>
          <w:color w:val="auto"/>
          <w:sz w:val="24"/>
          <w:szCs w:val="24"/>
          <w:lang w:eastAsia="zh-CN"/>
        </w:rPr>
        <w:t>Therap</w:t>
      </w:r>
      <w:proofErr w:type="spellEnd"/>
      <w:r w:rsidRPr="00E7572F">
        <w:rPr>
          <w:rFonts w:eastAsia="SimSun"/>
          <w:b w:val="0"/>
          <w:bCs w:val="0"/>
          <w:color w:val="auto"/>
          <w:sz w:val="24"/>
          <w:szCs w:val="24"/>
          <w:lang w:eastAsia="zh-CN"/>
        </w:rPr>
        <w:t xml:space="preserve"> Adv Gastroenterol. </w:t>
      </w:r>
      <w:r w:rsidR="00C32E56" w:rsidRPr="00E7572F">
        <w:rPr>
          <w:rFonts w:eastAsia="SimSun"/>
          <w:b w:val="0"/>
          <w:bCs w:val="0"/>
          <w:color w:val="auto"/>
          <w:sz w:val="24"/>
          <w:szCs w:val="24"/>
          <w:lang w:eastAsia="zh-CN"/>
        </w:rPr>
        <w:t>2021; 14:17562848211059954</w:t>
      </w:r>
      <w:r w:rsidRPr="00E7572F">
        <w:rPr>
          <w:rFonts w:eastAsia="SimSun"/>
          <w:b w:val="0"/>
          <w:bCs w:val="0"/>
          <w:color w:val="auto"/>
          <w:sz w:val="24"/>
          <w:szCs w:val="24"/>
          <w:lang w:eastAsia="zh-CN"/>
        </w:rPr>
        <w:t>. Published 2021 Dec 9. doi:10.1177/17562848211059954</w:t>
      </w:r>
      <w:r w:rsidR="0050713B" w:rsidRPr="00E7572F">
        <w:rPr>
          <w:rFonts w:eastAsia="SimSun"/>
          <w:b w:val="0"/>
          <w:bCs w:val="0"/>
          <w:color w:val="auto"/>
          <w:sz w:val="24"/>
          <w:szCs w:val="24"/>
          <w:lang w:eastAsia="zh-CN"/>
        </w:rPr>
        <w:t>.</w:t>
      </w:r>
    </w:p>
    <w:p w14:paraId="01F4D6F2" w14:textId="6BDF85A0"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Alrashed</w:t>
      </w:r>
      <w:proofErr w:type="spellEnd"/>
      <w:r w:rsidRPr="00E7572F">
        <w:rPr>
          <w:rFonts w:eastAsia="SimSun"/>
          <w:b w:val="0"/>
          <w:bCs w:val="0"/>
          <w:color w:val="auto"/>
          <w:sz w:val="24"/>
          <w:szCs w:val="24"/>
          <w:lang w:eastAsia="zh-CN"/>
        </w:rPr>
        <w:t xml:space="preserve"> F, Abdullah I, </w:t>
      </w:r>
      <w:proofErr w:type="spellStart"/>
      <w:r w:rsidRPr="00E7572F">
        <w:rPr>
          <w:rFonts w:eastAsia="SimSun"/>
          <w:b w:val="0"/>
          <w:bCs w:val="0"/>
          <w:color w:val="auto"/>
          <w:sz w:val="24"/>
          <w:szCs w:val="24"/>
          <w:lang w:eastAsia="zh-CN"/>
        </w:rPr>
        <w:t>Alfadhli</w:t>
      </w:r>
      <w:proofErr w:type="spellEnd"/>
      <w:r w:rsidRPr="00E7572F">
        <w:rPr>
          <w:rFonts w:eastAsia="SimSun"/>
          <w:b w:val="0"/>
          <w:bCs w:val="0"/>
          <w:color w:val="auto"/>
          <w:sz w:val="24"/>
          <w:szCs w:val="24"/>
          <w:lang w:eastAsia="zh-CN"/>
        </w:rPr>
        <w:t xml:space="preserve"> A, et al. Effectiveness of vedolizumab and </w:t>
      </w:r>
      <w:proofErr w:type="spellStart"/>
      <w:r w:rsidRPr="00E7572F">
        <w:rPr>
          <w:rFonts w:eastAsia="SimSun"/>
          <w:b w:val="0"/>
          <w:bCs w:val="0"/>
          <w:color w:val="auto"/>
          <w:sz w:val="24"/>
          <w:szCs w:val="24"/>
          <w:lang w:eastAsia="zh-CN"/>
        </w:rPr>
        <w:t>ustekinumab</w:t>
      </w:r>
      <w:proofErr w:type="spellEnd"/>
      <w:r w:rsidRPr="00E7572F">
        <w:rPr>
          <w:rFonts w:eastAsia="SimSun"/>
          <w:b w:val="0"/>
          <w:bCs w:val="0"/>
          <w:color w:val="auto"/>
          <w:sz w:val="24"/>
          <w:szCs w:val="24"/>
          <w:lang w:eastAsia="zh-CN"/>
        </w:rPr>
        <w:t xml:space="preserve"> as second biologic </w:t>
      </w:r>
      <w:r w:rsidR="005060B5">
        <w:rPr>
          <w:rFonts w:eastAsia="SimSun"/>
          <w:b w:val="0"/>
          <w:bCs w:val="0"/>
          <w:color w:val="auto"/>
          <w:sz w:val="24"/>
          <w:szCs w:val="24"/>
          <w:lang w:eastAsia="zh-CN"/>
        </w:rPr>
        <w:t>agents in achieving target outcomes in patients with inflammatory bowel disease who have experienced tumor necrosis factor antagonists (Enroll-Ex</w:t>
      </w:r>
      <w:r w:rsidRPr="00E7572F">
        <w:rPr>
          <w:rFonts w:eastAsia="SimSun"/>
          <w:b w:val="0"/>
          <w:bCs w:val="0"/>
          <w:color w:val="auto"/>
          <w:sz w:val="24"/>
          <w:szCs w:val="24"/>
          <w:lang w:eastAsia="zh-CN"/>
        </w:rPr>
        <w:t xml:space="preserve"> study). Front </w:t>
      </w:r>
      <w:proofErr w:type="spellStart"/>
      <w:r w:rsidRPr="00E7572F">
        <w:rPr>
          <w:rFonts w:eastAsia="SimSun"/>
          <w:b w:val="0"/>
          <w:bCs w:val="0"/>
          <w:color w:val="auto"/>
          <w:sz w:val="24"/>
          <w:szCs w:val="24"/>
          <w:lang w:eastAsia="zh-CN"/>
        </w:rPr>
        <w:t>Pharmacol</w:t>
      </w:r>
      <w:proofErr w:type="spellEnd"/>
      <w:r w:rsidRPr="00E7572F">
        <w:rPr>
          <w:rFonts w:eastAsia="SimSun"/>
          <w:b w:val="0"/>
          <w:bCs w:val="0"/>
          <w:color w:val="auto"/>
          <w:sz w:val="24"/>
          <w:szCs w:val="24"/>
          <w:lang w:eastAsia="zh-CN"/>
        </w:rPr>
        <w:t xml:space="preserve">. 2023 Oct </w:t>
      </w:r>
      <w:r w:rsidR="00C32E56" w:rsidRPr="00E7572F">
        <w:rPr>
          <w:rFonts w:eastAsia="SimSun"/>
          <w:b w:val="0"/>
          <w:bCs w:val="0"/>
          <w:color w:val="auto"/>
          <w:sz w:val="24"/>
          <w:szCs w:val="24"/>
          <w:lang w:eastAsia="zh-CN"/>
        </w:rPr>
        <w:t>9; 14:1243080</w:t>
      </w:r>
      <w:r w:rsidRPr="00E7572F">
        <w:rPr>
          <w:rFonts w:eastAsia="SimSun"/>
          <w:b w:val="0"/>
          <w:bCs w:val="0"/>
          <w:color w:val="auto"/>
          <w:sz w:val="24"/>
          <w:szCs w:val="24"/>
          <w:lang w:eastAsia="zh-CN"/>
        </w:rPr>
        <w:t xml:space="preserve">. </w:t>
      </w:r>
      <w:r w:rsidR="005060B5">
        <w:rPr>
          <w:rFonts w:eastAsia="SimSun"/>
          <w:b w:val="0"/>
          <w:bCs w:val="0"/>
          <w:color w:val="auto"/>
          <w:sz w:val="24"/>
          <w:szCs w:val="24"/>
          <w:lang w:eastAsia="zh-CN"/>
        </w:rPr>
        <w:t>Doi</w:t>
      </w:r>
      <w:r w:rsidRPr="00E7572F">
        <w:rPr>
          <w:rFonts w:eastAsia="SimSun"/>
          <w:b w:val="0"/>
          <w:bCs w:val="0"/>
          <w:color w:val="auto"/>
          <w:sz w:val="24"/>
          <w:szCs w:val="24"/>
          <w:lang w:eastAsia="zh-CN"/>
        </w:rPr>
        <w:t>: 10.3389/</w:t>
      </w:r>
      <w:proofErr w:type="spellStart"/>
      <w:r w:rsidR="005060B5">
        <w:rPr>
          <w:rFonts w:eastAsia="SimSun"/>
          <w:b w:val="0"/>
          <w:bCs w:val="0"/>
          <w:color w:val="auto"/>
          <w:sz w:val="24"/>
          <w:szCs w:val="24"/>
          <w:lang w:eastAsia="zh-CN"/>
        </w:rPr>
        <w:t>fphar</w:t>
      </w:r>
      <w:proofErr w:type="spellEnd"/>
      <w:r w:rsidR="005060B5">
        <w:rPr>
          <w:rFonts w:eastAsia="SimSun"/>
          <w:b w:val="0"/>
          <w:bCs w:val="0"/>
          <w:color w:val="auto"/>
          <w:sz w:val="24"/>
          <w:szCs w:val="24"/>
          <w:lang w:eastAsia="zh-CN"/>
        </w:rPr>
        <w:t xml:space="preserve">. </w:t>
      </w:r>
      <w:r w:rsidRPr="00E7572F">
        <w:rPr>
          <w:rFonts w:eastAsia="SimSun"/>
          <w:b w:val="0"/>
          <w:bCs w:val="0"/>
          <w:color w:val="auto"/>
          <w:sz w:val="24"/>
          <w:szCs w:val="24"/>
          <w:lang w:eastAsia="zh-CN"/>
        </w:rPr>
        <w:t>2023.1243080. PMID: 37876726; PMCID: PMC10590879</w:t>
      </w:r>
    </w:p>
    <w:p w14:paraId="28E6C1AE" w14:textId="0224AC20"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Adamina M, </w:t>
      </w:r>
      <w:proofErr w:type="spellStart"/>
      <w:r w:rsidRPr="00E7572F">
        <w:rPr>
          <w:rFonts w:eastAsia="SimSun"/>
          <w:b w:val="0"/>
          <w:bCs w:val="0"/>
          <w:color w:val="auto"/>
          <w:sz w:val="24"/>
          <w:szCs w:val="24"/>
          <w:lang w:eastAsia="zh-CN"/>
        </w:rPr>
        <w:t>Bonovas</w:t>
      </w:r>
      <w:proofErr w:type="spellEnd"/>
      <w:r w:rsidRPr="00E7572F">
        <w:rPr>
          <w:rFonts w:eastAsia="SimSun"/>
          <w:b w:val="0"/>
          <w:bCs w:val="0"/>
          <w:color w:val="auto"/>
          <w:sz w:val="24"/>
          <w:szCs w:val="24"/>
          <w:lang w:eastAsia="zh-CN"/>
        </w:rPr>
        <w:t xml:space="preserve"> S, Raine T, et al. ECCO guidelines on therapeutics in Crohn's disease: surgical treatment. J </w:t>
      </w:r>
      <w:proofErr w:type="spellStart"/>
      <w:r w:rsidRPr="00E7572F">
        <w:rPr>
          <w:rFonts w:eastAsia="SimSun"/>
          <w:b w:val="0"/>
          <w:bCs w:val="0"/>
          <w:color w:val="auto"/>
          <w:sz w:val="24"/>
          <w:szCs w:val="24"/>
          <w:lang w:eastAsia="zh-CN"/>
        </w:rPr>
        <w:t>Crohns</w:t>
      </w:r>
      <w:proofErr w:type="spellEnd"/>
      <w:r w:rsidRPr="00E7572F">
        <w:rPr>
          <w:rFonts w:eastAsia="SimSun"/>
          <w:b w:val="0"/>
          <w:bCs w:val="0"/>
          <w:color w:val="auto"/>
          <w:sz w:val="24"/>
          <w:szCs w:val="24"/>
          <w:lang w:eastAsia="zh-CN"/>
        </w:rPr>
        <w:t xml:space="preserve"> Colitis. 2020; 14(2): 155-68</w:t>
      </w:r>
    </w:p>
    <w:p w14:paraId="37A0F9CB" w14:textId="34F64313"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Zeitz J, Fournier N, Labenz C, et al. Risk factors for the development of fistulae and stenoses in Crohn disease patients in the Swiss inflammatory bowel disease cohort. Inflammatory intestinal diseases. 2017; 1(4): 172-8</w:t>
      </w:r>
      <w:r w:rsidR="00C32E56">
        <w:rPr>
          <w:rFonts w:eastAsia="SimSun"/>
          <w:b w:val="0"/>
          <w:bCs w:val="0"/>
          <w:color w:val="auto"/>
          <w:sz w:val="24"/>
          <w:szCs w:val="24"/>
          <w:lang w:eastAsia="zh-CN"/>
        </w:rPr>
        <w:t>1.</w:t>
      </w:r>
    </w:p>
    <w:p w14:paraId="359BB976" w14:textId="6677F343"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Fan Y, Delgado-Aros S, </w:t>
      </w:r>
      <w:proofErr w:type="spellStart"/>
      <w:r w:rsidRPr="00E7572F">
        <w:rPr>
          <w:rFonts w:eastAsia="SimSun"/>
          <w:b w:val="0"/>
          <w:bCs w:val="0"/>
          <w:color w:val="auto"/>
          <w:sz w:val="24"/>
          <w:szCs w:val="24"/>
          <w:lang w:eastAsia="zh-CN"/>
        </w:rPr>
        <w:t>Valdecantos</w:t>
      </w:r>
      <w:proofErr w:type="spellEnd"/>
      <w:r w:rsidRPr="00E7572F">
        <w:rPr>
          <w:rFonts w:eastAsia="SimSun"/>
          <w:b w:val="0"/>
          <w:bCs w:val="0"/>
          <w:color w:val="auto"/>
          <w:sz w:val="24"/>
          <w:szCs w:val="24"/>
          <w:lang w:eastAsia="zh-CN"/>
        </w:rPr>
        <w:t xml:space="preserve"> WC, et al. Characteristics of Patients with Crohn’s Disease </w:t>
      </w:r>
      <w:r w:rsidR="00C32E56" w:rsidRPr="00E7572F">
        <w:rPr>
          <w:rFonts w:eastAsia="SimSun"/>
          <w:b w:val="0"/>
          <w:bCs w:val="0"/>
          <w:color w:val="auto"/>
          <w:sz w:val="24"/>
          <w:szCs w:val="24"/>
          <w:lang w:eastAsia="zh-CN"/>
        </w:rPr>
        <w:t>with</w:t>
      </w:r>
      <w:r w:rsidRPr="00E7572F">
        <w:rPr>
          <w:rFonts w:eastAsia="SimSun"/>
          <w:b w:val="0"/>
          <w:bCs w:val="0"/>
          <w:color w:val="auto"/>
          <w:sz w:val="24"/>
          <w:szCs w:val="24"/>
          <w:lang w:eastAsia="zh-CN"/>
        </w:rPr>
        <w:t xml:space="preserve"> or Without Perianal Fistulae in the </w:t>
      </w:r>
      <w:proofErr w:type="spellStart"/>
      <w:r w:rsidRPr="00E7572F">
        <w:rPr>
          <w:rFonts w:eastAsia="SimSun"/>
          <w:b w:val="0"/>
          <w:bCs w:val="0"/>
          <w:color w:val="auto"/>
          <w:sz w:val="24"/>
          <w:szCs w:val="24"/>
          <w:lang w:eastAsia="zh-CN"/>
        </w:rPr>
        <w:t>CorEvitas</w:t>
      </w:r>
      <w:proofErr w:type="spellEnd"/>
      <w:r w:rsidRPr="00E7572F">
        <w:rPr>
          <w:rFonts w:eastAsia="SimSun"/>
          <w:b w:val="0"/>
          <w:bCs w:val="0"/>
          <w:color w:val="auto"/>
          <w:sz w:val="24"/>
          <w:szCs w:val="24"/>
          <w:lang w:eastAsia="zh-CN"/>
        </w:rPr>
        <w:t xml:space="preserve"> Inflammatory Bowel Disease Registry. Digestive Diseases and Sciences. 2023;68(1):214-222. </w:t>
      </w:r>
      <w:r w:rsidR="00C32E56" w:rsidRPr="00E7572F">
        <w:rPr>
          <w:rFonts w:eastAsia="SimSun"/>
          <w:b w:val="0"/>
          <w:bCs w:val="0"/>
          <w:color w:val="auto"/>
          <w:sz w:val="24"/>
          <w:szCs w:val="24"/>
          <w:lang w:eastAsia="zh-CN"/>
        </w:rPr>
        <w:t>Doi: HTTPs</w:t>
      </w:r>
      <w:r w:rsidRPr="00E7572F">
        <w:rPr>
          <w:rFonts w:eastAsia="SimSun"/>
          <w:b w:val="0"/>
          <w:bCs w:val="0"/>
          <w:color w:val="auto"/>
          <w:sz w:val="24"/>
          <w:szCs w:val="24"/>
          <w:lang w:eastAsia="zh-CN"/>
        </w:rPr>
        <w:t>://doi.org/10.1007/s10620-022-07491-y</w:t>
      </w:r>
      <w:r w:rsidR="00C32E56">
        <w:rPr>
          <w:rFonts w:eastAsia="SimSun"/>
          <w:b w:val="0"/>
          <w:bCs w:val="0"/>
          <w:color w:val="auto"/>
          <w:sz w:val="24"/>
          <w:szCs w:val="24"/>
          <w:lang w:eastAsia="zh-CN"/>
        </w:rPr>
        <w:t>.</w:t>
      </w:r>
    </w:p>
    <w:p w14:paraId="3226C01B" w14:textId="22BC4D80"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Zhou Y, Boudreau DM, Freedman AN. Trends in the use of aspirin and nonsteroidal anti-inflammatory drugs in the general U.S. population. Pharmacoepidemiol Drug Saf. 2014;23(1):43-50. doi:10.1002/</w:t>
      </w:r>
      <w:proofErr w:type="spellStart"/>
      <w:r w:rsidRPr="00E7572F">
        <w:rPr>
          <w:rFonts w:eastAsia="SimSun"/>
          <w:b w:val="0"/>
          <w:bCs w:val="0"/>
          <w:color w:val="auto"/>
          <w:sz w:val="24"/>
          <w:szCs w:val="24"/>
          <w:lang w:eastAsia="zh-CN"/>
        </w:rPr>
        <w:t>pds</w:t>
      </w:r>
      <w:proofErr w:type="spellEnd"/>
      <w:r w:rsidRPr="00E7572F">
        <w:rPr>
          <w:rFonts w:eastAsia="SimSun"/>
          <w:b w:val="0"/>
          <w:bCs w:val="0"/>
          <w:color w:val="auto"/>
          <w:sz w:val="24"/>
          <w:szCs w:val="24"/>
          <w:lang w:eastAsia="zh-CN"/>
        </w:rPr>
        <w:t>.</w:t>
      </w:r>
      <w:r w:rsidR="005060B5">
        <w:rPr>
          <w:rFonts w:eastAsia="SimSun"/>
          <w:b w:val="0"/>
          <w:bCs w:val="0"/>
          <w:color w:val="auto"/>
          <w:sz w:val="24"/>
          <w:szCs w:val="24"/>
          <w:lang w:eastAsia="zh-CN"/>
        </w:rPr>
        <w:t xml:space="preserve"> </w:t>
      </w:r>
      <w:r w:rsidRPr="00E7572F">
        <w:rPr>
          <w:rFonts w:eastAsia="SimSun"/>
          <w:b w:val="0"/>
          <w:bCs w:val="0"/>
          <w:color w:val="auto"/>
          <w:sz w:val="24"/>
          <w:szCs w:val="24"/>
          <w:lang w:eastAsia="zh-CN"/>
        </w:rPr>
        <w:t>3463</w:t>
      </w:r>
      <w:r w:rsidR="00C32E56">
        <w:rPr>
          <w:rFonts w:eastAsia="SimSun"/>
          <w:b w:val="0"/>
          <w:bCs w:val="0"/>
          <w:color w:val="auto"/>
          <w:sz w:val="24"/>
          <w:szCs w:val="24"/>
          <w:lang w:eastAsia="zh-CN"/>
        </w:rPr>
        <w:t>.</w:t>
      </w:r>
    </w:p>
    <w:p w14:paraId="13A4964A" w14:textId="1A3E3CD9"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Daperno</w:t>
      </w:r>
      <w:proofErr w:type="spellEnd"/>
      <w:r w:rsidRPr="00E7572F">
        <w:rPr>
          <w:rFonts w:eastAsia="SimSun"/>
          <w:b w:val="0"/>
          <w:bCs w:val="0"/>
          <w:color w:val="auto"/>
          <w:sz w:val="24"/>
          <w:szCs w:val="24"/>
          <w:lang w:eastAsia="zh-CN"/>
        </w:rPr>
        <w:t xml:space="preserve"> M, </w:t>
      </w:r>
      <w:proofErr w:type="spellStart"/>
      <w:r w:rsidRPr="00E7572F">
        <w:rPr>
          <w:rFonts w:eastAsia="SimSun"/>
          <w:b w:val="0"/>
          <w:bCs w:val="0"/>
          <w:color w:val="auto"/>
          <w:sz w:val="24"/>
          <w:szCs w:val="24"/>
          <w:lang w:eastAsia="zh-CN"/>
        </w:rPr>
        <w:t>D'Haens</w:t>
      </w:r>
      <w:proofErr w:type="spellEnd"/>
      <w:r w:rsidRPr="00E7572F">
        <w:rPr>
          <w:rFonts w:eastAsia="SimSun"/>
          <w:b w:val="0"/>
          <w:bCs w:val="0"/>
          <w:color w:val="auto"/>
          <w:sz w:val="24"/>
          <w:szCs w:val="24"/>
          <w:lang w:eastAsia="zh-CN"/>
        </w:rPr>
        <w:t xml:space="preserve"> G, Van </w:t>
      </w:r>
      <w:r w:rsidR="002A21A3">
        <w:rPr>
          <w:rFonts w:eastAsia="SimSun"/>
          <w:b w:val="0"/>
          <w:bCs w:val="0"/>
          <w:color w:val="auto"/>
          <w:sz w:val="24"/>
          <w:szCs w:val="24"/>
          <w:lang w:eastAsia="zh-CN"/>
        </w:rPr>
        <w:t>Assche G</w:t>
      </w:r>
      <w:r w:rsidRPr="00E7572F">
        <w:rPr>
          <w:rFonts w:eastAsia="SimSun"/>
          <w:b w:val="0"/>
          <w:bCs w:val="0"/>
          <w:color w:val="auto"/>
          <w:sz w:val="24"/>
          <w:szCs w:val="24"/>
          <w:lang w:eastAsia="zh-CN"/>
        </w:rPr>
        <w:t>, et al. Development and validation of a new, simplified endoscopic activity score for Crohn's disease: the SES-CD. Gastrointestinal Endoscopy, 01 Oct 2004, 60(4):505-512</w:t>
      </w:r>
      <w:r w:rsidR="00C32E56">
        <w:rPr>
          <w:rFonts w:eastAsia="SimSun"/>
          <w:b w:val="0"/>
          <w:bCs w:val="0"/>
          <w:color w:val="auto"/>
          <w:sz w:val="24"/>
          <w:szCs w:val="24"/>
          <w:lang w:eastAsia="zh-CN"/>
        </w:rPr>
        <w:t>.</w:t>
      </w:r>
    </w:p>
    <w:p w14:paraId="2C265D7D" w14:textId="608A8D80"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Fabian O and Bajer L. Histopathological assessment of the microscopic activity in inflammatory bowel diseases: What are we looking </w:t>
      </w:r>
      <w:r w:rsidR="00C32E56" w:rsidRPr="00E7572F">
        <w:rPr>
          <w:rFonts w:eastAsia="SimSun"/>
          <w:b w:val="0"/>
          <w:bCs w:val="0"/>
          <w:color w:val="auto"/>
          <w:sz w:val="24"/>
          <w:szCs w:val="24"/>
          <w:lang w:eastAsia="zh-CN"/>
        </w:rPr>
        <w:t>for.</w:t>
      </w:r>
      <w:r w:rsidRPr="00E7572F">
        <w:rPr>
          <w:rFonts w:eastAsia="SimSun"/>
          <w:b w:val="0"/>
          <w:bCs w:val="0"/>
          <w:color w:val="auto"/>
          <w:sz w:val="24"/>
          <w:szCs w:val="24"/>
          <w:lang w:eastAsia="zh-CN"/>
        </w:rPr>
        <w:t xml:space="preserve"> World J Gastroenterol 2022 September 28; 28(36): 5300-5312.</w:t>
      </w:r>
    </w:p>
    <w:p w14:paraId="56DD5E9F" w14:textId="2CF5DA27"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Dotan I. Disease behavior in adult patients: are there predictors for stricture or fistula formation? Dig Dis. 2010; 27: 206–211.</w:t>
      </w:r>
    </w:p>
    <w:p w14:paraId="0583EE47" w14:textId="2F4965AF"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proofErr w:type="spellStart"/>
      <w:r w:rsidRPr="00E7572F">
        <w:rPr>
          <w:rFonts w:eastAsia="SimSun"/>
          <w:b w:val="0"/>
          <w:bCs w:val="0"/>
          <w:color w:val="auto"/>
          <w:sz w:val="24"/>
          <w:szCs w:val="24"/>
          <w:lang w:eastAsia="zh-CN"/>
        </w:rPr>
        <w:t>Cosnes</w:t>
      </w:r>
      <w:proofErr w:type="spellEnd"/>
      <w:r w:rsidRPr="00E7572F">
        <w:rPr>
          <w:rFonts w:eastAsia="SimSun"/>
          <w:b w:val="0"/>
          <w:bCs w:val="0"/>
          <w:color w:val="auto"/>
          <w:sz w:val="24"/>
          <w:szCs w:val="24"/>
          <w:lang w:eastAsia="zh-CN"/>
        </w:rPr>
        <w:t xml:space="preserve"> J, Cattan S, Blain A, et al. Long-term evolution of </w:t>
      </w:r>
      <w:r w:rsidR="005060B5">
        <w:rPr>
          <w:rFonts w:eastAsia="SimSun"/>
          <w:b w:val="0"/>
          <w:bCs w:val="0"/>
          <w:color w:val="auto"/>
          <w:sz w:val="24"/>
          <w:szCs w:val="24"/>
          <w:lang w:eastAsia="zh-CN"/>
        </w:rPr>
        <w:t xml:space="preserve">the </w:t>
      </w:r>
      <w:r w:rsidRPr="00E7572F">
        <w:rPr>
          <w:rFonts w:eastAsia="SimSun"/>
          <w:b w:val="0"/>
          <w:bCs w:val="0"/>
          <w:color w:val="auto"/>
          <w:sz w:val="24"/>
          <w:szCs w:val="24"/>
          <w:lang w:eastAsia="zh-CN"/>
        </w:rPr>
        <w:t>disease behavior of Crohn's disease. Inflamm Bowel Dis 2012; 8: 244-250.</w:t>
      </w:r>
    </w:p>
    <w:p w14:paraId="3158DE94" w14:textId="0924C630"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Braithwaite GC, Lee MJ, Hind D, et al. Prognostic factors affecting outcomes in </w:t>
      </w:r>
      <w:proofErr w:type="spellStart"/>
      <w:r w:rsidRPr="00E7572F">
        <w:rPr>
          <w:rFonts w:eastAsia="SimSun"/>
          <w:b w:val="0"/>
          <w:bCs w:val="0"/>
          <w:color w:val="auto"/>
          <w:sz w:val="24"/>
          <w:szCs w:val="24"/>
          <w:lang w:eastAsia="zh-CN"/>
        </w:rPr>
        <w:t>fistulating</w:t>
      </w:r>
      <w:proofErr w:type="spellEnd"/>
      <w:r w:rsidRPr="00E7572F">
        <w:rPr>
          <w:rFonts w:eastAsia="SimSun"/>
          <w:b w:val="0"/>
          <w:bCs w:val="0"/>
          <w:color w:val="auto"/>
          <w:sz w:val="24"/>
          <w:szCs w:val="24"/>
          <w:lang w:eastAsia="zh-CN"/>
        </w:rPr>
        <w:t xml:space="preserve"> perianal Crohn’s disease: a systematic review. Tech </w:t>
      </w:r>
      <w:proofErr w:type="spellStart"/>
      <w:r w:rsidRPr="00E7572F">
        <w:rPr>
          <w:rFonts w:eastAsia="SimSun"/>
          <w:b w:val="0"/>
          <w:bCs w:val="0"/>
          <w:color w:val="auto"/>
          <w:sz w:val="24"/>
          <w:szCs w:val="24"/>
          <w:lang w:eastAsia="zh-CN"/>
        </w:rPr>
        <w:t>Coloproctol</w:t>
      </w:r>
      <w:proofErr w:type="spellEnd"/>
      <w:r w:rsidRPr="00E7572F">
        <w:rPr>
          <w:rFonts w:eastAsia="SimSun"/>
          <w:b w:val="0"/>
          <w:bCs w:val="0"/>
          <w:color w:val="auto"/>
          <w:sz w:val="24"/>
          <w:szCs w:val="24"/>
          <w:lang w:eastAsia="zh-CN"/>
        </w:rPr>
        <w:t>., 2017;21: 501–519.</w:t>
      </w:r>
    </w:p>
    <w:p w14:paraId="395FA3DD" w14:textId="690AEC1A"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Patel KV, Darakhshan AA, Griffin N, et al. Patient optimization for surgery relating to Crohn’s disease. Nat Rev Gastroenterol Hepatol. 2016; 13: 707–719.</w:t>
      </w:r>
    </w:p>
    <w:p w14:paraId="251E35CB" w14:textId="30A60067"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Reinisch W, </w:t>
      </w:r>
      <w:proofErr w:type="spellStart"/>
      <w:r w:rsidRPr="00E7572F">
        <w:rPr>
          <w:rFonts w:eastAsia="SimSun"/>
          <w:b w:val="0"/>
          <w:bCs w:val="0"/>
          <w:color w:val="auto"/>
          <w:sz w:val="24"/>
          <w:szCs w:val="24"/>
          <w:lang w:eastAsia="zh-CN"/>
        </w:rPr>
        <w:t>Miehsler</w:t>
      </w:r>
      <w:proofErr w:type="spellEnd"/>
      <w:r w:rsidRPr="00E7572F">
        <w:rPr>
          <w:rFonts w:eastAsia="SimSun"/>
          <w:b w:val="0"/>
          <w:bCs w:val="0"/>
          <w:color w:val="auto"/>
          <w:sz w:val="24"/>
          <w:szCs w:val="24"/>
          <w:lang w:eastAsia="zh-CN"/>
        </w:rPr>
        <w:t xml:space="preserve"> W, </w:t>
      </w:r>
      <w:proofErr w:type="spellStart"/>
      <w:r w:rsidRPr="00E7572F">
        <w:rPr>
          <w:rFonts w:eastAsia="SimSun"/>
          <w:b w:val="0"/>
          <w:bCs w:val="0"/>
          <w:color w:val="auto"/>
          <w:sz w:val="24"/>
          <w:szCs w:val="24"/>
          <w:lang w:eastAsia="zh-CN"/>
        </w:rPr>
        <w:t>Dejaco</w:t>
      </w:r>
      <w:proofErr w:type="spellEnd"/>
      <w:r w:rsidRPr="00E7572F">
        <w:rPr>
          <w:rFonts w:eastAsia="SimSun"/>
          <w:b w:val="0"/>
          <w:bCs w:val="0"/>
          <w:color w:val="auto"/>
          <w:sz w:val="24"/>
          <w:szCs w:val="24"/>
          <w:lang w:eastAsia="zh-CN"/>
        </w:rPr>
        <w:t xml:space="preserve"> C, et al. An open-label trial of the selective cyclo-oxygenase-2 inhibitor, </w:t>
      </w:r>
      <w:proofErr w:type="spellStart"/>
      <w:r w:rsidRPr="00E7572F">
        <w:rPr>
          <w:rFonts w:eastAsia="SimSun"/>
          <w:b w:val="0"/>
          <w:bCs w:val="0"/>
          <w:color w:val="auto"/>
          <w:sz w:val="24"/>
          <w:szCs w:val="24"/>
          <w:lang w:eastAsia="zh-CN"/>
        </w:rPr>
        <w:t>rofecoxib</w:t>
      </w:r>
      <w:proofErr w:type="spellEnd"/>
      <w:r w:rsidRPr="00E7572F">
        <w:rPr>
          <w:rFonts w:eastAsia="SimSun"/>
          <w:b w:val="0"/>
          <w:bCs w:val="0"/>
          <w:color w:val="auto"/>
          <w:sz w:val="24"/>
          <w:szCs w:val="24"/>
          <w:lang w:eastAsia="zh-CN"/>
        </w:rPr>
        <w:t xml:space="preserve">, in inflammatory bowel disease-associated peripheral arthritis and arthralgia. Aliment </w:t>
      </w:r>
      <w:proofErr w:type="spellStart"/>
      <w:r w:rsidRPr="00E7572F">
        <w:rPr>
          <w:rFonts w:eastAsia="SimSun"/>
          <w:b w:val="0"/>
          <w:bCs w:val="0"/>
          <w:color w:val="auto"/>
          <w:sz w:val="24"/>
          <w:szCs w:val="24"/>
          <w:lang w:eastAsia="zh-CN"/>
        </w:rPr>
        <w:t>Pharmacol</w:t>
      </w:r>
      <w:proofErr w:type="spellEnd"/>
      <w:r w:rsidRPr="00E7572F">
        <w:rPr>
          <w:rFonts w:eastAsia="SimSun"/>
          <w:b w:val="0"/>
          <w:bCs w:val="0"/>
          <w:color w:val="auto"/>
          <w:sz w:val="24"/>
          <w:szCs w:val="24"/>
          <w:lang w:eastAsia="zh-CN"/>
        </w:rPr>
        <w:t xml:space="preserve"> Ther. 2003; 17(11): 1371-80.</w:t>
      </w:r>
    </w:p>
    <w:p w14:paraId="130284CA" w14:textId="770E3BD6"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Long MD, Kappelman MD, Martin CF, et al. Role of Nonsteroidal Anti-Inflammatory Drugs in Exacerbations of Inflammatory Bowel Disease. J Clin Gastroenterol. 2016 Feb;50(2):152-6. </w:t>
      </w:r>
      <w:proofErr w:type="spellStart"/>
      <w:r w:rsidRPr="00E7572F">
        <w:rPr>
          <w:rFonts w:eastAsia="SimSun"/>
          <w:b w:val="0"/>
          <w:bCs w:val="0"/>
          <w:color w:val="auto"/>
          <w:sz w:val="24"/>
          <w:szCs w:val="24"/>
          <w:lang w:eastAsia="zh-CN"/>
        </w:rPr>
        <w:t>doi</w:t>
      </w:r>
      <w:proofErr w:type="spellEnd"/>
      <w:r w:rsidRPr="00E7572F">
        <w:rPr>
          <w:rFonts w:eastAsia="SimSun"/>
          <w:b w:val="0"/>
          <w:bCs w:val="0"/>
          <w:color w:val="auto"/>
          <w:sz w:val="24"/>
          <w:szCs w:val="24"/>
          <w:lang w:eastAsia="zh-CN"/>
        </w:rPr>
        <w:t>: 10.1097/MCG.0000000000000421. PMID: 26485106; PMCID: PMC4703528.</w:t>
      </w:r>
    </w:p>
    <w:p w14:paraId="62ACFD44" w14:textId="112C595C"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Vavricka SR, Brun L, </w:t>
      </w:r>
      <w:proofErr w:type="spellStart"/>
      <w:r w:rsidRPr="00E7572F">
        <w:rPr>
          <w:rFonts w:eastAsia="SimSun"/>
          <w:b w:val="0"/>
          <w:bCs w:val="0"/>
          <w:color w:val="auto"/>
          <w:sz w:val="24"/>
          <w:szCs w:val="24"/>
          <w:lang w:eastAsia="zh-CN"/>
        </w:rPr>
        <w:t>Ballabeni</w:t>
      </w:r>
      <w:proofErr w:type="spellEnd"/>
      <w:r w:rsidRPr="00E7572F">
        <w:rPr>
          <w:rFonts w:eastAsia="SimSun"/>
          <w:b w:val="0"/>
          <w:bCs w:val="0"/>
          <w:color w:val="auto"/>
          <w:sz w:val="24"/>
          <w:szCs w:val="24"/>
          <w:lang w:eastAsia="zh-CN"/>
        </w:rPr>
        <w:t xml:space="preserve"> P, et al. Frequency and risk factors for extraintestinal manifestations in the Swiss inflammatory bowel disease cohort. Am J Gastroenterol. 2011;106(1):110-119.</w:t>
      </w:r>
      <w:r w:rsidRPr="00E7572F">
        <w:rPr>
          <w:rFonts w:eastAsia="SimSun"/>
          <w:b w:val="0"/>
          <w:bCs w:val="0"/>
          <w:color w:val="auto"/>
          <w:sz w:val="24"/>
          <w:szCs w:val="24"/>
          <w:lang w:eastAsia="zh-CN"/>
        </w:rPr>
        <w:tab/>
      </w:r>
    </w:p>
    <w:p w14:paraId="217D0946" w14:textId="471AB1BD"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Palm O, Moum B, Jahnsen J, et al. The prevalence and incidence of peripheral arthritis in patients with inflammatory bowel disease: a prospective population-based study (the IBSEN study). Rheumatology (Oxford). 2012;51(11):1956-1963.</w:t>
      </w:r>
    </w:p>
    <w:p w14:paraId="54D987AA" w14:textId="32A7A8AB"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Schwartz DA, </w:t>
      </w:r>
      <w:proofErr w:type="spellStart"/>
      <w:r w:rsidRPr="00E7572F">
        <w:rPr>
          <w:rFonts w:eastAsia="SimSun"/>
          <w:b w:val="0"/>
          <w:bCs w:val="0"/>
          <w:color w:val="auto"/>
          <w:sz w:val="24"/>
          <w:szCs w:val="24"/>
          <w:lang w:eastAsia="zh-CN"/>
        </w:rPr>
        <w:t>Tagarro</w:t>
      </w:r>
      <w:proofErr w:type="spellEnd"/>
      <w:r w:rsidRPr="00E7572F">
        <w:rPr>
          <w:rFonts w:eastAsia="SimSun"/>
          <w:b w:val="0"/>
          <w:bCs w:val="0"/>
          <w:color w:val="auto"/>
          <w:sz w:val="24"/>
          <w:szCs w:val="24"/>
          <w:lang w:eastAsia="zh-CN"/>
        </w:rPr>
        <w:t xml:space="preserve"> I, Carmen Díez M, et al. Prevalence of Fistulizing Crohn's Disease in the United States: Estimate From a Systematic Literature Review Attempt and Population-Based Database Analysis. Inflammatory bowel diseases, 2019; 25(11): 1773–1779.</w:t>
      </w:r>
    </w:p>
    <w:p w14:paraId="3836584E" w14:textId="5D6E7C85"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Hanauer SB, Feagan BG, Lichtenstein GR, et al. Maintenance infliximab for Crohn's disease: the ACCENT I </w:t>
      </w:r>
      <w:proofErr w:type="spellStart"/>
      <w:r w:rsidRPr="00E7572F">
        <w:rPr>
          <w:rFonts w:eastAsia="SimSun"/>
          <w:b w:val="0"/>
          <w:bCs w:val="0"/>
          <w:color w:val="auto"/>
          <w:sz w:val="24"/>
          <w:szCs w:val="24"/>
          <w:lang w:eastAsia="zh-CN"/>
        </w:rPr>
        <w:t>randomised</w:t>
      </w:r>
      <w:proofErr w:type="spellEnd"/>
      <w:r w:rsidRPr="00E7572F">
        <w:rPr>
          <w:rFonts w:eastAsia="SimSun"/>
          <w:b w:val="0"/>
          <w:bCs w:val="0"/>
          <w:color w:val="auto"/>
          <w:sz w:val="24"/>
          <w:szCs w:val="24"/>
          <w:lang w:eastAsia="zh-CN"/>
        </w:rPr>
        <w:t xml:space="preserve"> trial. Lancet. 2002 May 4; 359(9317):1541-9. </w:t>
      </w:r>
      <w:proofErr w:type="spellStart"/>
      <w:r w:rsidRPr="00E7572F">
        <w:rPr>
          <w:rFonts w:eastAsia="SimSun"/>
          <w:b w:val="0"/>
          <w:bCs w:val="0"/>
          <w:color w:val="auto"/>
          <w:sz w:val="24"/>
          <w:szCs w:val="24"/>
          <w:lang w:eastAsia="zh-CN"/>
        </w:rPr>
        <w:t>doi</w:t>
      </w:r>
      <w:proofErr w:type="spellEnd"/>
      <w:r w:rsidRPr="00E7572F">
        <w:rPr>
          <w:rFonts w:eastAsia="SimSun"/>
          <w:b w:val="0"/>
          <w:bCs w:val="0"/>
          <w:color w:val="auto"/>
          <w:sz w:val="24"/>
          <w:szCs w:val="24"/>
          <w:lang w:eastAsia="zh-CN"/>
        </w:rPr>
        <w:t>: 10.1016/S0140-6736(02)08512-4. PMID: 12047962.</w:t>
      </w:r>
    </w:p>
    <w:p w14:paraId="17E6701F" w14:textId="4C59A24A"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Zhu M, Xu X, Feng Q, et al. The effectiveness of infliximab on deep radiological remission in Chinese Patients with perianal fistulizing Crohn’s Disease. Dig Dis Sci. 2021;66: 1658-68.</w:t>
      </w:r>
    </w:p>
    <w:p w14:paraId="7E68092F" w14:textId="341D9B49"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Yarur AJ, Kanagala V, Stein DJ, et al. Higher infliximab trough levels are associated with perianal fistula healing in patients with Crohn’s disease. Aliment </w:t>
      </w:r>
      <w:proofErr w:type="spellStart"/>
      <w:r w:rsidRPr="00E7572F">
        <w:rPr>
          <w:rFonts w:eastAsia="SimSun"/>
          <w:b w:val="0"/>
          <w:bCs w:val="0"/>
          <w:color w:val="auto"/>
          <w:sz w:val="24"/>
          <w:szCs w:val="24"/>
          <w:lang w:eastAsia="zh-CN"/>
        </w:rPr>
        <w:t>Pharmacol</w:t>
      </w:r>
      <w:proofErr w:type="spellEnd"/>
      <w:r w:rsidRPr="00E7572F">
        <w:rPr>
          <w:rFonts w:eastAsia="SimSun"/>
          <w:b w:val="0"/>
          <w:bCs w:val="0"/>
          <w:color w:val="auto"/>
          <w:sz w:val="24"/>
          <w:szCs w:val="24"/>
          <w:lang w:eastAsia="zh-CN"/>
        </w:rPr>
        <w:t xml:space="preserve"> Ther. 2017; 45: 933–940.</w:t>
      </w:r>
    </w:p>
    <w:p w14:paraId="78354B8E" w14:textId="74CFDE30" w:rsidR="0050713B" w:rsidRPr="00E7572F"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Colombel J, Sandborn WJ, </w:t>
      </w:r>
      <w:proofErr w:type="spellStart"/>
      <w:r w:rsidRPr="00E7572F">
        <w:rPr>
          <w:rFonts w:eastAsia="SimSun"/>
          <w:b w:val="0"/>
          <w:bCs w:val="0"/>
          <w:color w:val="auto"/>
          <w:sz w:val="24"/>
          <w:szCs w:val="24"/>
          <w:lang w:eastAsia="zh-CN"/>
        </w:rPr>
        <w:t>Rutgeerts</w:t>
      </w:r>
      <w:proofErr w:type="spellEnd"/>
      <w:r w:rsidRPr="00E7572F">
        <w:rPr>
          <w:rFonts w:eastAsia="SimSun"/>
          <w:b w:val="0"/>
          <w:bCs w:val="0"/>
          <w:color w:val="auto"/>
          <w:sz w:val="24"/>
          <w:szCs w:val="24"/>
          <w:lang w:eastAsia="zh-CN"/>
        </w:rPr>
        <w:t xml:space="preserve"> P, et al. Adalimumab for Maintenance of Clinical Response and Remission in Patients With Crohn’s Disease: The CHARM Trial. Gastroenterology. 2007; 132: 52–65.</w:t>
      </w:r>
    </w:p>
    <w:p w14:paraId="2FA06D9D" w14:textId="70F8A0AD" w:rsidR="0050713B" w:rsidRDefault="0050713B" w:rsidP="00C32E56">
      <w:pPr>
        <w:pStyle w:val="H1"/>
        <w:numPr>
          <w:ilvl w:val="0"/>
          <w:numId w:val="42"/>
        </w:numPr>
        <w:spacing w:before="240"/>
        <w:ind w:left="0" w:firstLine="0"/>
        <w:rPr>
          <w:rFonts w:eastAsia="SimSun"/>
          <w:b w:val="0"/>
          <w:bCs w:val="0"/>
          <w:color w:val="auto"/>
          <w:sz w:val="24"/>
          <w:szCs w:val="24"/>
          <w:lang w:eastAsia="zh-CN"/>
        </w:rPr>
      </w:pPr>
      <w:r w:rsidRPr="00E7572F">
        <w:rPr>
          <w:rFonts w:eastAsia="SimSun"/>
          <w:b w:val="0"/>
          <w:bCs w:val="0"/>
          <w:color w:val="auto"/>
          <w:sz w:val="24"/>
          <w:szCs w:val="24"/>
          <w:lang w:eastAsia="zh-CN"/>
        </w:rPr>
        <w:t xml:space="preserve">Zhuge Y, Huang QP, Li Q, et al. Fecal Calprotectin for </w:t>
      </w:r>
      <w:r w:rsidR="005060B5">
        <w:rPr>
          <w:rFonts w:eastAsia="SimSun"/>
          <w:b w:val="0"/>
          <w:bCs w:val="0"/>
          <w:color w:val="auto"/>
          <w:sz w:val="24"/>
          <w:szCs w:val="24"/>
          <w:lang w:eastAsia="zh-CN"/>
        </w:rPr>
        <w:t>Predicting</w:t>
      </w:r>
      <w:r w:rsidRPr="00E7572F">
        <w:rPr>
          <w:rFonts w:eastAsia="SimSun"/>
          <w:b w:val="0"/>
          <w:bCs w:val="0"/>
          <w:color w:val="auto"/>
          <w:sz w:val="24"/>
          <w:szCs w:val="24"/>
          <w:lang w:eastAsia="zh-CN"/>
        </w:rPr>
        <w:t xml:space="preserve"> Relapse and Activity in Patients with Crohn's Disease: A Meta-analysis. </w:t>
      </w:r>
      <w:proofErr w:type="spellStart"/>
      <w:r w:rsidRPr="00E7572F">
        <w:rPr>
          <w:rFonts w:eastAsia="SimSun"/>
          <w:b w:val="0"/>
          <w:bCs w:val="0"/>
          <w:color w:val="auto"/>
          <w:sz w:val="24"/>
          <w:szCs w:val="24"/>
          <w:lang w:eastAsia="zh-CN"/>
        </w:rPr>
        <w:t>Euroasian</w:t>
      </w:r>
      <w:proofErr w:type="spellEnd"/>
      <w:r w:rsidRPr="00E7572F">
        <w:rPr>
          <w:rFonts w:eastAsia="SimSun"/>
          <w:b w:val="0"/>
          <w:bCs w:val="0"/>
          <w:color w:val="auto"/>
          <w:sz w:val="24"/>
          <w:szCs w:val="24"/>
          <w:lang w:eastAsia="zh-CN"/>
        </w:rPr>
        <w:t xml:space="preserve"> journal of </w:t>
      </w:r>
      <w:proofErr w:type="spellStart"/>
      <w:r w:rsidRPr="00E7572F">
        <w:rPr>
          <w:rFonts w:eastAsia="SimSun"/>
          <w:b w:val="0"/>
          <w:bCs w:val="0"/>
          <w:color w:val="auto"/>
          <w:sz w:val="24"/>
          <w:szCs w:val="24"/>
          <w:lang w:eastAsia="zh-CN"/>
        </w:rPr>
        <w:t>hepatogastroenterology</w:t>
      </w:r>
      <w:proofErr w:type="spellEnd"/>
      <w:r w:rsidRPr="00E7572F">
        <w:rPr>
          <w:rFonts w:eastAsia="SimSun"/>
          <w:b w:val="0"/>
          <w:bCs w:val="0"/>
          <w:color w:val="auto"/>
          <w:sz w:val="24"/>
          <w:szCs w:val="24"/>
          <w:lang w:eastAsia="zh-CN"/>
        </w:rPr>
        <w:t>, 2016; 6(2): 116-124.</w:t>
      </w:r>
    </w:p>
    <w:p w14:paraId="0247DD8C" w14:textId="30B7E7A4" w:rsidR="00B40B97" w:rsidRPr="00C32E56" w:rsidRDefault="0050713B" w:rsidP="00C32E56">
      <w:pPr>
        <w:pStyle w:val="H1"/>
        <w:numPr>
          <w:ilvl w:val="0"/>
          <w:numId w:val="42"/>
        </w:numPr>
        <w:spacing w:before="240"/>
        <w:ind w:left="0" w:firstLine="0"/>
        <w:rPr>
          <w:rFonts w:eastAsia="SimSun"/>
          <w:b w:val="0"/>
          <w:bCs w:val="0"/>
          <w:color w:val="auto"/>
          <w:sz w:val="24"/>
          <w:szCs w:val="24"/>
          <w:lang w:eastAsia="zh-CN"/>
        </w:rPr>
      </w:pPr>
      <w:r w:rsidRPr="00C32E56">
        <w:rPr>
          <w:rFonts w:eastAsia="SimSun"/>
          <w:b w:val="0"/>
          <w:bCs w:val="0"/>
          <w:color w:val="auto"/>
          <w:sz w:val="24"/>
          <w:szCs w:val="24"/>
          <w:lang w:eastAsia="zh-CN"/>
        </w:rPr>
        <w:t>Li T, Qian Y, Bai T, et al. Prediction of complications in inflammatory bowel disease using routine blood parameters at diagnosis. Annals of translational medicine, 2022; 10(4): 185-197.</w:t>
      </w:r>
    </w:p>
    <w:sectPr w:rsidR="00B40B97" w:rsidRPr="00C32E56" w:rsidSect="002F0E28">
      <w:headerReference w:type="default" r:id="rId13"/>
      <w:footerReference w:type="default" r:id="rId14"/>
      <w:type w:val="continuous"/>
      <w:pgSz w:w="11907" w:h="16839" w:code="9"/>
      <w:pgMar w:top="1440" w:right="1440" w:bottom="1440" w:left="1440" w:header="720" w:footer="720" w:gutter="0"/>
      <w:pgNumType w:start="17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3AF1" w14:textId="77777777" w:rsidR="00027C54" w:rsidRDefault="00027C54" w:rsidP="00D62539">
      <w:r>
        <w:separator/>
      </w:r>
    </w:p>
  </w:endnote>
  <w:endnote w:type="continuationSeparator" w:id="0">
    <w:p w14:paraId="377B1935" w14:textId="77777777" w:rsidR="00027C54" w:rsidRDefault="00027C54" w:rsidP="00D62539">
      <w:r>
        <w:continuationSeparator/>
      </w:r>
    </w:p>
  </w:endnote>
  <w:endnote w:type="continuationNotice" w:id="1">
    <w:p w14:paraId="20B080D3" w14:textId="77777777" w:rsidR="00027C54" w:rsidRDefault="00027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charset w:val="00"/>
    <w:family w:val="swiss"/>
    <w:pitch w:val="variable"/>
    <w:sig w:usb0="00000003" w:usb1="0200E0A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MT">
    <w:altName w:val="Arial"/>
    <w:panose1 w:val="00000000000000000000"/>
    <w:charset w:val="B2"/>
    <w:family w:val="auto"/>
    <w:pitch w:val="variable"/>
    <w:sig w:usb0="00002001" w:usb1="00000000" w:usb2="00000000" w:usb3="00000000" w:csb0="00000040" w:csb1="00000000"/>
  </w:font>
  <w:font w:name="Helvetica Neue">
    <w:altName w:val="Segoe Print"/>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PS">
    <w:altName w:val="Times New Roman"/>
    <w:charset w:val="00"/>
    <w:family w:val="roman"/>
    <w:pitch w:val="default"/>
  </w:font>
  <w:font w:name="Myriad Pro">
    <w:altName w:val="Segoe UI"/>
    <w:panose1 w:val="00000000000000000000"/>
    <w:charset w:val="00"/>
    <w:family w:val="swiss"/>
    <w:notTrueType/>
    <w:pitch w:val="variable"/>
    <w:sig w:usb0="20000287" w:usb1="00000001" w:usb2="00000000" w:usb3="00000000" w:csb0="0000019F" w:csb1="00000000"/>
  </w:font>
  <w:font w:name="CapitoliumNews">
    <w:altName w:val="Times New Roman"/>
    <w:charset w:val="00"/>
    <w:family w:val="roman"/>
    <w:pitch w:val="default"/>
  </w:font>
  <w:font w:name="Segoe UI Light">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AdvOT678fd422">
    <w:altName w:val="Times New Roman"/>
    <w:panose1 w:val="00000000000000000000"/>
    <w:charset w:val="00"/>
    <w:family w:val="roman"/>
    <w:notTrueType/>
    <w:pitch w:val="default"/>
  </w:font>
  <w:font w:name="AdvP4A0FA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elvetica 65 Medium">
    <w:altName w:val="Arial"/>
    <w:panose1 w:val="00000000000000000000"/>
    <w:charset w:val="00"/>
    <w:family w:val="swiss"/>
    <w:notTrueType/>
    <w:pitch w:val="default"/>
    <w:sig w:usb0="00000003" w:usb1="00000000" w:usb2="00000000" w:usb3="00000000" w:csb0="00000001" w:csb1="00000000"/>
  </w:font>
  <w:font w:name="Jokerman">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hieme Gulliver 2011">
    <w:altName w:val="Times New Roman"/>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Arial"/>
        <w:sz w:val="22"/>
        <w:szCs w:val="22"/>
      </w:rPr>
      <w:id w:val="-951699561"/>
      <w:docPartObj>
        <w:docPartGallery w:val="Page Numbers (Bottom of Page)"/>
        <w:docPartUnique/>
      </w:docPartObj>
    </w:sdtPr>
    <w:sdtContent>
      <w:sdt>
        <w:sdtPr>
          <w:rPr>
            <w:sz w:val="22"/>
            <w:szCs w:val="22"/>
            <w:lang w:bidi="en-US"/>
          </w:rPr>
          <w:id w:val="-803541366"/>
          <w:docPartObj>
            <w:docPartGallery w:val="Page Numbers (Bottom of Page)"/>
            <w:docPartUnique/>
          </w:docPartObj>
        </w:sdtPr>
        <w:sdtContent>
          <w:p w14:paraId="1C9C670E" w14:textId="19D056A8" w:rsidR="002F0E28" w:rsidRPr="0038602F" w:rsidRDefault="002F0E28" w:rsidP="002F0E28">
            <w:pPr>
              <w:widowControl w:val="0"/>
              <w:pBdr>
                <w:top w:val="thinThickSmallGap" w:sz="24" w:space="1" w:color="823B0B"/>
              </w:pBdr>
              <w:tabs>
                <w:tab w:val="left" w:pos="4352"/>
                <w:tab w:val="left" w:pos="4380"/>
                <w:tab w:val="left" w:pos="7080"/>
                <w:tab w:val="right" w:pos="9360"/>
              </w:tabs>
              <w:autoSpaceDE w:val="0"/>
              <w:autoSpaceDN w:val="0"/>
              <w:bidi w:val="0"/>
              <w:spacing w:after="240" w:line="252" w:lineRule="auto"/>
              <w:ind w:firstLine="357"/>
              <w:jc w:val="both"/>
              <w:rPr>
                <w:sz w:val="22"/>
                <w:szCs w:val="22"/>
                <w:lang w:bidi="en-US"/>
              </w:rPr>
            </w:pPr>
            <w:proofErr w:type="spellStart"/>
            <w:r w:rsidRPr="002F0E28">
              <w:rPr>
                <w:rFonts w:ascii="Calibri" w:eastAsia="SimSun" w:hAnsi="Calibri" w:cs="Calibri"/>
                <w:color w:val="000000"/>
              </w:rPr>
              <w:t>Elfors</w:t>
            </w:r>
            <w:proofErr w:type="spellEnd"/>
            <w:r w:rsidRPr="002F0E28">
              <w:rPr>
                <w:rFonts w:ascii="Calibri" w:eastAsia="SimSun" w:hAnsi="Calibri" w:cs="Calibri"/>
                <w:color w:val="000000"/>
              </w:rPr>
              <w:t xml:space="preserve"> M A</w:t>
            </w:r>
            <w:r w:rsidRPr="0038602F">
              <w:rPr>
                <w:rFonts w:ascii="Calibri" w:eastAsia="SimSun" w:hAnsi="Calibri" w:cs="Calibri"/>
                <w:color w:val="000000"/>
                <w:lang w:val="fr-FR"/>
              </w:rPr>
              <w:t xml:space="preserve"> </w:t>
            </w:r>
            <w:r w:rsidRPr="0038602F">
              <w:rPr>
                <w:rFonts w:ascii="Calibri" w:eastAsia="SimSun" w:hAnsi="Calibri" w:cs="Arial"/>
                <w:sz w:val="22"/>
                <w:szCs w:val="22"/>
              </w:rPr>
              <w:t>et al.2025</w:t>
            </w:r>
            <w:r w:rsidRPr="0038602F">
              <w:rPr>
                <w:rFonts w:ascii="Calibri" w:eastAsia="SimSun" w:hAnsi="Calibri" w:cs="Arial"/>
                <w:sz w:val="22"/>
                <w:szCs w:val="22"/>
              </w:rPr>
              <w:tab/>
            </w:r>
            <w:r>
              <w:rPr>
                <w:rFonts w:ascii="Calibri" w:eastAsia="SimSun" w:hAnsi="Calibri" w:cs="Arial"/>
                <w:sz w:val="22"/>
                <w:szCs w:val="22"/>
              </w:rPr>
              <w:tab/>
            </w:r>
            <w:r w:rsidRPr="0038602F">
              <w:rPr>
                <w:rFonts w:ascii="Calibri" w:eastAsia="SimSun" w:hAnsi="Calibri" w:cs="Arial"/>
                <w:sz w:val="22"/>
                <w:szCs w:val="22"/>
              </w:rPr>
              <w:tab/>
            </w:r>
            <w:r w:rsidRPr="0038602F">
              <w:rPr>
                <w:rFonts w:eastAsia="SimSun"/>
              </w:rPr>
              <w:fldChar w:fldCharType="begin"/>
            </w:r>
            <w:r w:rsidRPr="0038602F">
              <w:rPr>
                <w:rFonts w:eastAsia="SimSun"/>
              </w:rPr>
              <w:instrText xml:space="preserve"> PAGE   \* MERGEFORMAT </w:instrText>
            </w:r>
            <w:r w:rsidRPr="0038602F">
              <w:rPr>
                <w:rFonts w:eastAsia="SimSun"/>
              </w:rPr>
              <w:fldChar w:fldCharType="separate"/>
            </w:r>
            <w:r>
              <w:rPr>
                <w:rFonts w:eastAsia="SimSun"/>
              </w:rPr>
              <w:t>174</w:t>
            </w:r>
            <w:r w:rsidRPr="0038602F">
              <w:rPr>
                <w:rFonts w:eastAsia="SimSun"/>
              </w:rPr>
              <w:fldChar w:fldCharType="end"/>
            </w:r>
          </w:p>
        </w:sdtContent>
      </w:sdt>
      <w:p w14:paraId="372A32B1" w14:textId="77777777" w:rsidR="002F0E28" w:rsidRDefault="00000000" w:rsidP="002F0E28">
        <w:pPr>
          <w:tabs>
            <w:tab w:val="center" w:pos="4320"/>
            <w:tab w:val="right" w:pos="8640"/>
          </w:tabs>
          <w:bidi w:val="0"/>
          <w:rPr>
            <w:rFonts w:ascii="Aptos" w:eastAsia="Aptos" w:hAnsi="Aptos" w:cs="Arial"/>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FC68" w14:textId="77777777" w:rsidR="00027C54" w:rsidRDefault="00027C54" w:rsidP="00D62539">
      <w:r>
        <w:separator/>
      </w:r>
    </w:p>
  </w:footnote>
  <w:footnote w:type="continuationSeparator" w:id="0">
    <w:p w14:paraId="5A0D3917" w14:textId="77777777" w:rsidR="00027C54" w:rsidRDefault="00027C54" w:rsidP="00D62539">
      <w:r>
        <w:continuationSeparator/>
      </w:r>
    </w:p>
  </w:footnote>
  <w:footnote w:type="continuationNotice" w:id="1">
    <w:p w14:paraId="5C091274" w14:textId="77777777" w:rsidR="00027C54" w:rsidRDefault="00027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2F58" w14:textId="77777777" w:rsidR="002F0E28" w:rsidRPr="0038602F" w:rsidRDefault="002F0E28" w:rsidP="002F0E28">
    <w:pPr>
      <w:pBdr>
        <w:bottom w:val="thickThinSmallGap" w:sz="24" w:space="21" w:color="622423"/>
      </w:pBdr>
      <w:tabs>
        <w:tab w:val="right" w:pos="8640"/>
      </w:tabs>
      <w:bidi w:val="0"/>
      <w:spacing w:line="254" w:lineRule="auto"/>
      <w:rPr>
        <w:rFonts w:ascii="Cambria" w:eastAsia="SimSun" w:hAnsi="Cambria"/>
        <w:sz w:val="18"/>
        <w:szCs w:val="18"/>
      </w:rPr>
    </w:pPr>
    <w:r w:rsidRPr="0038602F">
      <w:rPr>
        <w:rFonts w:ascii="Cambria" w:eastAsia="SimSun" w:hAnsi="Cambria"/>
        <w:sz w:val="18"/>
        <w:szCs w:val="18"/>
      </w:rPr>
      <w:t>African journal of gastroenterology and hepatology</w:t>
    </w:r>
    <w:r w:rsidRPr="0038602F">
      <w:rPr>
        <w:rFonts w:ascii="Cambria" w:eastAsia="SimSun" w:hAnsi="Cambria"/>
        <w:sz w:val="18"/>
        <w:szCs w:val="18"/>
      </w:rPr>
      <w:tab/>
    </w:r>
    <w:r w:rsidRPr="0038602F">
      <w:rPr>
        <w:rFonts w:ascii="Calibri Light" w:eastAsia="SimSun" w:hAnsi="Calibri Light"/>
        <w:noProof/>
        <w:sz w:val="32"/>
        <w:szCs w:val="32"/>
      </w:rPr>
      <w:drawing>
        <wp:inline distT="0" distB="0" distL="0" distR="0" wp14:anchorId="3CF5123E" wp14:editId="20C9B51C">
          <wp:extent cx="1428750" cy="209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09550"/>
                  </a:xfrm>
                  <a:prstGeom prst="rect">
                    <a:avLst/>
                  </a:prstGeom>
                  <a:noFill/>
                  <a:ln>
                    <a:noFill/>
                  </a:ln>
                </pic:spPr>
              </pic:pic>
            </a:graphicData>
          </a:graphic>
        </wp:inline>
      </w:drawing>
    </w:r>
  </w:p>
  <w:p w14:paraId="4C226918" w14:textId="77777777" w:rsidR="002F0E28" w:rsidRDefault="002F0E28" w:rsidP="00FE68F6">
    <w:pPr>
      <w:pStyle w:val="Header"/>
      <w:bidi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2D50B586"/>
    <w:lvl w:ilvl="0" w:tplc="47D063C2">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1D77C7"/>
    <w:multiLevelType w:val="hybridMultilevel"/>
    <w:tmpl w:val="2B70BB60"/>
    <w:lvl w:ilvl="0" w:tplc="FDE00B9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084670C"/>
    <w:multiLevelType w:val="hybridMultilevel"/>
    <w:tmpl w:val="F0FECC3A"/>
    <w:lvl w:ilvl="0" w:tplc="5192DB5C">
      <w:start w:val="1"/>
      <w:numFmt w:val="bullet"/>
      <w:lvlText w:val="•"/>
      <w:lvlJc w:val="left"/>
      <w:pPr>
        <w:ind w:left="5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224F60">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626A53A">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FAC76E">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AC3520">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AC822E">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2A278">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942870">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1ACB73E">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0A8512C"/>
    <w:multiLevelType w:val="hybridMultilevel"/>
    <w:tmpl w:val="9AE4B6F0"/>
    <w:lvl w:ilvl="0" w:tplc="951CE81A">
      <w:start w:val="1"/>
      <w:numFmt w:val="decimal"/>
      <w:lvlText w:val="%1)"/>
      <w:lvlJc w:val="left"/>
      <w:pPr>
        <w:ind w:left="160" w:hanging="288"/>
      </w:pPr>
      <w:rPr>
        <w:rFonts w:ascii="Times New Roman" w:eastAsia="Times New Roman" w:hAnsi="Times New Roman" w:cs="Times New Roman" w:hint="default"/>
        <w:b/>
        <w:bCs/>
        <w:w w:val="100"/>
        <w:sz w:val="27"/>
        <w:szCs w:val="27"/>
      </w:rPr>
    </w:lvl>
    <w:lvl w:ilvl="1" w:tplc="AA7E442E">
      <w:numFmt w:val="bullet"/>
      <w:lvlText w:val=""/>
      <w:lvlJc w:val="left"/>
      <w:pPr>
        <w:ind w:left="971" w:hanging="272"/>
      </w:pPr>
      <w:rPr>
        <w:rFonts w:ascii="Symbol" w:eastAsia="Symbol" w:hAnsi="Symbol" w:cs="Symbol" w:hint="default"/>
        <w:w w:val="100"/>
        <w:sz w:val="28"/>
        <w:szCs w:val="28"/>
      </w:rPr>
    </w:lvl>
    <w:lvl w:ilvl="2" w:tplc="FB94DE9E">
      <w:numFmt w:val="bullet"/>
      <w:lvlText w:val="•"/>
      <w:lvlJc w:val="left"/>
      <w:pPr>
        <w:ind w:left="1831" w:hanging="272"/>
      </w:pPr>
    </w:lvl>
    <w:lvl w:ilvl="3" w:tplc="02C22018">
      <w:numFmt w:val="bullet"/>
      <w:lvlText w:val="•"/>
      <w:lvlJc w:val="left"/>
      <w:pPr>
        <w:ind w:left="2683" w:hanging="272"/>
      </w:pPr>
    </w:lvl>
    <w:lvl w:ilvl="4" w:tplc="BD84E30E">
      <w:numFmt w:val="bullet"/>
      <w:lvlText w:val="•"/>
      <w:lvlJc w:val="left"/>
      <w:pPr>
        <w:ind w:left="3535" w:hanging="272"/>
      </w:pPr>
    </w:lvl>
    <w:lvl w:ilvl="5" w:tplc="4B12646A">
      <w:numFmt w:val="bullet"/>
      <w:lvlText w:val="•"/>
      <w:lvlJc w:val="left"/>
      <w:pPr>
        <w:ind w:left="4387" w:hanging="272"/>
      </w:pPr>
    </w:lvl>
    <w:lvl w:ilvl="6" w:tplc="8C981C80">
      <w:numFmt w:val="bullet"/>
      <w:lvlText w:val="•"/>
      <w:lvlJc w:val="left"/>
      <w:pPr>
        <w:ind w:left="5239" w:hanging="272"/>
      </w:pPr>
    </w:lvl>
    <w:lvl w:ilvl="7" w:tplc="DD72F846">
      <w:numFmt w:val="bullet"/>
      <w:lvlText w:val="•"/>
      <w:lvlJc w:val="left"/>
      <w:pPr>
        <w:ind w:left="6090" w:hanging="272"/>
      </w:pPr>
    </w:lvl>
    <w:lvl w:ilvl="8" w:tplc="3362BCB0">
      <w:numFmt w:val="bullet"/>
      <w:lvlText w:val="•"/>
      <w:lvlJc w:val="left"/>
      <w:pPr>
        <w:ind w:left="6942" w:hanging="272"/>
      </w:pPr>
    </w:lvl>
  </w:abstractNum>
  <w:abstractNum w:abstractNumId="4" w15:restartNumberingAfterBreak="0">
    <w:nsid w:val="059859DC"/>
    <w:multiLevelType w:val="hybridMultilevel"/>
    <w:tmpl w:val="2CA87216"/>
    <w:lvl w:ilvl="0" w:tplc="1F8A7900">
      <w:start w:val="1"/>
      <w:numFmt w:val="decimal"/>
      <w:lvlText w:val="%1-"/>
      <w:lvlJc w:val="left"/>
      <w:pPr>
        <w:ind w:left="360" w:hanging="360"/>
      </w:pPr>
      <w:rPr>
        <w:rFonts w:eastAsia="Times New Roman" w:hint="default"/>
        <w:b w:val="0"/>
        <w:bCs/>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E57A2"/>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64697"/>
    <w:multiLevelType w:val="multilevel"/>
    <w:tmpl w:val="721C1802"/>
    <w:lvl w:ilvl="0">
      <w:start w:val="1"/>
      <w:numFmt w:val="decimal"/>
      <w:lvlText w:val="%1."/>
      <w:lvlJc w:val="left"/>
      <w:pPr>
        <w:ind w:left="1080" w:hanging="360"/>
      </w:p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94011DD"/>
    <w:multiLevelType w:val="hybridMultilevel"/>
    <w:tmpl w:val="08363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254E11"/>
    <w:multiLevelType w:val="hybridMultilevel"/>
    <w:tmpl w:val="51384DB0"/>
    <w:lvl w:ilvl="0" w:tplc="DC08C4C6">
      <w:start w:val="1"/>
      <w:numFmt w:val="bullet"/>
      <w:lvlText w:val=""/>
      <w:lvlJc w:val="left"/>
      <w:pPr>
        <w:ind w:left="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CC9E04">
      <w:start w:val="1"/>
      <w:numFmt w:val="bullet"/>
      <w:lvlText w:val="o"/>
      <w:lvlJc w:val="left"/>
      <w:pPr>
        <w:ind w:left="6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5290BC">
      <w:start w:val="1"/>
      <w:numFmt w:val="bullet"/>
      <w:lvlText w:val="▪"/>
      <w:lvlJc w:val="left"/>
      <w:pPr>
        <w:ind w:left="7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BC7920">
      <w:start w:val="1"/>
      <w:numFmt w:val="bullet"/>
      <w:lvlText w:val="•"/>
      <w:lvlJc w:val="left"/>
      <w:pPr>
        <w:ind w:left="8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329EF0">
      <w:start w:val="1"/>
      <w:numFmt w:val="bullet"/>
      <w:lvlText w:val="o"/>
      <w:lvlJc w:val="left"/>
      <w:pPr>
        <w:ind w:left="8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E4D196">
      <w:start w:val="1"/>
      <w:numFmt w:val="bullet"/>
      <w:lvlText w:val="▪"/>
      <w:lvlJc w:val="left"/>
      <w:pPr>
        <w:ind w:left="9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DC56F0">
      <w:start w:val="1"/>
      <w:numFmt w:val="bullet"/>
      <w:lvlText w:val="•"/>
      <w:lvlJc w:val="left"/>
      <w:pPr>
        <w:ind w:left="10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666B26">
      <w:start w:val="1"/>
      <w:numFmt w:val="bullet"/>
      <w:lvlText w:val="o"/>
      <w:lvlJc w:val="left"/>
      <w:pPr>
        <w:ind w:left="11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8401B0">
      <w:start w:val="1"/>
      <w:numFmt w:val="bullet"/>
      <w:lvlText w:val="▪"/>
      <w:lvlJc w:val="left"/>
      <w:pPr>
        <w:ind w:left="11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084CC3"/>
    <w:multiLevelType w:val="hybridMultilevel"/>
    <w:tmpl w:val="73143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E1998"/>
    <w:multiLevelType w:val="multilevel"/>
    <w:tmpl w:val="03D8DB5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4E3792A"/>
    <w:multiLevelType w:val="hybridMultilevel"/>
    <w:tmpl w:val="3640807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9AB7232"/>
    <w:multiLevelType w:val="hybridMultilevel"/>
    <w:tmpl w:val="754EC372"/>
    <w:lvl w:ilvl="0" w:tplc="898C55B8">
      <w:start w:val="1"/>
      <w:numFmt w:val="decimal"/>
      <w:lvlText w:val="%1."/>
      <w:lvlJc w:val="left"/>
      <w:pPr>
        <w:ind w:left="707" w:hanging="428"/>
      </w:pPr>
      <w:rPr>
        <w:rFonts w:ascii="Times New Roman" w:eastAsia="Times New Roman" w:hAnsi="Times New Roman" w:cs="Times New Roman" w:hint="default"/>
        <w:spacing w:val="0"/>
        <w:w w:val="100"/>
        <w:sz w:val="28"/>
        <w:szCs w:val="28"/>
      </w:rPr>
    </w:lvl>
    <w:lvl w:ilvl="1" w:tplc="DC6007AE">
      <w:numFmt w:val="bullet"/>
      <w:lvlText w:val="•"/>
      <w:lvlJc w:val="left"/>
      <w:pPr>
        <w:ind w:left="1506" w:hanging="428"/>
      </w:pPr>
    </w:lvl>
    <w:lvl w:ilvl="2" w:tplc="0DAE48F6">
      <w:numFmt w:val="bullet"/>
      <w:lvlText w:val="•"/>
      <w:lvlJc w:val="left"/>
      <w:pPr>
        <w:ind w:left="2313" w:hanging="428"/>
      </w:pPr>
    </w:lvl>
    <w:lvl w:ilvl="3" w:tplc="8B3E60DE">
      <w:numFmt w:val="bullet"/>
      <w:lvlText w:val="•"/>
      <w:lvlJc w:val="left"/>
      <w:pPr>
        <w:ind w:left="3119" w:hanging="428"/>
      </w:pPr>
    </w:lvl>
    <w:lvl w:ilvl="4" w:tplc="AA502D80">
      <w:numFmt w:val="bullet"/>
      <w:lvlText w:val="•"/>
      <w:lvlJc w:val="left"/>
      <w:pPr>
        <w:ind w:left="3926" w:hanging="428"/>
      </w:pPr>
    </w:lvl>
    <w:lvl w:ilvl="5" w:tplc="D5523198">
      <w:numFmt w:val="bullet"/>
      <w:lvlText w:val="•"/>
      <w:lvlJc w:val="left"/>
      <w:pPr>
        <w:ind w:left="4733" w:hanging="428"/>
      </w:pPr>
    </w:lvl>
    <w:lvl w:ilvl="6" w:tplc="11541526">
      <w:numFmt w:val="bullet"/>
      <w:lvlText w:val="•"/>
      <w:lvlJc w:val="left"/>
      <w:pPr>
        <w:ind w:left="5539" w:hanging="428"/>
      </w:pPr>
    </w:lvl>
    <w:lvl w:ilvl="7" w:tplc="A948B9CC">
      <w:numFmt w:val="bullet"/>
      <w:lvlText w:val="•"/>
      <w:lvlJc w:val="left"/>
      <w:pPr>
        <w:ind w:left="6346" w:hanging="428"/>
      </w:pPr>
    </w:lvl>
    <w:lvl w:ilvl="8" w:tplc="450E7D0E">
      <w:numFmt w:val="bullet"/>
      <w:lvlText w:val="•"/>
      <w:lvlJc w:val="left"/>
      <w:pPr>
        <w:ind w:left="7153" w:hanging="428"/>
      </w:pPr>
    </w:lvl>
  </w:abstractNum>
  <w:abstractNum w:abstractNumId="13" w15:restartNumberingAfterBreak="0">
    <w:nsid w:val="20977ABF"/>
    <w:multiLevelType w:val="hybridMultilevel"/>
    <w:tmpl w:val="630C3B0C"/>
    <w:lvl w:ilvl="0" w:tplc="210AC802">
      <w:start w:val="1"/>
      <w:numFmt w:val="lowerLetter"/>
      <w:pStyle w:val="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2781670"/>
    <w:multiLevelType w:val="multilevel"/>
    <w:tmpl w:val="0F964F02"/>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5" w15:restartNumberingAfterBreak="0">
    <w:nsid w:val="25381D9B"/>
    <w:multiLevelType w:val="multilevel"/>
    <w:tmpl w:val="084A54AA"/>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15:restartNumberingAfterBreak="0">
    <w:nsid w:val="254507F0"/>
    <w:multiLevelType w:val="hybridMultilevel"/>
    <w:tmpl w:val="5EB6E0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944DC4"/>
    <w:multiLevelType w:val="hybridMultilevel"/>
    <w:tmpl w:val="7840B6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start w:val="1"/>
      <w:numFmt w:val="bullet"/>
      <w:lvlText w:val=""/>
      <w:lvlJc w:val="left"/>
      <w:pPr>
        <w:ind w:left="3888" w:hanging="360"/>
      </w:pPr>
      <w:rPr>
        <w:rFonts w:ascii="Wingdings" w:hAnsi="Wingdings" w:hint="default"/>
      </w:rPr>
    </w:lvl>
    <w:lvl w:ilvl="6" w:tplc="04090001">
      <w:start w:val="1"/>
      <w:numFmt w:val="bullet"/>
      <w:lvlText w:val=""/>
      <w:lvlJc w:val="left"/>
      <w:pPr>
        <w:ind w:left="4608" w:hanging="360"/>
      </w:pPr>
      <w:rPr>
        <w:rFonts w:ascii="Symbol" w:hAnsi="Symbol" w:hint="default"/>
      </w:rPr>
    </w:lvl>
    <w:lvl w:ilvl="7" w:tplc="04090003">
      <w:start w:val="1"/>
      <w:numFmt w:val="bullet"/>
      <w:lvlText w:val="o"/>
      <w:lvlJc w:val="left"/>
      <w:pPr>
        <w:ind w:left="5328" w:hanging="360"/>
      </w:pPr>
      <w:rPr>
        <w:rFonts w:ascii="Courier New" w:hAnsi="Courier New" w:cs="Courier New" w:hint="default"/>
      </w:rPr>
    </w:lvl>
    <w:lvl w:ilvl="8" w:tplc="04090005">
      <w:start w:val="1"/>
      <w:numFmt w:val="bullet"/>
      <w:lvlText w:val=""/>
      <w:lvlJc w:val="left"/>
      <w:pPr>
        <w:ind w:left="6048" w:hanging="360"/>
      </w:pPr>
      <w:rPr>
        <w:rFonts w:ascii="Wingdings" w:hAnsi="Wingdings" w:hint="default"/>
      </w:rPr>
    </w:lvl>
  </w:abstractNum>
  <w:abstractNum w:abstractNumId="18" w15:restartNumberingAfterBreak="0">
    <w:nsid w:val="2866788B"/>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413AB"/>
    <w:multiLevelType w:val="hybridMultilevel"/>
    <w:tmpl w:val="99AE4192"/>
    <w:lvl w:ilvl="0" w:tplc="D7487F2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86A522">
      <w:start w:val="1"/>
      <w:numFmt w:val="lowerLetter"/>
      <w:lvlText w:val="%2"/>
      <w:lvlJc w:val="left"/>
      <w:pPr>
        <w:ind w:left="11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2262514">
      <w:start w:val="1"/>
      <w:numFmt w:val="lowerRoman"/>
      <w:lvlText w:val="%3"/>
      <w:lvlJc w:val="left"/>
      <w:pPr>
        <w:ind w:left="18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D486F5C">
      <w:start w:val="1"/>
      <w:numFmt w:val="decimal"/>
      <w:lvlText w:val="%4"/>
      <w:lvlJc w:val="left"/>
      <w:pPr>
        <w:ind w:left="25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76ED824">
      <w:start w:val="1"/>
      <w:numFmt w:val="lowerLetter"/>
      <w:lvlText w:val="%5"/>
      <w:lvlJc w:val="left"/>
      <w:pPr>
        <w:ind w:left="33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B08909E">
      <w:start w:val="1"/>
      <w:numFmt w:val="lowerRoman"/>
      <w:lvlText w:val="%6"/>
      <w:lvlJc w:val="left"/>
      <w:pPr>
        <w:ind w:left="40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FD8CC90">
      <w:start w:val="1"/>
      <w:numFmt w:val="decimal"/>
      <w:lvlText w:val="%7"/>
      <w:lvlJc w:val="left"/>
      <w:pPr>
        <w:ind w:left="47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6885F52">
      <w:start w:val="1"/>
      <w:numFmt w:val="lowerLetter"/>
      <w:lvlText w:val="%8"/>
      <w:lvlJc w:val="left"/>
      <w:pPr>
        <w:ind w:left="54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00A17E2">
      <w:start w:val="1"/>
      <w:numFmt w:val="lowerRoman"/>
      <w:lvlText w:val="%9"/>
      <w:lvlJc w:val="left"/>
      <w:pPr>
        <w:ind w:left="61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C975062"/>
    <w:multiLevelType w:val="hybridMultilevel"/>
    <w:tmpl w:val="8C8C7696"/>
    <w:lvl w:ilvl="0" w:tplc="7EA2691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2E7861E4"/>
    <w:multiLevelType w:val="hybridMultilevel"/>
    <w:tmpl w:val="9D72AD52"/>
    <w:lvl w:ilvl="0" w:tplc="986C0036">
      <w:start w:val="1"/>
      <w:numFmt w:val="decimal"/>
      <w:lvlText w:val="%1."/>
      <w:lvlJc w:val="left"/>
      <w:pPr>
        <w:ind w:left="360" w:hanging="360"/>
      </w:pPr>
      <w:rPr>
        <w:rFonts w:ascii="Times New Roman" w:eastAsia="Times New Roman" w:hAnsi="Times New Roman" w:cs="Times New Roman" w:hint="default"/>
        <w:spacing w:val="0"/>
        <w:w w:val="100"/>
        <w:sz w:val="28"/>
        <w:szCs w:val="28"/>
      </w:rPr>
    </w:lvl>
    <w:lvl w:ilvl="1" w:tplc="AD6C909C">
      <w:numFmt w:val="bullet"/>
      <w:lvlText w:val=""/>
      <w:lvlJc w:val="left"/>
      <w:pPr>
        <w:ind w:left="990" w:hanging="360"/>
      </w:pPr>
      <w:rPr>
        <w:rFonts w:ascii="Symbol" w:eastAsia="Symbol" w:hAnsi="Symbol" w:cs="Symbol" w:hint="default"/>
        <w:w w:val="100"/>
        <w:sz w:val="28"/>
        <w:szCs w:val="28"/>
      </w:rPr>
    </w:lvl>
    <w:lvl w:ilvl="2" w:tplc="A9EAF26E">
      <w:numFmt w:val="bullet"/>
      <w:lvlText w:val=""/>
      <w:lvlJc w:val="left"/>
      <w:pPr>
        <w:ind w:left="1031" w:hanging="360"/>
      </w:pPr>
      <w:rPr>
        <w:rFonts w:ascii="Symbol" w:eastAsia="Symbol" w:hAnsi="Symbol" w:cs="Symbol" w:hint="default"/>
        <w:w w:val="100"/>
        <w:sz w:val="28"/>
        <w:szCs w:val="28"/>
      </w:rPr>
    </w:lvl>
    <w:lvl w:ilvl="3" w:tplc="FFD4F8FE">
      <w:numFmt w:val="bullet"/>
      <w:lvlText w:val="•"/>
      <w:lvlJc w:val="left"/>
      <w:pPr>
        <w:ind w:left="1970" w:hanging="360"/>
      </w:pPr>
    </w:lvl>
    <w:lvl w:ilvl="4" w:tplc="E362EA1E">
      <w:numFmt w:val="bullet"/>
      <w:lvlText w:val="•"/>
      <w:lvlJc w:val="left"/>
      <w:pPr>
        <w:ind w:left="2901" w:hanging="360"/>
      </w:pPr>
    </w:lvl>
    <w:lvl w:ilvl="5" w:tplc="45D0CB98">
      <w:numFmt w:val="bullet"/>
      <w:lvlText w:val="•"/>
      <w:lvlJc w:val="left"/>
      <w:pPr>
        <w:ind w:left="3832" w:hanging="360"/>
      </w:pPr>
    </w:lvl>
    <w:lvl w:ilvl="6" w:tplc="02C4511A">
      <w:numFmt w:val="bullet"/>
      <w:lvlText w:val="•"/>
      <w:lvlJc w:val="left"/>
      <w:pPr>
        <w:ind w:left="4763" w:hanging="360"/>
      </w:pPr>
    </w:lvl>
    <w:lvl w:ilvl="7" w:tplc="CD6884EE">
      <w:numFmt w:val="bullet"/>
      <w:lvlText w:val="•"/>
      <w:lvlJc w:val="left"/>
      <w:pPr>
        <w:ind w:left="5694" w:hanging="360"/>
      </w:pPr>
    </w:lvl>
    <w:lvl w:ilvl="8" w:tplc="07E8B068">
      <w:numFmt w:val="bullet"/>
      <w:lvlText w:val="•"/>
      <w:lvlJc w:val="left"/>
      <w:pPr>
        <w:ind w:left="6624" w:hanging="360"/>
      </w:pPr>
    </w:lvl>
  </w:abstractNum>
  <w:abstractNum w:abstractNumId="22" w15:restartNumberingAfterBreak="0">
    <w:nsid w:val="3244231F"/>
    <w:multiLevelType w:val="hybridMultilevel"/>
    <w:tmpl w:val="6A3287CA"/>
    <w:lvl w:ilvl="0" w:tplc="0409000F">
      <w:start w:val="1"/>
      <w:numFmt w:val="decimal"/>
      <w:lvlText w:val="%1."/>
      <w:lvlJc w:val="left"/>
      <w:pPr>
        <w:tabs>
          <w:tab w:val="num" w:pos="720"/>
        </w:tabs>
        <w:ind w:left="720" w:hanging="360"/>
      </w:pPr>
    </w:lvl>
    <w:lvl w:ilvl="1" w:tplc="BE508152">
      <w:start w:val="1"/>
      <w:numFmt w:val="decimal"/>
      <w:lvlText w:val="%2-"/>
      <w:lvlJc w:val="left"/>
      <w:pPr>
        <w:tabs>
          <w:tab w:val="num" w:pos="1440"/>
        </w:tabs>
        <w:ind w:left="1440" w:hanging="360"/>
      </w:pPr>
      <w:rPr>
        <w:rFonts w:hint="default"/>
      </w:rPr>
    </w:lvl>
    <w:lvl w:ilvl="2" w:tplc="F7F2C8A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67EA2"/>
    <w:multiLevelType w:val="hybridMultilevel"/>
    <w:tmpl w:val="74E27B14"/>
    <w:lvl w:ilvl="0" w:tplc="47C6D1FC">
      <w:start w:val="1"/>
      <w:numFmt w:val="bullet"/>
      <w:pStyle w:val="H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2E75C2"/>
    <w:multiLevelType w:val="hybridMultilevel"/>
    <w:tmpl w:val="B8BA57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FF37E1"/>
    <w:multiLevelType w:val="hybridMultilevel"/>
    <w:tmpl w:val="2B70E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3A18760B"/>
    <w:multiLevelType w:val="hybridMultilevel"/>
    <w:tmpl w:val="8CD07694"/>
    <w:lvl w:ilvl="0" w:tplc="6E426F14">
      <w:start w:val="1"/>
      <w:numFmt w:val="bullet"/>
      <w:lvlText w:val="•"/>
      <w:lvlJc w:val="left"/>
      <w:pPr>
        <w:ind w:left="4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E5EC7AA">
      <w:start w:val="1"/>
      <w:numFmt w:val="bullet"/>
      <w:lvlText w:val="o"/>
      <w:lvlJc w:val="left"/>
      <w:pPr>
        <w:ind w:left="11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C206C96">
      <w:start w:val="1"/>
      <w:numFmt w:val="bullet"/>
      <w:lvlText w:val="▪"/>
      <w:lvlJc w:val="left"/>
      <w:pPr>
        <w:ind w:left="18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8D8672A">
      <w:start w:val="1"/>
      <w:numFmt w:val="bullet"/>
      <w:lvlText w:val="•"/>
      <w:lvlJc w:val="left"/>
      <w:pPr>
        <w:ind w:left="25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DA6FA6A">
      <w:start w:val="1"/>
      <w:numFmt w:val="bullet"/>
      <w:lvlText w:val="o"/>
      <w:lvlJc w:val="left"/>
      <w:pPr>
        <w:ind w:left="33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EAA532C">
      <w:start w:val="1"/>
      <w:numFmt w:val="bullet"/>
      <w:lvlText w:val="▪"/>
      <w:lvlJc w:val="left"/>
      <w:pPr>
        <w:ind w:left="40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C2CC55A">
      <w:start w:val="1"/>
      <w:numFmt w:val="bullet"/>
      <w:lvlText w:val="•"/>
      <w:lvlJc w:val="left"/>
      <w:pPr>
        <w:ind w:left="47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1BC1540">
      <w:start w:val="1"/>
      <w:numFmt w:val="bullet"/>
      <w:lvlText w:val="o"/>
      <w:lvlJc w:val="left"/>
      <w:pPr>
        <w:ind w:left="54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3FA8458">
      <w:start w:val="1"/>
      <w:numFmt w:val="bullet"/>
      <w:lvlText w:val="▪"/>
      <w:lvlJc w:val="left"/>
      <w:pPr>
        <w:ind w:left="61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7" w15:restartNumberingAfterBreak="0">
    <w:nsid w:val="47FE0C85"/>
    <w:multiLevelType w:val="hybridMultilevel"/>
    <w:tmpl w:val="A7EA31B8"/>
    <w:lvl w:ilvl="0" w:tplc="C9DEFDA0">
      <w:start w:val="1"/>
      <w:numFmt w:val="upperRoman"/>
      <w:pStyle w:val="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BA65DD5"/>
    <w:multiLevelType w:val="hybridMultilevel"/>
    <w:tmpl w:val="7AD249B8"/>
    <w:lvl w:ilvl="0" w:tplc="9EFA83EA">
      <w:start w:val="1"/>
      <w:numFmt w:val="bullet"/>
      <w:pStyle w:val="H3-Bul"/>
      <w:lvlText w:val=""/>
      <w:lvlJc w:val="left"/>
      <w:pPr>
        <w:ind w:left="198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335A5B"/>
    <w:multiLevelType w:val="hybridMultilevel"/>
    <w:tmpl w:val="5748F132"/>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0" w15:restartNumberingAfterBreak="0">
    <w:nsid w:val="55AE3461"/>
    <w:multiLevelType w:val="hybridMultilevel"/>
    <w:tmpl w:val="648A93A4"/>
    <w:lvl w:ilvl="0" w:tplc="04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6DB61FF"/>
    <w:multiLevelType w:val="hybridMultilevel"/>
    <w:tmpl w:val="7CDC5FC6"/>
    <w:lvl w:ilvl="0" w:tplc="BA4EEF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8A16491"/>
    <w:multiLevelType w:val="hybridMultilevel"/>
    <w:tmpl w:val="7E98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D7A29"/>
    <w:multiLevelType w:val="hybridMultilevel"/>
    <w:tmpl w:val="0CEC3114"/>
    <w:lvl w:ilvl="0" w:tplc="57DCFB18">
      <w:start w:val="1"/>
      <w:numFmt w:val="bullet"/>
      <w:lvlText w:val=""/>
      <w:lvlJc w:val="left"/>
      <w:pPr>
        <w:ind w:left="1440" w:hanging="360"/>
      </w:pPr>
      <w:rPr>
        <w:rFonts w:ascii="Symbol" w:hAnsi="Symbol" w:hint="default"/>
        <w:w w:val="100"/>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4" w15:restartNumberingAfterBreak="0">
    <w:nsid w:val="5AED0B2F"/>
    <w:multiLevelType w:val="hybridMultilevel"/>
    <w:tmpl w:val="6AEC7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85BED"/>
    <w:multiLevelType w:val="hybridMultilevel"/>
    <w:tmpl w:val="B82AD4D2"/>
    <w:lvl w:ilvl="0" w:tplc="1A7A0798">
      <w:start w:val="1"/>
      <w:numFmt w:val="decimal"/>
      <w:lvlText w:val="%1-"/>
      <w:lvlJc w:val="left"/>
      <w:pPr>
        <w:ind w:left="720" w:hanging="360"/>
      </w:pPr>
      <w:rPr>
        <w:rFonts w:eastAsia="Times New Roma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F4788"/>
    <w:multiLevelType w:val="hybridMultilevel"/>
    <w:tmpl w:val="E4E6C96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7" w15:restartNumberingAfterBreak="0">
    <w:nsid w:val="74953A15"/>
    <w:multiLevelType w:val="hybridMultilevel"/>
    <w:tmpl w:val="F07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10488"/>
    <w:multiLevelType w:val="hybridMultilevel"/>
    <w:tmpl w:val="1D12B13A"/>
    <w:lvl w:ilvl="0" w:tplc="AF049A0E">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5756689"/>
    <w:multiLevelType w:val="hybridMultilevel"/>
    <w:tmpl w:val="D30AE4E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61F6186"/>
    <w:multiLevelType w:val="hybridMultilevel"/>
    <w:tmpl w:val="CEF2B526"/>
    <w:lvl w:ilvl="0" w:tplc="0409000F">
      <w:start w:val="1"/>
      <w:numFmt w:val="decimal"/>
      <w:lvlText w:val="%1."/>
      <w:lvlJc w:val="left"/>
      <w:pPr>
        <w:ind w:left="2907" w:hanging="360"/>
      </w:pPr>
    </w:lvl>
    <w:lvl w:ilvl="1" w:tplc="0409000F">
      <w:start w:val="1"/>
      <w:numFmt w:val="decimal"/>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41" w15:restartNumberingAfterBreak="0">
    <w:nsid w:val="7C186DCB"/>
    <w:multiLevelType w:val="multilevel"/>
    <w:tmpl w:val="8EB657C2"/>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90688423">
    <w:abstractNumId w:val="6"/>
  </w:num>
  <w:num w:numId="2" w16cid:durableId="1227108407">
    <w:abstractNumId w:val="28"/>
  </w:num>
  <w:num w:numId="3" w16cid:durableId="2005472204">
    <w:abstractNumId w:val="27"/>
  </w:num>
  <w:num w:numId="4" w16cid:durableId="1044671892">
    <w:abstractNumId w:val="13"/>
  </w:num>
  <w:num w:numId="5" w16cid:durableId="2075348932">
    <w:abstractNumId w:val="23"/>
  </w:num>
  <w:num w:numId="6" w16cid:durableId="686250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1787444">
    <w:abstractNumId w:val="25"/>
  </w:num>
  <w:num w:numId="8" w16cid:durableId="92166717">
    <w:abstractNumId w:val="17"/>
  </w:num>
  <w:num w:numId="9" w16cid:durableId="913663018">
    <w:abstractNumId w:val="24"/>
  </w:num>
  <w:num w:numId="10" w16cid:durableId="821047605">
    <w:abstractNumId w:val="16"/>
  </w:num>
  <w:num w:numId="11" w16cid:durableId="918975855">
    <w:abstractNumId w:val="39"/>
  </w:num>
  <w:num w:numId="12" w16cid:durableId="1335066344">
    <w:abstractNumId w:val="34"/>
  </w:num>
  <w:num w:numId="13" w16cid:durableId="1359627108">
    <w:abstractNumId w:val="29"/>
  </w:num>
  <w:num w:numId="14" w16cid:durableId="430515602">
    <w:abstractNumId w:val="20"/>
  </w:num>
  <w:num w:numId="15" w16cid:durableId="1206135843">
    <w:abstractNumId w:val="37"/>
  </w:num>
  <w:num w:numId="16" w16cid:durableId="979266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2138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03819">
    <w:abstractNumId w:val="1"/>
  </w:num>
  <w:num w:numId="19" w16cid:durableId="2137990400">
    <w:abstractNumId w:val="22"/>
  </w:num>
  <w:num w:numId="20" w16cid:durableId="2093965579">
    <w:abstractNumId w:val="40"/>
  </w:num>
  <w:num w:numId="21" w16cid:durableId="1892232530">
    <w:abstractNumId w:val="12"/>
    <w:lvlOverride w:ilvl="0">
      <w:startOverride w:val="1"/>
    </w:lvlOverride>
    <w:lvlOverride w:ilvl="1"/>
    <w:lvlOverride w:ilvl="2"/>
    <w:lvlOverride w:ilvl="3"/>
    <w:lvlOverride w:ilvl="4"/>
    <w:lvlOverride w:ilvl="5"/>
    <w:lvlOverride w:ilvl="6"/>
    <w:lvlOverride w:ilvl="7"/>
    <w:lvlOverride w:ilvl="8"/>
  </w:num>
  <w:num w:numId="22" w16cid:durableId="1158157968">
    <w:abstractNumId w:val="33"/>
  </w:num>
  <w:num w:numId="23" w16cid:durableId="974876529">
    <w:abstractNumId w:val="21"/>
    <w:lvlOverride w:ilvl="0">
      <w:startOverride w:val="1"/>
    </w:lvlOverride>
    <w:lvlOverride w:ilvl="1"/>
    <w:lvlOverride w:ilvl="2"/>
    <w:lvlOverride w:ilvl="3"/>
    <w:lvlOverride w:ilvl="4"/>
    <w:lvlOverride w:ilvl="5"/>
    <w:lvlOverride w:ilvl="6"/>
    <w:lvlOverride w:ilvl="7"/>
    <w:lvlOverride w:ilvl="8"/>
  </w:num>
  <w:num w:numId="24" w16cid:durableId="1268347163">
    <w:abstractNumId w:val="5"/>
  </w:num>
  <w:num w:numId="25" w16cid:durableId="1764765818">
    <w:abstractNumId w:val="18"/>
  </w:num>
  <w:num w:numId="26" w16cid:durableId="1714693484">
    <w:abstractNumId w:val="3"/>
    <w:lvlOverride w:ilvl="0">
      <w:startOverride w:val="1"/>
    </w:lvlOverride>
    <w:lvlOverride w:ilvl="1"/>
    <w:lvlOverride w:ilvl="2"/>
    <w:lvlOverride w:ilvl="3"/>
    <w:lvlOverride w:ilvl="4"/>
    <w:lvlOverride w:ilvl="5"/>
    <w:lvlOverride w:ilvl="6"/>
    <w:lvlOverride w:ilvl="7"/>
    <w:lvlOverride w:ilvl="8"/>
  </w:num>
  <w:num w:numId="27" w16cid:durableId="338428716">
    <w:abstractNumId w:val="19"/>
  </w:num>
  <w:num w:numId="28" w16cid:durableId="315106250">
    <w:abstractNumId w:val="2"/>
  </w:num>
  <w:num w:numId="29" w16cid:durableId="297418011">
    <w:abstractNumId w:val="26"/>
  </w:num>
  <w:num w:numId="30" w16cid:durableId="1085031445">
    <w:abstractNumId w:val="30"/>
  </w:num>
  <w:num w:numId="31" w16cid:durableId="967853899">
    <w:abstractNumId w:val="11"/>
  </w:num>
  <w:num w:numId="32" w16cid:durableId="1430351821">
    <w:abstractNumId w:val="8"/>
  </w:num>
  <w:num w:numId="33" w16cid:durableId="297033672">
    <w:abstractNumId w:val="0"/>
  </w:num>
  <w:num w:numId="34" w16cid:durableId="351541186">
    <w:abstractNumId w:val="14"/>
  </w:num>
  <w:num w:numId="35" w16cid:durableId="793058440">
    <w:abstractNumId w:val="41"/>
  </w:num>
  <w:num w:numId="36" w16cid:durableId="1988168586">
    <w:abstractNumId w:val="10"/>
  </w:num>
  <w:num w:numId="37" w16cid:durableId="584921946">
    <w:abstractNumId w:val="15"/>
  </w:num>
  <w:num w:numId="38" w16cid:durableId="1241983636">
    <w:abstractNumId w:val="9"/>
  </w:num>
  <w:num w:numId="39" w16cid:durableId="1717243690">
    <w:abstractNumId w:val="36"/>
  </w:num>
  <w:num w:numId="40" w16cid:durableId="1055203314">
    <w:abstractNumId w:val="32"/>
  </w:num>
  <w:num w:numId="41" w16cid:durableId="1716537691">
    <w:abstractNumId w:val="35"/>
  </w:num>
  <w:num w:numId="42" w16cid:durableId="201544788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GridTable1Light1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DOxMDa0MDczMjBR0lEKTi0uzszPAykwNaoFAOQzQTotAAAA"/>
    <w:docVar w:name="EN.InstantFormat" w:val="&lt;ENInstantFormat&gt;&lt;Enabled&gt;0&lt;/Enabled&gt;&lt;ScanUnformatted&gt;1&lt;/ScanUnformatted&gt;&lt;ScanChanges&gt;1&lt;/ScanChanges&gt;&lt;Suspended&gt;0&lt;/Suspended&gt;&lt;/ENInstantFormat&gt;"/>
    <w:docVar w:name="EN.Layout" w:val="&lt;ENLayout&gt;&lt;Style&gt;Vancouver Pap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v9reweax0pv07esv2mptv0mfze2xrfw059d&quot;&gt;1332 - Nouran Gama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916BA2"/>
    <w:rsid w:val="00000C92"/>
    <w:rsid w:val="00000FDB"/>
    <w:rsid w:val="00001A0E"/>
    <w:rsid w:val="000022C0"/>
    <w:rsid w:val="00002315"/>
    <w:rsid w:val="00003565"/>
    <w:rsid w:val="00004450"/>
    <w:rsid w:val="000049F1"/>
    <w:rsid w:val="00004AE7"/>
    <w:rsid w:val="00005ED3"/>
    <w:rsid w:val="00007917"/>
    <w:rsid w:val="00007FDA"/>
    <w:rsid w:val="0001124E"/>
    <w:rsid w:val="00013BEA"/>
    <w:rsid w:val="000148B3"/>
    <w:rsid w:val="00014B1F"/>
    <w:rsid w:val="00015001"/>
    <w:rsid w:val="00015902"/>
    <w:rsid w:val="00016145"/>
    <w:rsid w:val="000162AE"/>
    <w:rsid w:val="000165C7"/>
    <w:rsid w:val="000218C2"/>
    <w:rsid w:val="00021FFE"/>
    <w:rsid w:val="00023622"/>
    <w:rsid w:val="0002402E"/>
    <w:rsid w:val="00024BE3"/>
    <w:rsid w:val="000263BC"/>
    <w:rsid w:val="000272C8"/>
    <w:rsid w:val="00027C54"/>
    <w:rsid w:val="00030081"/>
    <w:rsid w:val="0003028C"/>
    <w:rsid w:val="00033297"/>
    <w:rsid w:val="00033A67"/>
    <w:rsid w:val="00034726"/>
    <w:rsid w:val="00034F60"/>
    <w:rsid w:val="0003645D"/>
    <w:rsid w:val="00037737"/>
    <w:rsid w:val="000377E5"/>
    <w:rsid w:val="000379C8"/>
    <w:rsid w:val="00037A4F"/>
    <w:rsid w:val="00037C78"/>
    <w:rsid w:val="00040566"/>
    <w:rsid w:val="00040DB6"/>
    <w:rsid w:val="00041E9C"/>
    <w:rsid w:val="0004269D"/>
    <w:rsid w:val="00042CCF"/>
    <w:rsid w:val="00042FA0"/>
    <w:rsid w:val="00043BB2"/>
    <w:rsid w:val="000452FF"/>
    <w:rsid w:val="0004681D"/>
    <w:rsid w:val="0004748B"/>
    <w:rsid w:val="00047FE6"/>
    <w:rsid w:val="000503A4"/>
    <w:rsid w:val="000512FF"/>
    <w:rsid w:val="0005289A"/>
    <w:rsid w:val="00052A68"/>
    <w:rsid w:val="000537D0"/>
    <w:rsid w:val="00053ABF"/>
    <w:rsid w:val="00053E72"/>
    <w:rsid w:val="00054D7D"/>
    <w:rsid w:val="00055318"/>
    <w:rsid w:val="00055702"/>
    <w:rsid w:val="000574C0"/>
    <w:rsid w:val="00060EBA"/>
    <w:rsid w:val="0006154D"/>
    <w:rsid w:val="00063938"/>
    <w:rsid w:val="000650A0"/>
    <w:rsid w:val="0006584A"/>
    <w:rsid w:val="00065C84"/>
    <w:rsid w:val="000671F8"/>
    <w:rsid w:val="00067E4B"/>
    <w:rsid w:val="00067EE0"/>
    <w:rsid w:val="00070364"/>
    <w:rsid w:val="00071186"/>
    <w:rsid w:val="00072111"/>
    <w:rsid w:val="00072A9D"/>
    <w:rsid w:val="0007335E"/>
    <w:rsid w:val="00074486"/>
    <w:rsid w:val="000757FE"/>
    <w:rsid w:val="000761D9"/>
    <w:rsid w:val="00076AB9"/>
    <w:rsid w:val="00080E09"/>
    <w:rsid w:val="00081558"/>
    <w:rsid w:val="00083873"/>
    <w:rsid w:val="000843ED"/>
    <w:rsid w:val="00084713"/>
    <w:rsid w:val="00091675"/>
    <w:rsid w:val="00091F84"/>
    <w:rsid w:val="00092DC6"/>
    <w:rsid w:val="00093D47"/>
    <w:rsid w:val="00094CFD"/>
    <w:rsid w:val="000971E5"/>
    <w:rsid w:val="000A22BD"/>
    <w:rsid w:val="000A29F6"/>
    <w:rsid w:val="000A37B4"/>
    <w:rsid w:val="000A3D56"/>
    <w:rsid w:val="000A421B"/>
    <w:rsid w:val="000A59B2"/>
    <w:rsid w:val="000A5CDE"/>
    <w:rsid w:val="000A5DBF"/>
    <w:rsid w:val="000A6817"/>
    <w:rsid w:val="000A690A"/>
    <w:rsid w:val="000A7E71"/>
    <w:rsid w:val="000B05FC"/>
    <w:rsid w:val="000B0C16"/>
    <w:rsid w:val="000B157B"/>
    <w:rsid w:val="000B1E2C"/>
    <w:rsid w:val="000B21C8"/>
    <w:rsid w:val="000B3C93"/>
    <w:rsid w:val="000B3EF3"/>
    <w:rsid w:val="000B3FF3"/>
    <w:rsid w:val="000B47CC"/>
    <w:rsid w:val="000C0553"/>
    <w:rsid w:val="000C12C1"/>
    <w:rsid w:val="000C1E7A"/>
    <w:rsid w:val="000C22DA"/>
    <w:rsid w:val="000C28A0"/>
    <w:rsid w:val="000C2EAB"/>
    <w:rsid w:val="000C4298"/>
    <w:rsid w:val="000C53C2"/>
    <w:rsid w:val="000C6E0B"/>
    <w:rsid w:val="000C7744"/>
    <w:rsid w:val="000C77C4"/>
    <w:rsid w:val="000C7F62"/>
    <w:rsid w:val="000D13F8"/>
    <w:rsid w:val="000D2301"/>
    <w:rsid w:val="000D58AE"/>
    <w:rsid w:val="000D7389"/>
    <w:rsid w:val="000E024B"/>
    <w:rsid w:val="000E096A"/>
    <w:rsid w:val="000E10FD"/>
    <w:rsid w:val="000E1BCF"/>
    <w:rsid w:val="000E355F"/>
    <w:rsid w:val="000E48F6"/>
    <w:rsid w:val="000E7E60"/>
    <w:rsid w:val="000F0613"/>
    <w:rsid w:val="000F0BF3"/>
    <w:rsid w:val="000F1A04"/>
    <w:rsid w:val="000F31AD"/>
    <w:rsid w:val="000F402B"/>
    <w:rsid w:val="000F4F5D"/>
    <w:rsid w:val="000F5268"/>
    <w:rsid w:val="000F68B3"/>
    <w:rsid w:val="000F6E15"/>
    <w:rsid w:val="000F7269"/>
    <w:rsid w:val="000F76F8"/>
    <w:rsid w:val="000F789A"/>
    <w:rsid w:val="000F7C10"/>
    <w:rsid w:val="000F7EE3"/>
    <w:rsid w:val="001016C7"/>
    <w:rsid w:val="00103156"/>
    <w:rsid w:val="00103296"/>
    <w:rsid w:val="00103F52"/>
    <w:rsid w:val="0010614B"/>
    <w:rsid w:val="0010662C"/>
    <w:rsid w:val="001069B5"/>
    <w:rsid w:val="00107894"/>
    <w:rsid w:val="001103BE"/>
    <w:rsid w:val="0011090A"/>
    <w:rsid w:val="00111707"/>
    <w:rsid w:val="00112257"/>
    <w:rsid w:val="001126A6"/>
    <w:rsid w:val="001146DC"/>
    <w:rsid w:val="001146E3"/>
    <w:rsid w:val="00116CCA"/>
    <w:rsid w:val="001179BE"/>
    <w:rsid w:val="00117D4C"/>
    <w:rsid w:val="0012287F"/>
    <w:rsid w:val="00123E5B"/>
    <w:rsid w:val="00125AC8"/>
    <w:rsid w:val="00126C1B"/>
    <w:rsid w:val="00126F4B"/>
    <w:rsid w:val="001272E0"/>
    <w:rsid w:val="001312B2"/>
    <w:rsid w:val="00131659"/>
    <w:rsid w:val="0013410A"/>
    <w:rsid w:val="0013496E"/>
    <w:rsid w:val="00134CE7"/>
    <w:rsid w:val="0013543E"/>
    <w:rsid w:val="001354D0"/>
    <w:rsid w:val="00136727"/>
    <w:rsid w:val="00137418"/>
    <w:rsid w:val="00137738"/>
    <w:rsid w:val="00137D9B"/>
    <w:rsid w:val="001415ED"/>
    <w:rsid w:val="00141AE3"/>
    <w:rsid w:val="00142399"/>
    <w:rsid w:val="00142952"/>
    <w:rsid w:val="001436FC"/>
    <w:rsid w:val="001451AC"/>
    <w:rsid w:val="00145CA2"/>
    <w:rsid w:val="0015173F"/>
    <w:rsid w:val="001527B8"/>
    <w:rsid w:val="00152F07"/>
    <w:rsid w:val="00153289"/>
    <w:rsid w:val="00154584"/>
    <w:rsid w:val="00156C83"/>
    <w:rsid w:val="00156C90"/>
    <w:rsid w:val="001615A6"/>
    <w:rsid w:val="001617C8"/>
    <w:rsid w:val="00161D7E"/>
    <w:rsid w:val="00162786"/>
    <w:rsid w:val="001630A1"/>
    <w:rsid w:val="00163FD0"/>
    <w:rsid w:val="001672C2"/>
    <w:rsid w:val="001701B9"/>
    <w:rsid w:val="001707D1"/>
    <w:rsid w:val="0017094E"/>
    <w:rsid w:val="00170E5A"/>
    <w:rsid w:val="00171761"/>
    <w:rsid w:val="0017269F"/>
    <w:rsid w:val="00172C43"/>
    <w:rsid w:val="00172EC2"/>
    <w:rsid w:val="001730E1"/>
    <w:rsid w:val="001732C9"/>
    <w:rsid w:val="00173B4A"/>
    <w:rsid w:val="00174C3D"/>
    <w:rsid w:val="00174DCB"/>
    <w:rsid w:val="00176FF7"/>
    <w:rsid w:val="00177382"/>
    <w:rsid w:val="001814D8"/>
    <w:rsid w:val="0018152B"/>
    <w:rsid w:val="00185C67"/>
    <w:rsid w:val="00187098"/>
    <w:rsid w:val="0018723D"/>
    <w:rsid w:val="00187A2E"/>
    <w:rsid w:val="001910D2"/>
    <w:rsid w:val="001911FE"/>
    <w:rsid w:val="00192E98"/>
    <w:rsid w:val="00194BE7"/>
    <w:rsid w:val="0019551A"/>
    <w:rsid w:val="00195C33"/>
    <w:rsid w:val="00196000"/>
    <w:rsid w:val="0019739D"/>
    <w:rsid w:val="001975F3"/>
    <w:rsid w:val="001A0AF7"/>
    <w:rsid w:val="001A0CA0"/>
    <w:rsid w:val="001A1D45"/>
    <w:rsid w:val="001A2157"/>
    <w:rsid w:val="001A32BC"/>
    <w:rsid w:val="001A3669"/>
    <w:rsid w:val="001A434B"/>
    <w:rsid w:val="001A5468"/>
    <w:rsid w:val="001A7148"/>
    <w:rsid w:val="001B19C6"/>
    <w:rsid w:val="001B22AB"/>
    <w:rsid w:val="001B36C6"/>
    <w:rsid w:val="001B395E"/>
    <w:rsid w:val="001B3A29"/>
    <w:rsid w:val="001B6066"/>
    <w:rsid w:val="001B6DB6"/>
    <w:rsid w:val="001B7299"/>
    <w:rsid w:val="001B7B6A"/>
    <w:rsid w:val="001B7C6B"/>
    <w:rsid w:val="001C0109"/>
    <w:rsid w:val="001C0B4A"/>
    <w:rsid w:val="001C1351"/>
    <w:rsid w:val="001C1852"/>
    <w:rsid w:val="001C2137"/>
    <w:rsid w:val="001C239F"/>
    <w:rsid w:val="001C27C9"/>
    <w:rsid w:val="001C2A49"/>
    <w:rsid w:val="001C3E38"/>
    <w:rsid w:val="001C410C"/>
    <w:rsid w:val="001C4169"/>
    <w:rsid w:val="001C502E"/>
    <w:rsid w:val="001C5D47"/>
    <w:rsid w:val="001C68D3"/>
    <w:rsid w:val="001C72B8"/>
    <w:rsid w:val="001C7DCF"/>
    <w:rsid w:val="001C7F85"/>
    <w:rsid w:val="001D004D"/>
    <w:rsid w:val="001D0AE2"/>
    <w:rsid w:val="001D1197"/>
    <w:rsid w:val="001D1CAF"/>
    <w:rsid w:val="001D23F4"/>
    <w:rsid w:val="001D2578"/>
    <w:rsid w:val="001D2A2C"/>
    <w:rsid w:val="001D301C"/>
    <w:rsid w:val="001D4A4B"/>
    <w:rsid w:val="001D4B4B"/>
    <w:rsid w:val="001D4C35"/>
    <w:rsid w:val="001D4D3D"/>
    <w:rsid w:val="001D505E"/>
    <w:rsid w:val="001D6138"/>
    <w:rsid w:val="001D6FEE"/>
    <w:rsid w:val="001D7720"/>
    <w:rsid w:val="001E0BC6"/>
    <w:rsid w:val="001E0C16"/>
    <w:rsid w:val="001E2295"/>
    <w:rsid w:val="001E39E8"/>
    <w:rsid w:val="001E3A85"/>
    <w:rsid w:val="001E4E82"/>
    <w:rsid w:val="001E56A9"/>
    <w:rsid w:val="001E5CB9"/>
    <w:rsid w:val="001F0742"/>
    <w:rsid w:val="001F0874"/>
    <w:rsid w:val="001F0A39"/>
    <w:rsid w:val="001F1CC7"/>
    <w:rsid w:val="001F2FBD"/>
    <w:rsid w:val="001F383E"/>
    <w:rsid w:val="001F3D45"/>
    <w:rsid w:val="001F5372"/>
    <w:rsid w:val="001F61EA"/>
    <w:rsid w:val="00200151"/>
    <w:rsid w:val="00200676"/>
    <w:rsid w:val="00201033"/>
    <w:rsid w:val="00202D97"/>
    <w:rsid w:val="00203B9F"/>
    <w:rsid w:val="00204913"/>
    <w:rsid w:val="00206396"/>
    <w:rsid w:val="002064B9"/>
    <w:rsid w:val="002079BB"/>
    <w:rsid w:val="00210EC9"/>
    <w:rsid w:val="002112F5"/>
    <w:rsid w:val="00211318"/>
    <w:rsid w:val="00211CF0"/>
    <w:rsid w:val="00212091"/>
    <w:rsid w:val="002123B8"/>
    <w:rsid w:val="0021304F"/>
    <w:rsid w:val="00214027"/>
    <w:rsid w:val="002142CA"/>
    <w:rsid w:val="00214874"/>
    <w:rsid w:val="0021584D"/>
    <w:rsid w:val="00216B6F"/>
    <w:rsid w:val="00217486"/>
    <w:rsid w:val="00221283"/>
    <w:rsid w:val="002219F5"/>
    <w:rsid w:val="00221E28"/>
    <w:rsid w:val="00222CA8"/>
    <w:rsid w:val="00223041"/>
    <w:rsid w:val="00223A1C"/>
    <w:rsid w:val="00223A49"/>
    <w:rsid w:val="00223F83"/>
    <w:rsid w:val="00224396"/>
    <w:rsid w:val="00225AF3"/>
    <w:rsid w:val="00225C81"/>
    <w:rsid w:val="0022647A"/>
    <w:rsid w:val="00227438"/>
    <w:rsid w:val="002304CE"/>
    <w:rsid w:val="002307A9"/>
    <w:rsid w:val="00230C66"/>
    <w:rsid w:val="00231278"/>
    <w:rsid w:val="002313CE"/>
    <w:rsid w:val="00231A2F"/>
    <w:rsid w:val="002320D9"/>
    <w:rsid w:val="00232AD0"/>
    <w:rsid w:val="00233FCD"/>
    <w:rsid w:val="00234E0C"/>
    <w:rsid w:val="00235B78"/>
    <w:rsid w:val="002366C6"/>
    <w:rsid w:val="00237743"/>
    <w:rsid w:val="0024013A"/>
    <w:rsid w:val="0024014A"/>
    <w:rsid w:val="00240D6B"/>
    <w:rsid w:val="002413DF"/>
    <w:rsid w:val="00241977"/>
    <w:rsid w:val="00242C19"/>
    <w:rsid w:val="0024324A"/>
    <w:rsid w:val="00243527"/>
    <w:rsid w:val="00244F05"/>
    <w:rsid w:val="0025017F"/>
    <w:rsid w:val="00250957"/>
    <w:rsid w:val="00252B89"/>
    <w:rsid w:val="00252F90"/>
    <w:rsid w:val="00253B4A"/>
    <w:rsid w:val="00254EFB"/>
    <w:rsid w:val="00255963"/>
    <w:rsid w:val="002567F7"/>
    <w:rsid w:val="0025757C"/>
    <w:rsid w:val="00257E18"/>
    <w:rsid w:val="0026069D"/>
    <w:rsid w:val="00260B3A"/>
    <w:rsid w:val="002611B0"/>
    <w:rsid w:val="002611F1"/>
    <w:rsid w:val="00261289"/>
    <w:rsid w:val="00262518"/>
    <w:rsid w:val="00262CDF"/>
    <w:rsid w:val="00262ED0"/>
    <w:rsid w:val="002643C7"/>
    <w:rsid w:val="0026510B"/>
    <w:rsid w:val="00265562"/>
    <w:rsid w:val="00266363"/>
    <w:rsid w:val="00266396"/>
    <w:rsid w:val="002664A8"/>
    <w:rsid w:val="00267252"/>
    <w:rsid w:val="002679B8"/>
    <w:rsid w:val="00271794"/>
    <w:rsid w:val="002719EE"/>
    <w:rsid w:val="00272876"/>
    <w:rsid w:val="00272BF3"/>
    <w:rsid w:val="00273DF8"/>
    <w:rsid w:val="002740F5"/>
    <w:rsid w:val="0027454B"/>
    <w:rsid w:val="00274AD0"/>
    <w:rsid w:val="00280B3D"/>
    <w:rsid w:val="00280CFB"/>
    <w:rsid w:val="00280D49"/>
    <w:rsid w:val="00282654"/>
    <w:rsid w:val="002842D3"/>
    <w:rsid w:val="00284BC7"/>
    <w:rsid w:val="00285AEE"/>
    <w:rsid w:val="00285C27"/>
    <w:rsid w:val="002864F8"/>
    <w:rsid w:val="00290CD5"/>
    <w:rsid w:val="002914CF"/>
    <w:rsid w:val="002921A8"/>
    <w:rsid w:val="00292B93"/>
    <w:rsid w:val="00296531"/>
    <w:rsid w:val="00297032"/>
    <w:rsid w:val="002973EB"/>
    <w:rsid w:val="00297DED"/>
    <w:rsid w:val="002A07B3"/>
    <w:rsid w:val="002A0E47"/>
    <w:rsid w:val="002A1010"/>
    <w:rsid w:val="002A16DB"/>
    <w:rsid w:val="002A21A3"/>
    <w:rsid w:val="002A40FE"/>
    <w:rsid w:val="002A47D5"/>
    <w:rsid w:val="002A5879"/>
    <w:rsid w:val="002A741F"/>
    <w:rsid w:val="002A7517"/>
    <w:rsid w:val="002A7C4C"/>
    <w:rsid w:val="002B0144"/>
    <w:rsid w:val="002B0D5E"/>
    <w:rsid w:val="002B1513"/>
    <w:rsid w:val="002B1834"/>
    <w:rsid w:val="002B22EA"/>
    <w:rsid w:val="002B35AD"/>
    <w:rsid w:val="002B4EC7"/>
    <w:rsid w:val="002B6B36"/>
    <w:rsid w:val="002B72B8"/>
    <w:rsid w:val="002C0B31"/>
    <w:rsid w:val="002C0FA9"/>
    <w:rsid w:val="002C1432"/>
    <w:rsid w:val="002C174F"/>
    <w:rsid w:val="002C1BC5"/>
    <w:rsid w:val="002C1CDE"/>
    <w:rsid w:val="002C2229"/>
    <w:rsid w:val="002C4654"/>
    <w:rsid w:val="002C4AAD"/>
    <w:rsid w:val="002C5DF3"/>
    <w:rsid w:val="002C68DB"/>
    <w:rsid w:val="002C7A1F"/>
    <w:rsid w:val="002D108F"/>
    <w:rsid w:val="002D22C7"/>
    <w:rsid w:val="002D2D97"/>
    <w:rsid w:val="002D351A"/>
    <w:rsid w:val="002D4942"/>
    <w:rsid w:val="002D4CC5"/>
    <w:rsid w:val="002D5A20"/>
    <w:rsid w:val="002D6CBB"/>
    <w:rsid w:val="002D7DC1"/>
    <w:rsid w:val="002E0F51"/>
    <w:rsid w:val="002E0FE3"/>
    <w:rsid w:val="002E242D"/>
    <w:rsid w:val="002E28A6"/>
    <w:rsid w:val="002E322E"/>
    <w:rsid w:val="002E454C"/>
    <w:rsid w:val="002E6192"/>
    <w:rsid w:val="002E61F1"/>
    <w:rsid w:val="002E6687"/>
    <w:rsid w:val="002E6C48"/>
    <w:rsid w:val="002E71D6"/>
    <w:rsid w:val="002E7500"/>
    <w:rsid w:val="002E770B"/>
    <w:rsid w:val="002E7E80"/>
    <w:rsid w:val="002F00A3"/>
    <w:rsid w:val="002F01AC"/>
    <w:rsid w:val="002F06AA"/>
    <w:rsid w:val="002F0E28"/>
    <w:rsid w:val="002F129C"/>
    <w:rsid w:val="002F183D"/>
    <w:rsid w:val="002F1FB0"/>
    <w:rsid w:val="002F23B1"/>
    <w:rsid w:val="002F25D2"/>
    <w:rsid w:val="002F2E5D"/>
    <w:rsid w:val="002F51F5"/>
    <w:rsid w:val="002F57B1"/>
    <w:rsid w:val="002F58DD"/>
    <w:rsid w:val="002F609D"/>
    <w:rsid w:val="00301824"/>
    <w:rsid w:val="00302003"/>
    <w:rsid w:val="00303501"/>
    <w:rsid w:val="003036C7"/>
    <w:rsid w:val="003059CA"/>
    <w:rsid w:val="00305B13"/>
    <w:rsid w:val="00306354"/>
    <w:rsid w:val="003063B1"/>
    <w:rsid w:val="003065E7"/>
    <w:rsid w:val="003066CE"/>
    <w:rsid w:val="0030677A"/>
    <w:rsid w:val="00306DDA"/>
    <w:rsid w:val="003107FF"/>
    <w:rsid w:val="003115CF"/>
    <w:rsid w:val="00312879"/>
    <w:rsid w:val="00314069"/>
    <w:rsid w:val="0031465B"/>
    <w:rsid w:val="00315543"/>
    <w:rsid w:val="00315B60"/>
    <w:rsid w:val="00315E6B"/>
    <w:rsid w:val="00315FC0"/>
    <w:rsid w:val="003174D8"/>
    <w:rsid w:val="003212EA"/>
    <w:rsid w:val="00322844"/>
    <w:rsid w:val="00322AD8"/>
    <w:rsid w:val="003242F3"/>
    <w:rsid w:val="0032677D"/>
    <w:rsid w:val="0032681B"/>
    <w:rsid w:val="00326F55"/>
    <w:rsid w:val="003279BB"/>
    <w:rsid w:val="0033063A"/>
    <w:rsid w:val="00330F49"/>
    <w:rsid w:val="003321DB"/>
    <w:rsid w:val="00333C9F"/>
    <w:rsid w:val="00335C94"/>
    <w:rsid w:val="0033612A"/>
    <w:rsid w:val="00336E3C"/>
    <w:rsid w:val="00336E92"/>
    <w:rsid w:val="00336F4C"/>
    <w:rsid w:val="00340FBB"/>
    <w:rsid w:val="0034192D"/>
    <w:rsid w:val="00342991"/>
    <w:rsid w:val="00342D2E"/>
    <w:rsid w:val="00343852"/>
    <w:rsid w:val="003446FA"/>
    <w:rsid w:val="00345340"/>
    <w:rsid w:val="00345FF0"/>
    <w:rsid w:val="00346EFB"/>
    <w:rsid w:val="00350B4B"/>
    <w:rsid w:val="00350E57"/>
    <w:rsid w:val="003516BB"/>
    <w:rsid w:val="00352337"/>
    <w:rsid w:val="00353016"/>
    <w:rsid w:val="00353DAD"/>
    <w:rsid w:val="00353E6E"/>
    <w:rsid w:val="00354BBD"/>
    <w:rsid w:val="00354C7E"/>
    <w:rsid w:val="003550BA"/>
    <w:rsid w:val="0035515E"/>
    <w:rsid w:val="0035557A"/>
    <w:rsid w:val="003558C9"/>
    <w:rsid w:val="00360542"/>
    <w:rsid w:val="00360F9C"/>
    <w:rsid w:val="003613B7"/>
    <w:rsid w:val="00361DCC"/>
    <w:rsid w:val="0036275C"/>
    <w:rsid w:val="00362A0E"/>
    <w:rsid w:val="00363BBD"/>
    <w:rsid w:val="003646CD"/>
    <w:rsid w:val="00364ADD"/>
    <w:rsid w:val="00366ACC"/>
    <w:rsid w:val="00367088"/>
    <w:rsid w:val="00367566"/>
    <w:rsid w:val="00367E75"/>
    <w:rsid w:val="00367EA0"/>
    <w:rsid w:val="003701FD"/>
    <w:rsid w:val="0037199B"/>
    <w:rsid w:val="00371D86"/>
    <w:rsid w:val="003744B5"/>
    <w:rsid w:val="003754D8"/>
    <w:rsid w:val="00375ED9"/>
    <w:rsid w:val="00376ABC"/>
    <w:rsid w:val="00376BF9"/>
    <w:rsid w:val="00376C14"/>
    <w:rsid w:val="003775F9"/>
    <w:rsid w:val="0038073E"/>
    <w:rsid w:val="00380CD3"/>
    <w:rsid w:val="00380DA4"/>
    <w:rsid w:val="003811CC"/>
    <w:rsid w:val="00381B15"/>
    <w:rsid w:val="00382215"/>
    <w:rsid w:val="0038366B"/>
    <w:rsid w:val="0038444B"/>
    <w:rsid w:val="0038498D"/>
    <w:rsid w:val="003849AB"/>
    <w:rsid w:val="003852B8"/>
    <w:rsid w:val="00385C40"/>
    <w:rsid w:val="00386107"/>
    <w:rsid w:val="0038779E"/>
    <w:rsid w:val="00387DEC"/>
    <w:rsid w:val="003942C4"/>
    <w:rsid w:val="003A02C7"/>
    <w:rsid w:val="003A0A7A"/>
    <w:rsid w:val="003A1DE0"/>
    <w:rsid w:val="003A423B"/>
    <w:rsid w:val="003A4804"/>
    <w:rsid w:val="003A49EB"/>
    <w:rsid w:val="003A5586"/>
    <w:rsid w:val="003A60FD"/>
    <w:rsid w:val="003A74A9"/>
    <w:rsid w:val="003A76FE"/>
    <w:rsid w:val="003B1942"/>
    <w:rsid w:val="003B1A4A"/>
    <w:rsid w:val="003B2529"/>
    <w:rsid w:val="003B50BD"/>
    <w:rsid w:val="003B55B2"/>
    <w:rsid w:val="003B6453"/>
    <w:rsid w:val="003B6E11"/>
    <w:rsid w:val="003B769A"/>
    <w:rsid w:val="003C0126"/>
    <w:rsid w:val="003C1CEC"/>
    <w:rsid w:val="003C2A6F"/>
    <w:rsid w:val="003C3E01"/>
    <w:rsid w:val="003C42C7"/>
    <w:rsid w:val="003C42CE"/>
    <w:rsid w:val="003C4F9E"/>
    <w:rsid w:val="003C505A"/>
    <w:rsid w:val="003C6145"/>
    <w:rsid w:val="003C66C2"/>
    <w:rsid w:val="003C6896"/>
    <w:rsid w:val="003C6959"/>
    <w:rsid w:val="003C6B7C"/>
    <w:rsid w:val="003C6EED"/>
    <w:rsid w:val="003C7061"/>
    <w:rsid w:val="003D0776"/>
    <w:rsid w:val="003D1AF2"/>
    <w:rsid w:val="003D20F5"/>
    <w:rsid w:val="003D2DCE"/>
    <w:rsid w:val="003D3006"/>
    <w:rsid w:val="003D3BDB"/>
    <w:rsid w:val="003D54A8"/>
    <w:rsid w:val="003D55B0"/>
    <w:rsid w:val="003D5CEE"/>
    <w:rsid w:val="003D6E81"/>
    <w:rsid w:val="003D73D0"/>
    <w:rsid w:val="003D74AC"/>
    <w:rsid w:val="003D7881"/>
    <w:rsid w:val="003D793A"/>
    <w:rsid w:val="003E0252"/>
    <w:rsid w:val="003E0FA9"/>
    <w:rsid w:val="003E1166"/>
    <w:rsid w:val="003E1F88"/>
    <w:rsid w:val="003E49E7"/>
    <w:rsid w:val="003E652B"/>
    <w:rsid w:val="003E65AB"/>
    <w:rsid w:val="003E687C"/>
    <w:rsid w:val="003E6956"/>
    <w:rsid w:val="003E6B17"/>
    <w:rsid w:val="003E6CA6"/>
    <w:rsid w:val="003F0260"/>
    <w:rsid w:val="003F0291"/>
    <w:rsid w:val="003F193F"/>
    <w:rsid w:val="003F433F"/>
    <w:rsid w:val="003F4509"/>
    <w:rsid w:val="003F450F"/>
    <w:rsid w:val="003F4F36"/>
    <w:rsid w:val="003F555D"/>
    <w:rsid w:val="003F5A3E"/>
    <w:rsid w:val="003F7E7B"/>
    <w:rsid w:val="004013A4"/>
    <w:rsid w:val="00401570"/>
    <w:rsid w:val="0040187E"/>
    <w:rsid w:val="004041C0"/>
    <w:rsid w:val="00406589"/>
    <w:rsid w:val="004069BF"/>
    <w:rsid w:val="00407CD9"/>
    <w:rsid w:val="004125E9"/>
    <w:rsid w:val="004127C8"/>
    <w:rsid w:val="00414E00"/>
    <w:rsid w:val="00414E32"/>
    <w:rsid w:val="0041530C"/>
    <w:rsid w:val="004160DB"/>
    <w:rsid w:val="0041633B"/>
    <w:rsid w:val="00416D69"/>
    <w:rsid w:val="004177D3"/>
    <w:rsid w:val="00417F57"/>
    <w:rsid w:val="00421A73"/>
    <w:rsid w:val="004229C6"/>
    <w:rsid w:val="00425650"/>
    <w:rsid w:val="004269BD"/>
    <w:rsid w:val="00427E40"/>
    <w:rsid w:val="00427E95"/>
    <w:rsid w:val="0043075D"/>
    <w:rsid w:val="0043091B"/>
    <w:rsid w:val="004311CD"/>
    <w:rsid w:val="00432A7C"/>
    <w:rsid w:val="00432B36"/>
    <w:rsid w:val="00433DC2"/>
    <w:rsid w:val="0043415B"/>
    <w:rsid w:val="00434472"/>
    <w:rsid w:val="00435071"/>
    <w:rsid w:val="00435450"/>
    <w:rsid w:val="004361AA"/>
    <w:rsid w:val="004361F6"/>
    <w:rsid w:val="0043638F"/>
    <w:rsid w:val="0043650D"/>
    <w:rsid w:val="0043696F"/>
    <w:rsid w:val="00437318"/>
    <w:rsid w:val="00437A3E"/>
    <w:rsid w:val="00437C28"/>
    <w:rsid w:val="00437C6D"/>
    <w:rsid w:val="00437F02"/>
    <w:rsid w:val="00442684"/>
    <w:rsid w:val="00442C38"/>
    <w:rsid w:val="00443682"/>
    <w:rsid w:val="00443A8D"/>
    <w:rsid w:val="00443F65"/>
    <w:rsid w:val="0044512A"/>
    <w:rsid w:val="00445C75"/>
    <w:rsid w:val="004461EA"/>
    <w:rsid w:val="00451220"/>
    <w:rsid w:val="00451A31"/>
    <w:rsid w:val="00452171"/>
    <w:rsid w:val="004536B8"/>
    <w:rsid w:val="00453FF0"/>
    <w:rsid w:val="0045526A"/>
    <w:rsid w:val="004558A9"/>
    <w:rsid w:val="00455B2C"/>
    <w:rsid w:val="0045663E"/>
    <w:rsid w:val="004572BF"/>
    <w:rsid w:val="004578BC"/>
    <w:rsid w:val="00460E5A"/>
    <w:rsid w:val="00461D56"/>
    <w:rsid w:val="00462175"/>
    <w:rsid w:val="0046251D"/>
    <w:rsid w:val="0046290A"/>
    <w:rsid w:val="00462D01"/>
    <w:rsid w:val="00463033"/>
    <w:rsid w:val="0046425F"/>
    <w:rsid w:val="00464962"/>
    <w:rsid w:val="00465A1F"/>
    <w:rsid w:val="00466260"/>
    <w:rsid w:val="00466603"/>
    <w:rsid w:val="00466853"/>
    <w:rsid w:val="00467AC9"/>
    <w:rsid w:val="0047173E"/>
    <w:rsid w:val="00472765"/>
    <w:rsid w:val="004730BC"/>
    <w:rsid w:val="0047319D"/>
    <w:rsid w:val="00473873"/>
    <w:rsid w:val="00473C38"/>
    <w:rsid w:val="004750BC"/>
    <w:rsid w:val="00476373"/>
    <w:rsid w:val="0047643B"/>
    <w:rsid w:val="004769D1"/>
    <w:rsid w:val="00477074"/>
    <w:rsid w:val="004773C0"/>
    <w:rsid w:val="00477DB2"/>
    <w:rsid w:val="00480DF9"/>
    <w:rsid w:val="004810E1"/>
    <w:rsid w:val="00482FEC"/>
    <w:rsid w:val="00484485"/>
    <w:rsid w:val="0048470A"/>
    <w:rsid w:val="00485385"/>
    <w:rsid w:val="00485516"/>
    <w:rsid w:val="00485C16"/>
    <w:rsid w:val="00486A49"/>
    <w:rsid w:val="004871BF"/>
    <w:rsid w:val="00490EBE"/>
    <w:rsid w:val="00491524"/>
    <w:rsid w:val="00492610"/>
    <w:rsid w:val="00493218"/>
    <w:rsid w:val="00493924"/>
    <w:rsid w:val="0049422A"/>
    <w:rsid w:val="00494982"/>
    <w:rsid w:val="00495034"/>
    <w:rsid w:val="004950CF"/>
    <w:rsid w:val="00496203"/>
    <w:rsid w:val="004964DB"/>
    <w:rsid w:val="00496D3D"/>
    <w:rsid w:val="00497193"/>
    <w:rsid w:val="004A2FC4"/>
    <w:rsid w:val="004A55BD"/>
    <w:rsid w:val="004A7903"/>
    <w:rsid w:val="004B0C59"/>
    <w:rsid w:val="004B1075"/>
    <w:rsid w:val="004B12DF"/>
    <w:rsid w:val="004B1CD5"/>
    <w:rsid w:val="004B1EE2"/>
    <w:rsid w:val="004B2863"/>
    <w:rsid w:val="004B3FF7"/>
    <w:rsid w:val="004B4F84"/>
    <w:rsid w:val="004B5505"/>
    <w:rsid w:val="004B7449"/>
    <w:rsid w:val="004B7911"/>
    <w:rsid w:val="004C006B"/>
    <w:rsid w:val="004C0914"/>
    <w:rsid w:val="004C0BCE"/>
    <w:rsid w:val="004C0CE1"/>
    <w:rsid w:val="004C3617"/>
    <w:rsid w:val="004C483D"/>
    <w:rsid w:val="004C5DDE"/>
    <w:rsid w:val="004C634E"/>
    <w:rsid w:val="004C771C"/>
    <w:rsid w:val="004D0B13"/>
    <w:rsid w:val="004D1588"/>
    <w:rsid w:val="004D2600"/>
    <w:rsid w:val="004D3094"/>
    <w:rsid w:val="004D38A0"/>
    <w:rsid w:val="004D3EDD"/>
    <w:rsid w:val="004D4822"/>
    <w:rsid w:val="004D5CB8"/>
    <w:rsid w:val="004D7A6C"/>
    <w:rsid w:val="004E0F08"/>
    <w:rsid w:val="004E1324"/>
    <w:rsid w:val="004E1901"/>
    <w:rsid w:val="004E1A53"/>
    <w:rsid w:val="004E2937"/>
    <w:rsid w:val="004E298E"/>
    <w:rsid w:val="004E2BED"/>
    <w:rsid w:val="004E4FE3"/>
    <w:rsid w:val="004E50BC"/>
    <w:rsid w:val="004E5645"/>
    <w:rsid w:val="004E6BC7"/>
    <w:rsid w:val="004E7362"/>
    <w:rsid w:val="004E7CD8"/>
    <w:rsid w:val="004F0BE9"/>
    <w:rsid w:val="004F102A"/>
    <w:rsid w:val="004F156D"/>
    <w:rsid w:val="004F2944"/>
    <w:rsid w:val="004F330D"/>
    <w:rsid w:val="004F3364"/>
    <w:rsid w:val="004F38F8"/>
    <w:rsid w:val="004F405D"/>
    <w:rsid w:val="004F47A3"/>
    <w:rsid w:val="004F4E11"/>
    <w:rsid w:val="004F4E5A"/>
    <w:rsid w:val="004F5DED"/>
    <w:rsid w:val="004F6811"/>
    <w:rsid w:val="004F6883"/>
    <w:rsid w:val="00500F73"/>
    <w:rsid w:val="00501941"/>
    <w:rsid w:val="0050354D"/>
    <w:rsid w:val="005044BB"/>
    <w:rsid w:val="00504BA6"/>
    <w:rsid w:val="00505106"/>
    <w:rsid w:val="005060B5"/>
    <w:rsid w:val="005060C2"/>
    <w:rsid w:val="00506B7E"/>
    <w:rsid w:val="00506D0C"/>
    <w:rsid w:val="005070F0"/>
    <w:rsid w:val="0050713B"/>
    <w:rsid w:val="0050742D"/>
    <w:rsid w:val="0050760D"/>
    <w:rsid w:val="0051065A"/>
    <w:rsid w:val="00510A43"/>
    <w:rsid w:val="0051124C"/>
    <w:rsid w:val="0051487C"/>
    <w:rsid w:val="00515256"/>
    <w:rsid w:val="00517213"/>
    <w:rsid w:val="00517363"/>
    <w:rsid w:val="00517945"/>
    <w:rsid w:val="0052064D"/>
    <w:rsid w:val="00522672"/>
    <w:rsid w:val="005229F0"/>
    <w:rsid w:val="00523105"/>
    <w:rsid w:val="0052422D"/>
    <w:rsid w:val="00524DAD"/>
    <w:rsid w:val="00525679"/>
    <w:rsid w:val="00526557"/>
    <w:rsid w:val="0052671D"/>
    <w:rsid w:val="005308B3"/>
    <w:rsid w:val="00532F54"/>
    <w:rsid w:val="00533B2A"/>
    <w:rsid w:val="00533CE3"/>
    <w:rsid w:val="00533E5A"/>
    <w:rsid w:val="00534F2B"/>
    <w:rsid w:val="00536FD4"/>
    <w:rsid w:val="005371FC"/>
    <w:rsid w:val="005378F7"/>
    <w:rsid w:val="005379CA"/>
    <w:rsid w:val="00540273"/>
    <w:rsid w:val="00541A86"/>
    <w:rsid w:val="00542115"/>
    <w:rsid w:val="00542AC8"/>
    <w:rsid w:val="00542CB0"/>
    <w:rsid w:val="00543451"/>
    <w:rsid w:val="00543F62"/>
    <w:rsid w:val="00544377"/>
    <w:rsid w:val="00544D1A"/>
    <w:rsid w:val="005458C9"/>
    <w:rsid w:val="0054678A"/>
    <w:rsid w:val="00546F19"/>
    <w:rsid w:val="0054739F"/>
    <w:rsid w:val="00547B10"/>
    <w:rsid w:val="005505BF"/>
    <w:rsid w:val="005506A2"/>
    <w:rsid w:val="00550EF8"/>
    <w:rsid w:val="00550F0B"/>
    <w:rsid w:val="005512A8"/>
    <w:rsid w:val="005518DD"/>
    <w:rsid w:val="00553997"/>
    <w:rsid w:val="00553AC8"/>
    <w:rsid w:val="0055601E"/>
    <w:rsid w:val="005571F2"/>
    <w:rsid w:val="0056172D"/>
    <w:rsid w:val="005619B4"/>
    <w:rsid w:val="00561C38"/>
    <w:rsid w:val="00562964"/>
    <w:rsid w:val="00562A6B"/>
    <w:rsid w:val="00563039"/>
    <w:rsid w:val="0056387A"/>
    <w:rsid w:val="0056460E"/>
    <w:rsid w:val="00564708"/>
    <w:rsid w:val="00564A82"/>
    <w:rsid w:val="0056510B"/>
    <w:rsid w:val="00566061"/>
    <w:rsid w:val="00566349"/>
    <w:rsid w:val="0056683E"/>
    <w:rsid w:val="005672E0"/>
    <w:rsid w:val="005713D3"/>
    <w:rsid w:val="0057299A"/>
    <w:rsid w:val="00573161"/>
    <w:rsid w:val="005739DC"/>
    <w:rsid w:val="005749F1"/>
    <w:rsid w:val="00574F0D"/>
    <w:rsid w:val="0057542B"/>
    <w:rsid w:val="00575685"/>
    <w:rsid w:val="00576804"/>
    <w:rsid w:val="00577B95"/>
    <w:rsid w:val="005803F8"/>
    <w:rsid w:val="00580E0F"/>
    <w:rsid w:val="00581236"/>
    <w:rsid w:val="00582766"/>
    <w:rsid w:val="00582EF1"/>
    <w:rsid w:val="005836AE"/>
    <w:rsid w:val="00583746"/>
    <w:rsid w:val="005848CE"/>
    <w:rsid w:val="00584E8E"/>
    <w:rsid w:val="0058566B"/>
    <w:rsid w:val="00585DD4"/>
    <w:rsid w:val="00586064"/>
    <w:rsid w:val="005862EF"/>
    <w:rsid w:val="005869C7"/>
    <w:rsid w:val="00587065"/>
    <w:rsid w:val="00590D59"/>
    <w:rsid w:val="00591463"/>
    <w:rsid w:val="00591835"/>
    <w:rsid w:val="005922C8"/>
    <w:rsid w:val="0059291D"/>
    <w:rsid w:val="00594C6D"/>
    <w:rsid w:val="00594D93"/>
    <w:rsid w:val="005962F2"/>
    <w:rsid w:val="005969A4"/>
    <w:rsid w:val="00596D83"/>
    <w:rsid w:val="005974BF"/>
    <w:rsid w:val="005A0152"/>
    <w:rsid w:val="005A176D"/>
    <w:rsid w:val="005A21FF"/>
    <w:rsid w:val="005A29FE"/>
    <w:rsid w:val="005A2C21"/>
    <w:rsid w:val="005A3BBD"/>
    <w:rsid w:val="005A3F82"/>
    <w:rsid w:val="005A4E94"/>
    <w:rsid w:val="005A5BBC"/>
    <w:rsid w:val="005A7EA7"/>
    <w:rsid w:val="005B016E"/>
    <w:rsid w:val="005B1CCD"/>
    <w:rsid w:val="005B1F81"/>
    <w:rsid w:val="005B28B6"/>
    <w:rsid w:val="005B2C04"/>
    <w:rsid w:val="005B35A1"/>
    <w:rsid w:val="005B48E3"/>
    <w:rsid w:val="005B4992"/>
    <w:rsid w:val="005B624C"/>
    <w:rsid w:val="005C0DD9"/>
    <w:rsid w:val="005C117C"/>
    <w:rsid w:val="005C35F6"/>
    <w:rsid w:val="005C3A39"/>
    <w:rsid w:val="005C538C"/>
    <w:rsid w:val="005C5DD2"/>
    <w:rsid w:val="005C7835"/>
    <w:rsid w:val="005C7CFD"/>
    <w:rsid w:val="005C7D8A"/>
    <w:rsid w:val="005D3051"/>
    <w:rsid w:val="005D3716"/>
    <w:rsid w:val="005D37FF"/>
    <w:rsid w:val="005D38A1"/>
    <w:rsid w:val="005D3D97"/>
    <w:rsid w:val="005D709D"/>
    <w:rsid w:val="005D79B9"/>
    <w:rsid w:val="005D7AC4"/>
    <w:rsid w:val="005D7FAC"/>
    <w:rsid w:val="005E032D"/>
    <w:rsid w:val="005E0B3C"/>
    <w:rsid w:val="005E18D9"/>
    <w:rsid w:val="005E1962"/>
    <w:rsid w:val="005E1B65"/>
    <w:rsid w:val="005E5E77"/>
    <w:rsid w:val="005E6C7E"/>
    <w:rsid w:val="005F10DB"/>
    <w:rsid w:val="005F16D4"/>
    <w:rsid w:val="005F1EF9"/>
    <w:rsid w:val="005F29B8"/>
    <w:rsid w:val="005F347A"/>
    <w:rsid w:val="005F349C"/>
    <w:rsid w:val="005F3E9B"/>
    <w:rsid w:val="005F4A40"/>
    <w:rsid w:val="005F4C43"/>
    <w:rsid w:val="005F6005"/>
    <w:rsid w:val="005F7E1E"/>
    <w:rsid w:val="00600B3A"/>
    <w:rsid w:val="0060120C"/>
    <w:rsid w:val="006013C7"/>
    <w:rsid w:val="00602749"/>
    <w:rsid w:val="006029E7"/>
    <w:rsid w:val="00603077"/>
    <w:rsid w:val="00603735"/>
    <w:rsid w:val="0060390A"/>
    <w:rsid w:val="00603B32"/>
    <w:rsid w:val="00603D5B"/>
    <w:rsid w:val="00603F2E"/>
    <w:rsid w:val="00604F64"/>
    <w:rsid w:val="00611825"/>
    <w:rsid w:val="006126AB"/>
    <w:rsid w:val="00613178"/>
    <w:rsid w:val="00613D21"/>
    <w:rsid w:val="006152A8"/>
    <w:rsid w:val="0061551B"/>
    <w:rsid w:val="00615615"/>
    <w:rsid w:val="0061664B"/>
    <w:rsid w:val="0061719B"/>
    <w:rsid w:val="006179C3"/>
    <w:rsid w:val="00620BCD"/>
    <w:rsid w:val="006212A6"/>
    <w:rsid w:val="0062482C"/>
    <w:rsid w:val="0062491D"/>
    <w:rsid w:val="00624A81"/>
    <w:rsid w:val="0062504D"/>
    <w:rsid w:val="0062648E"/>
    <w:rsid w:val="0062655E"/>
    <w:rsid w:val="006267E3"/>
    <w:rsid w:val="00627D4E"/>
    <w:rsid w:val="006320FC"/>
    <w:rsid w:val="00632F50"/>
    <w:rsid w:val="00632FAF"/>
    <w:rsid w:val="00633692"/>
    <w:rsid w:val="00633693"/>
    <w:rsid w:val="00633964"/>
    <w:rsid w:val="00633E23"/>
    <w:rsid w:val="00634040"/>
    <w:rsid w:val="0063450B"/>
    <w:rsid w:val="0063497D"/>
    <w:rsid w:val="00635B6F"/>
    <w:rsid w:val="00635E57"/>
    <w:rsid w:val="00635EB7"/>
    <w:rsid w:val="006369C4"/>
    <w:rsid w:val="006370EF"/>
    <w:rsid w:val="00637175"/>
    <w:rsid w:val="00637810"/>
    <w:rsid w:val="00637C63"/>
    <w:rsid w:val="00641711"/>
    <w:rsid w:val="00641B3F"/>
    <w:rsid w:val="006428F7"/>
    <w:rsid w:val="0064305E"/>
    <w:rsid w:val="00643DAB"/>
    <w:rsid w:val="0064400F"/>
    <w:rsid w:val="00644AAB"/>
    <w:rsid w:val="0064568C"/>
    <w:rsid w:val="00645D92"/>
    <w:rsid w:val="00646620"/>
    <w:rsid w:val="00647553"/>
    <w:rsid w:val="00647F41"/>
    <w:rsid w:val="00650208"/>
    <w:rsid w:val="00651078"/>
    <w:rsid w:val="0065187B"/>
    <w:rsid w:val="00652184"/>
    <w:rsid w:val="00652E99"/>
    <w:rsid w:val="00653641"/>
    <w:rsid w:val="00654462"/>
    <w:rsid w:val="00655205"/>
    <w:rsid w:val="006562A4"/>
    <w:rsid w:val="00656846"/>
    <w:rsid w:val="00656A7B"/>
    <w:rsid w:val="00656C59"/>
    <w:rsid w:val="00657A14"/>
    <w:rsid w:val="0066076A"/>
    <w:rsid w:val="00660A38"/>
    <w:rsid w:val="00661703"/>
    <w:rsid w:val="00661BA9"/>
    <w:rsid w:val="00661BCF"/>
    <w:rsid w:val="00661C0A"/>
    <w:rsid w:val="00662198"/>
    <w:rsid w:val="0066388D"/>
    <w:rsid w:val="00663C12"/>
    <w:rsid w:val="006642E1"/>
    <w:rsid w:val="00665CB1"/>
    <w:rsid w:val="006665F4"/>
    <w:rsid w:val="0066754A"/>
    <w:rsid w:val="00667C6A"/>
    <w:rsid w:val="00670CCF"/>
    <w:rsid w:val="006710BA"/>
    <w:rsid w:val="00672E3D"/>
    <w:rsid w:val="006764F5"/>
    <w:rsid w:val="006772A3"/>
    <w:rsid w:val="00677774"/>
    <w:rsid w:val="0068157C"/>
    <w:rsid w:val="00681D6A"/>
    <w:rsid w:val="00682550"/>
    <w:rsid w:val="00683520"/>
    <w:rsid w:val="006836B5"/>
    <w:rsid w:val="00683EA1"/>
    <w:rsid w:val="00684634"/>
    <w:rsid w:val="00685398"/>
    <w:rsid w:val="00685AC9"/>
    <w:rsid w:val="00685D63"/>
    <w:rsid w:val="00686E83"/>
    <w:rsid w:val="006878D1"/>
    <w:rsid w:val="006901E4"/>
    <w:rsid w:val="00690A72"/>
    <w:rsid w:val="00690D58"/>
    <w:rsid w:val="006916DF"/>
    <w:rsid w:val="006921FE"/>
    <w:rsid w:val="006922A2"/>
    <w:rsid w:val="006923B9"/>
    <w:rsid w:val="00692BC0"/>
    <w:rsid w:val="00692D4F"/>
    <w:rsid w:val="006932C6"/>
    <w:rsid w:val="00693EFE"/>
    <w:rsid w:val="006946C1"/>
    <w:rsid w:val="00695007"/>
    <w:rsid w:val="0069568A"/>
    <w:rsid w:val="00695A14"/>
    <w:rsid w:val="00696CAA"/>
    <w:rsid w:val="006976C1"/>
    <w:rsid w:val="006978EC"/>
    <w:rsid w:val="006A2015"/>
    <w:rsid w:val="006A5799"/>
    <w:rsid w:val="006A61E1"/>
    <w:rsid w:val="006A6478"/>
    <w:rsid w:val="006A6746"/>
    <w:rsid w:val="006A7981"/>
    <w:rsid w:val="006B0D1E"/>
    <w:rsid w:val="006B1B02"/>
    <w:rsid w:val="006B2ABB"/>
    <w:rsid w:val="006B37D3"/>
    <w:rsid w:val="006B3AE0"/>
    <w:rsid w:val="006B56F5"/>
    <w:rsid w:val="006C146F"/>
    <w:rsid w:val="006C19B6"/>
    <w:rsid w:val="006C246B"/>
    <w:rsid w:val="006C2E5E"/>
    <w:rsid w:val="006C3448"/>
    <w:rsid w:val="006C3461"/>
    <w:rsid w:val="006C35C9"/>
    <w:rsid w:val="006C4AEF"/>
    <w:rsid w:val="006C50D4"/>
    <w:rsid w:val="006C51C9"/>
    <w:rsid w:val="006C553B"/>
    <w:rsid w:val="006C5790"/>
    <w:rsid w:val="006C5876"/>
    <w:rsid w:val="006C6C7C"/>
    <w:rsid w:val="006D193B"/>
    <w:rsid w:val="006D1B55"/>
    <w:rsid w:val="006D4D9B"/>
    <w:rsid w:val="006D5D80"/>
    <w:rsid w:val="006D617E"/>
    <w:rsid w:val="006D7817"/>
    <w:rsid w:val="006E00CC"/>
    <w:rsid w:val="006E0F2A"/>
    <w:rsid w:val="006E294C"/>
    <w:rsid w:val="006E4BF4"/>
    <w:rsid w:val="006E618E"/>
    <w:rsid w:val="006E6BC1"/>
    <w:rsid w:val="006E70E4"/>
    <w:rsid w:val="006F0ACF"/>
    <w:rsid w:val="006F0E19"/>
    <w:rsid w:val="006F16AC"/>
    <w:rsid w:val="006F219C"/>
    <w:rsid w:val="006F3BAE"/>
    <w:rsid w:val="006F5F6D"/>
    <w:rsid w:val="006F7634"/>
    <w:rsid w:val="007006ED"/>
    <w:rsid w:val="00701298"/>
    <w:rsid w:val="0070215A"/>
    <w:rsid w:val="00703676"/>
    <w:rsid w:val="00703DB4"/>
    <w:rsid w:val="007040C3"/>
    <w:rsid w:val="00704152"/>
    <w:rsid w:val="007051D4"/>
    <w:rsid w:val="0070542E"/>
    <w:rsid w:val="007065B1"/>
    <w:rsid w:val="007105F8"/>
    <w:rsid w:val="007114F8"/>
    <w:rsid w:val="007117CE"/>
    <w:rsid w:val="0071230B"/>
    <w:rsid w:val="0071234C"/>
    <w:rsid w:val="0071236F"/>
    <w:rsid w:val="0071244B"/>
    <w:rsid w:val="007132C5"/>
    <w:rsid w:val="00713BFB"/>
    <w:rsid w:val="00714402"/>
    <w:rsid w:val="00715129"/>
    <w:rsid w:val="007164D4"/>
    <w:rsid w:val="00717F84"/>
    <w:rsid w:val="00721129"/>
    <w:rsid w:val="00722CCC"/>
    <w:rsid w:val="00722D2A"/>
    <w:rsid w:val="007239B5"/>
    <w:rsid w:val="00724D8A"/>
    <w:rsid w:val="00725624"/>
    <w:rsid w:val="00726AD3"/>
    <w:rsid w:val="007315D8"/>
    <w:rsid w:val="007317F5"/>
    <w:rsid w:val="00731A69"/>
    <w:rsid w:val="00732884"/>
    <w:rsid w:val="00735231"/>
    <w:rsid w:val="0073594D"/>
    <w:rsid w:val="00735F0A"/>
    <w:rsid w:val="00736747"/>
    <w:rsid w:val="00736AD3"/>
    <w:rsid w:val="00736B5A"/>
    <w:rsid w:val="00736F8C"/>
    <w:rsid w:val="0073725F"/>
    <w:rsid w:val="00740366"/>
    <w:rsid w:val="00740E09"/>
    <w:rsid w:val="0074170D"/>
    <w:rsid w:val="00744478"/>
    <w:rsid w:val="007444F3"/>
    <w:rsid w:val="00745343"/>
    <w:rsid w:val="00746D1E"/>
    <w:rsid w:val="00747D33"/>
    <w:rsid w:val="0075124B"/>
    <w:rsid w:val="007515C7"/>
    <w:rsid w:val="00753DC6"/>
    <w:rsid w:val="00754BAB"/>
    <w:rsid w:val="007551E2"/>
    <w:rsid w:val="007555A7"/>
    <w:rsid w:val="00755B36"/>
    <w:rsid w:val="007563D6"/>
    <w:rsid w:val="007568BC"/>
    <w:rsid w:val="00757A00"/>
    <w:rsid w:val="00760149"/>
    <w:rsid w:val="00760870"/>
    <w:rsid w:val="007617E4"/>
    <w:rsid w:val="00761A41"/>
    <w:rsid w:val="0076409E"/>
    <w:rsid w:val="00764D70"/>
    <w:rsid w:val="00765B92"/>
    <w:rsid w:val="0077116B"/>
    <w:rsid w:val="00771911"/>
    <w:rsid w:val="007726E8"/>
    <w:rsid w:val="007733E9"/>
    <w:rsid w:val="00773BAC"/>
    <w:rsid w:val="00774F37"/>
    <w:rsid w:val="007754F4"/>
    <w:rsid w:val="00776690"/>
    <w:rsid w:val="00776EFB"/>
    <w:rsid w:val="0078004C"/>
    <w:rsid w:val="00783B50"/>
    <w:rsid w:val="00783EE5"/>
    <w:rsid w:val="00784FD8"/>
    <w:rsid w:val="007869FA"/>
    <w:rsid w:val="00787488"/>
    <w:rsid w:val="007876EE"/>
    <w:rsid w:val="00787D38"/>
    <w:rsid w:val="0079043B"/>
    <w:rsid w:val="00790A12"/>
    <w:rsid w:val="0079122C"/>
    <w:rsid w:val="00791383"/>
    <w:rsid w:val="00791E29"/>
    <w:rsid w:val="007925CD"/>
    <w:rsid w:val="007928C2"/>
    <w:rsid w:val="00793E58"/>
    <w:rsid w:val="00794DE6"/>
    <w:rsid w:val="00795165"/>
    <w:rsid w:val="007951D7"/>
    <w:rsid w:val="00795543"/>
    <w:rsid w:val="007979EF"/>
    <w:rsid w:val="00797BD7"/>
    <w:rsid w:val="007A0286"/>
    <w:rsid w:val="007A1BB9"/>
    <w:rsid w:val="007A2382"/>
    <w:rsid w:val="007A3834"/>
    <w:rsid w:val="007A551E"/>
    <w:rsid w:val="007A5D75"/>
    <w:rsid w:val="007A6C2F"/>
    <w:rsid w:val="007A7392"/>
    <w:rsid w:val="007A7A01"/>
    <w:rsid w:val="007B16A9"/>
    <w:rsid w:val="007B18B2"/>
    <w:rsid w:val="007B2D1B"/>
    <w:rsid w:val="007B530B"/>
    <w:rsid w:val="007B546B"/>
    <w:rsid w:val="007B7002"/>
    <w:rsid w:val="007B72D4"/>
    <w:rsid w:val="007B7407"/>
    <w:rsid w:val="007C130D"/>
    <w:rsid w:val="007C19DE"/>
    <w:rsid w:val="007C32FC"/>
    <w:rsid w:val="007C4BD1"/>
    <w:rsid w:val="007C4F60"/>
    <w:rsid w:val="007C55F5"/>
    <w:rsid w:val="007C5824"/>
    <w:rsid w:val="007C6E25"/>
    <w:rsid w:val="007D1600"/>
    <w:rsid w:val="007D1682"/>
    <w:rsid w:val="007D26AC"/>
    <w:rsid w:val="007D29B7"/>
    <w:rsid w:val="007D2BD9"/>
    <w:rsid w:val="007D33A8"/>
    <w:rsid w:val="007D368B"/>
    <w:rsid w:val="007D3E39"/>
    <w:rsid w:val="007D5DF3"/>
    <w:rsid w:val="007D652B"/>
    <w:rsid w:val="007E024C"/>
    <w:rsid w:val="007E23F1"/>
    <w:rsid w:val="007E335A"/>
    <w:rsid w:val="007E3426"/>
    <w:rsid w:val="007E4279"/>
    <w:rsid w:val="007E4A09"/>
    <w:rsid w:val="007E5C2F"/>
    <w:rsid w:val="007E5E43"/>
    <w:rsid w:val="007E712D"/>
    <w:rsid w:val="007E7135"/>
    <w:rsid w:val="007E7B3A"/>
    <w:rsid w:val="007F1233"/>
    <w:rsid w:val="007F3070"/>
    <w:rsid w:val="007F397E"/>
    <w:rsid w:val="007F3A78"/>
    <w:rsid w:val="007F57CF"/>
    <w:rsid w:val="007F5828"/>
    <w:rsid w:val="007F6C4B"/>
    <w:rsid w:val="007F7859"/>
    <w:rsid w:val="007F7DB7"/>
    <w:rsid w:val="00804012"/>
    <w:rsid w:val="00804B90"/>
    <w:rsid w:val="008052E6"/>
    <w:rsid w:val="00805552"/>
    <w:rsid w:val="00805889"/>
    <w:rsid w:val="00805F92"/>
    <w:rsid w:val="008078EE"/>
    <w:rsid w:val="00807B78"/>
    <w:rsid w:val="00810114"/>
    <w:rsid w:val="00811139"/>
    <w:rsid w:val="0081299B"/>
    <w:rsid w:val="008140C7"/>
    <w:rsid w:val="00814BBE"/>
    <w:rsid w:val="00815991"/>
    <w:rsid w:val="008164B7"/>
    <w:rsid w:val="008178AA"/>
    <w:rsid w:val="00820918"/>
    <w:rsid w:val="00820C8E"/>
    <w:rsid w:val="00821679"/>
    <w:rsid w:val="00822120"/>
    <w:rsid w:val="00823D76"/>
    <w:rsid w:val="00825FB7"/>
    <w:rsid w:val="00827099"/>
    <w:rsid w:val="0082727A"/>
    <w:rsid w:val="0082769E"/>
    <w:rsid w:val="00830F33"/>
    <w:rsid w:val="00831FE9"/>
    <w:rsid w:val="00832890"/>
    <w:rsid w:val="008333D0"/>
    <w:rsid w:val="0083352C"/>
    <w:rsid w:val="00834CDC"/>
    <w:rsid w:val="008357CA"/>
    <w:rsid w:val="00836536"/>
    <w:rsid w:val="0083736A"/>
    <w:rsid w:val="008424EF"/>
    <w:rsid w:val="00842E0E"/>
    <w:rsid w:val="00844DD6"/>
    <w:rsid w:val="00846DEA"/>
    <w:rsid w:val="00847567"/>
    <w:rsid w:val="00850217"/>
    <w:rsid w:val="008507D3"/>
    <w:rsid w:val="00850F7A"/>
    <w:rsid w:val="00851A8C"/>
    <w:rsid w:val="008523C3"/>
    <w:rsid w:val="00852504"/>
    <w:rsid w:val="00853849"/>
    <w:rsid w:val="0085390B"/>
    <w:rsid w:val="00855147"/>
    <w:rsid w:val="00855382"/>
    <w:rsid w:val="008558EC"/>
    <w:rsid w:val="00856F09"/>
    <w:rsid w:val="00857818"/>
    <w:rsid w:val="00857961"/>
    <w:rsid w:val="00860058"/>
    <w:rsid w:val="0086016E"/>
    <w:rsid w:val="0086049C"/>
    <w:rsid w:val="00861212"/>
    <w:rsid w:val="008617E3"/>
    <w:rsid w:val="00861BA0"/>
    <w:rsid w:val="0086277C"/>
    <w:rsid w:val="00862A5F"/>
    <w:rsid w:val="00862F73"/>
    <w:rsid w:val="00862FE7"/>
    <w:rsid w:val="0086301C"/>
    <w:rsid w:val="008640D2"/>
    <w:rsid w:val="00866956"/>
    <w:rsid w:val="00867A67"/>
    <w:rsid w:val="008701B5"/>
    <w:rsid w:val="00870E32"/>
    <w:rsid w:val="008710EA"/>
    <w:rsid w:val="0087149D"/>
    <w:rsid w:val="0087152F"/>
    <w:rsid w:val="00872BC4"/>
    <w:rsid w:val="00873C9F"/>
    <w:rsid w:val="00874096"/>
    <w:rsid w:val="008742EE"/>
    <w:rsid w:val="0087651E"/>
    <w:rsid w:val="008774E0"/>
    <w:rsid w:val="00880103"/>
    <w:rsid w:val="00880FF5"/>
    <w:rsid w:val="0088107D"/>
    <w:rsid w:val="00882A7B"/>
    <w:rsid w:val="00883122"/>
    <w:rsid w:val="0088381F"/>
    <w:rsid w:val="0088418F"/>
    <w:rsid w:val="00885E78"/>
    <w:rsid w:val="00886CB4"/>
    <w:rsid w:val="0088755E"/>
    <w:rsid w:val="00894ADD"/>
    <w:rsid w:val="00895866"/>
    <w:rsid w:val="008A149D"/>
    <w:rsid w:val="008A1812"/>
    <w:rsid w:val="008A3446"/>
    <w:rsid w:val="008A392B"/>
    <w:rsid w:val="008A45A2"/>
    <w:rsid w:val="008A6E82"/>
    <w:rsid w:val="008A794D"/>
    <w:rsid w:val="008A7C36"/>
    <w:rsid w:val="008B0C4F"/>
    <w:rsid w:val="008B0D5F"/>
    <w:rsid w:val="008B1D9E"/>
    <w:rsid w:val="008B22CF"/>
    <w:rsid w:val="008B23EB"/>
    <w:rsid w:val="008B23FB"/>
    <w:rsid w:val="008B2456"/>
    <w:rsid w:val="008B3322"/>
    <w:rsid w:val="008B3386"/>
    <w:rsid w:val="008B4967"/>
    <w:rsid w:val="008B4FA5"/>
    <w:rsid w:val="008B5B7F"/>
    <w:rsid w:val="008B5F0E"/>
    <w:rsid w:val="008B640E"/>
    <w:rsid w:val="008B6B5B"/>
    <w:rsid w:val="008B74B8"/>
    <w:rsid w:val="008B7D97"/>
    <w:rsid w:val="008B7D99"/>
    <w:rsid w:val="008C0B8B"/>
    <w:rsid w:val="008C2012"/>
    <w:rsid w:val="008C2674"/>
    <w:rsid w:val="008C2AD2"/>
    <w:rsid w:val="008C2DAA"/>
    <w:rsid w:val="008C3C62"/>
    <w:rsid w:val="008C3C89"/>
    <w:rsid w:val="008C3F0D"/>
    <w:rsid w:val="008C4530"/>
    <w:rsid w:val="008C56E2"/>
    <w:rsid w:val="008C6162"/>
    <w:rsid w:val="008C6C9A"/>
    <w:rsid w:val="008D01DE"/>
    <w:rsid w:val="008D13C1"/>
    <w:rsid w:val="008D13C6"/>
    <w:rsid w:val="008D3971"/>
    <w:rsid w:val="008D3B54"/>
    <w:rsid w:val="008D4219"/>
    <w:rsid w:val="008D7D23"/>
    <w:rsid w:val="008E0A0C"/>
    <w:rsid w:val="008E0C9A"/>
    <w:rsid w:val="008E1C0A"/>
    <w:rsid w:val="008E2DB9"/>
    <w:rsid w:val="008E2EA9"/>
    <w:rsid w:val="008E4A32"/>
    <w:rsid w:val="008E52AE"/>
    <w:rsid w:val="008E5BED"/>
    <w:rsid w:val="008E60F5"/>
    <w:rsid w:val="008E67FC"/>
    <w:rsid w:val="008E765F"/>
    <w:rsid w:val="008E7F6B"/>
    <w:rsid w:val="008F0BE3"/>
    <w:rsid w:val="008F3974"/>
    <w:rsid w:val="008F41E1"/>
    <w:rsid w:val="008F4FD8"/>
    <w:rsid w:val="008F58C3"/>
    <w:rsid w:val="009003AE"/>
    <w:rsid w:val="009005F0"/>
    <w:rsid w:val="00902717"/>
    <w:rsid w:val="00903468"/>
    <w:rsid w:val="009049ED"/>
    <w:rsid w:val="00904B55"/>
    <w:rsid w:val="00904F1D"/>
    <w:rsid w:val="0090516C"/>
    <w:rsid w:val="00905B25"/>
    <w:rsid w:val="00907062"/>
    <w:rsid w:val="009076BD"/>
    <w:rsid w:val="00910065"/>
    <w:rsid w:val="0091051F"/>
    <w:rsid w:val="0091148C"/>
    <w:rsid w:val="00911FC3"/>
    <w:rsid w:val="009128FA"/>
    <w:rsid w:val="009134D6"/>
    <w:rsid w:val="0091355D"/>
    <w:rsid w:val="00913797"/>
    <w:rsid w:val="00914483"/>
    <w:rsid w:val="0091485C"/>
    <w:rsid w:val="00915C79"/>
    <w:rsid w:val="00916BA2"/>
    <w:rsid w:val="00917393"/>
    <w:rsid w:val="00917DAD"/>
    <w:rsid w:val="009206A5"/>
    <w:rsid w:val="00920ACE"/>
    <w:rsid w:val="00920D48"/>
    <w:rsid w:val="009211FE"/>
    <w:rsid w:val="00921553"/>
    <w:rsid w:val="0092269C"/>
    <w:rsid w:val="00922B49"/>
    <w:rsid w:val="00922F57"/>
    <w:rsid w:val="00923C7C"/>
    <w:rsid w:val="00923E75"/>
    <w:rsid w:val="00926B56"/>
    <w:rsid w:val="009275A7"/>
    <w:rsid w:val="009275FA"/>
    <w:rsid w:val="009276ED"/>
    <w:rsid w:val="00927BC7"/>
    <w:rsid w:val="00931A85"/>
    <w:rsid w:val="00931E95"/>
    <w:rsid w:val="009328B5"/>
    <w:rsid w:val="00932BD6"/>
    <w:rsid w:val="00933F4F"/>
    <w:rsid w:val="0093443D"/>
    <w:rsid w:val="009374CC"/>
    <w:rsid w:val="009400AF"/>
    <w:rsid w:val="00943480"/>
    <w:rsid w:val="00943AE2"/>
    <w:rsid w:val="00943D71"/>
    <w:rsid w:val="0094440A"/>
    <w:rsid w:val="00945840"/>
    <w:rsid w:val="00945D33"/>
    <w:rsid w:val="00946101"/>
    <w:rsid w:val="00950A9C"/>
    <w:rsid w:val="00950B45"/>
    <w:rsid w:val="00951783"/>
    <w:rsid w:val="0095204A"/>
    <w:rsid w:val="009528C0"/>
    <w:rsid w:val="0095428B"/>
    <w:rsid w:val="00954866"/>
    <w:rsid w:val="00955D04"/>
    <w:rsid w:val="009575C3"/>
    <w:rsid w:val="00957646"/>
    <w:rsid w:val="0096021B"/>
    <w:rsid w:val="0096081F"/>
    <w:rsid w:val="00961FEB"/>
    <w:rsid w:val="00962088"/>
    <w:rsid w:val="00962237"/>
    <w:rsid w:val="0096329C"/>
    <w:rsid w:val="009633C5"/>
    <w:rsid w:val="00963DE5"/>
    <w:rsid w:val="00964095"/>
    <w:rsid w:val="00964398"/>
    <w:rsid w:val="0096453D"/>
    <w:rsid w:val="00964B36"/>
    <w:rsid w:val="00965B0B"/>
    <w:rsid w:val="00966192"/>
    <w:rsid w:val="00966CCD"/>
    <w:rsid w:val="0097051A"/>
    <w:rsid w:val="009720EB"/>
    <w:rsid w:val="009723FA"/>
    <w:rsid w:val="0097258C"/>
    <w:rsid w:val="00972B5C"/>
    <w:rsid w:val="00974882"/>
    <w:rsid w:val="00974946"/>
    <w:rsid w:val="0097530E"/>
    <w:rsid w:val="00975BED"/>
    <w:rsid w:val="0097619D"/>
    <w:rsid w:val="00977254"/>
    <w:rsid w:val="00977C56"/>
    <w:rsid w:val="0098059F"/>
    <w:rsid w:val="00980A2C"/>
    <w:rsid w:val="00980E6A"/>
    <w:rsid w:val="0098124C"/>
    <w:rsid w:val="0098129D"/>
    <w:rsid w:val="00983D55"/>
    <w:rsid w:val="00984137"/>
    <w:rsid w:val="00985957"/>
    <w:rsid w:val="009865AB"/>
    <w:rsid w:val="009873D0"/>
    <w:rsid w:val="0099148B"/>
    <w:rsid w:val="009920E7"/>
    <w:rsid w:val="0099211E"/>
    <w:rsid w:val="00992C25"/>
    <w:rsid w:val="009938F5"/>
    <w:rsid w:val="00994105"/>
    <w:rsid w:val="00994633"/>
    <w:rsid w:val="00995374"/>
    <w:rsid w:val="009954F3"/>
    <w:rsid w:val="0099574B"/>
    <w:rsid w:val="00995826"/>
    <w:rsid w:val="0099693A"/>
    <w:rsid w:val="009973CC"/>
    <w:rsid w:val="00997C17"/>
    <w:rsid w:val="009A0D61"/>
    <w:rsid w:val="009A282B"/>
    <w:rsid w:val="009A47C8"/>
    <w:rsid w:val="009A5937"/>
    <w:rsid w:val="009A5DAF"/>
    <w:rsid w:val="009A6933"/>
    <w:rsid w:val="009A6AEA"/>
    <w:rsid w:val="009A746C"/>
    <w:rsid w:val="009B10F0"/>
    <w:rsid w:val="009B1D68"/>
    <w:rsid w:val="009B2601"/>
    <w:rsid w:val="009B2659"/>
    <w:rsid w:val="009B2DEF"/>
    <w:rsid w:val="009B36B5"/>
    <w:rsid w:val="009B38E3"/>
    <w:rsid w:val="009B3B26"/>
    <w:rsid w:val="009B4134"/>
    <w:rsid w:val="009B4498"/>
    <w:rsid w:val="009B48B2"/>
    <w:rsid w:val="009B5E4B"/>
    <w:rsid w:val="009B741A"/>
    <w:rsid w:val="009B743E"/>
    <w:rsid w:val="009B7E8D"/>
    <w:rsid w:val="009B7F40"/>
    <w:rsid w:val="009C29AC"/>
    <w:rsid w:val="009C3139"/>
    <w:rsid w:val="009C3D27"/>
    <w:rsid w:val="009C62FA"/>
    <w:rsid w:val="009C6C4B"/>
    <w:rsid w:val="009C75D5"/>
    <w:rsid w:val="009C7AAC"/>
    <w:rsid w:val="009C7F6E"/>
    <w:rsid w:val="009D0DD6"/>
    <w:rsid w:val="009D13E2"/>
    <w:rsid w:val="009D1643"/>
    <w:rsid w:val="009D1783"/>
    <w:rsid w:val="009D1F2C"/>
    <w:rsid w:val="009D25A5"/>
    <w:rsid w:val="009D53B9"/>
    <w:rsid w:val="009D581A"/>
    <w:rsid w:val="009D5B58"/>
    <w:rsid w:val="009E05EF"/>
    <w:rsid w:val="009E1454"/>
    <w:rsid w:val="009E235B"/>
    <w:rsid w:val="009E3132"/>
    <w:rsid w:val="009E39D9"/>
    <w:rsid w:val="009E3BFD"/>
    <w:rsid w:val="009E426D"/>
    <w:rsid w:val="009E5345"/>
    <w:rsid w:val="009E5A69"/>
    <w:rsid w:val="009E638B"/>
    <w:rsid w:val="009E7F6B"/>
    <w:rsid w:val="009F0038"/>
    <w:rsid w:val="009F035D"/>
    <w:rsid w:val="009F06C5"/>
    <w:rsid w:val="009F0E1E"/>
    <w:rsid w:val="009F13EF"/>
    <w:rsid w:val="009F1BB8"/>
    <w:rsid w:val="009F2404"/>
    <w:rsid w:val="009F24EB"/>
    <w:rsid w:val="009F2F55"/>
    <w:rsid w:val="009F4536"/>
    <w:rsid w:val="009F4E91"/>
    <w:rsid w:val="009F5632"/>
    <w:rsid w:val="009F5C0D"/>
    <w:rsid w:val="009F74FA"/>
    <w:rsid w:val="009F76D5"/>
    <w:rsid w:val="009F77F2"/>
    <w:rsid w:val="00A0003B"/>
    <w:rsid w:val="00A003EC"/>
    <w:rsid w:val="00A0142A"/>
    <w:rsid w:val="00A026E9"/>
    <w:rsid w:val="00A03105"/>
    <w:rsid w:val="00A0329D"/>
    <w:rsid w:val="00A04B2B"/>
    <w:rsid w:val="00A05942"/>
    <w:rsid w:val="00A05F9E"/>
    <w:rsid w:val="00A07885"/>
    <w:rsid w:val="00A07990"/>
    <w:rsid w:val="00A07C15"/>
    <w:rsid w:val="00A124A0"/>
    <w:rsid w:val="00A1268E"/>
    <w:rsid w:val="00A1316F"/>
    <w:rsid w:val="00A141CD"/>
    <w:rsid w:val="00A146BE"/>
    <w:rsid w:val="00A14CC2"/>
    <w:rsid w:val="00A1527E"/>
    <w:rsid w:val="00A15BB1"/>
    <w:rsid w:val="00A15FB3"/>
    <w:rsid w:val="00A16519"/>
    <w:rsid w:val="00A16E2C"/>
    <w:rsid w:val="00A17EAE"/>
    <w:rsid w:val="00A219C5"/>
    <w:rsid w:val="00A22644"/>
    <w:rsid w:val="00A25B5F"/>
    <w:rsid w:val="00A2699F"/>
    <w:rsid w:val="00A26BAB"/>
    <w:rsid w:val="00A27586"/>
    <w:rsid w:val="00A27A46"/>
    <w:rsid w:val="00A27D86"/>
    <w:rsid w:val="00A30023"/>
    <w:rsid w:val="00A30157"/>
    <w:rsid w:val="00A31A75"/>
    <w:rsid w:val="00A31E23"/>
    <w:rsid w:val="00A31F98"/>
    <w:rsid w:val="00A3214B"/>
    <w:rsid w:val="00A3355D"/>
    <w:rsid w:val="00A3366F"/>
    <w:rsid w:val="00A33B3A"/>
    <w:rsid w:val="00A33D8A"/>
    <w:rsid w:val="00A34349"/>
    <w:rsid w:val="00A34F9A"/>
    <w:rsid w:val="00A3506F"/>
    <w:rsid w:val="00A359E5"/>
    <w:rsid w:val="00A36163"/>
    <w:rsid w:val="00A361FD"/>
    <w:rsid w:val="00A4031C"/>
    <w:rsid w:val="00A421A8"/>
    <w:rsid w:val="00A423AB"/>
    <w:rsid w:val="00A427D6"/>
    <w:rsid w:val="00A43B24"/>
    <w:rsid w:val="00A445BB"/>
    <w:rsid w:val="00A457E8"/>
    <w:rsid w:val="00A45DCE"/>
    <w:rsid w:val="00A46346"/>
    <w:rsid w:val="00A4797C"/>
    <w:rsid w:val="00A51250"/>
    <w:rsid w:val="00A52D3B"/>
    <w:rsid w:val="00A533FE"/>
    <w:rsid w:val="00A54376"/>
    <w:rsid w:val="00A56415"/>
    <w:rsid w:val="00A564D3"/>
    <w:rsid w:val="00A56909"/>
    <w:rsid w:val="00A57B89"/>
    <w:rsid w:val="00A604D7"/>
    <w:rsid w:val="00A612AA"/>
    <w:rsid w:val="00A61736"/>
    <w:rsid w:val="00A62982"/>
    <w:rsid w:val="00A62E77"/>
    <w:rsid w:val="00A62FED"/>
    <w:rsid w:val="00A63751"/>
    <w:rsid w:val="00A638F9"/>
    <w:rsid w:val="00A64020"/>
    <w:rsid w:val="00A66203"/>
    <w:rsid w:val="00A670B9"/>
    <w:rsid w:val="00A70CC5"/>
    <w:rsid w:val="00A714B1"/>
    <w:rsid w:val="00A71942"/>
    <w:rsid w:val="00A72079"/>
    <w:rsid w:val="00A72124"/>
    <w:rsid w:val="00A73D0C"/>
    <w:rsid w:val="00A73F87"/>
    <w:rsid w:val="00A74595"/>
    <w:rsid w:val="00A74BC7"/>
    <w:rsid w:val="00A75513"/>
    <w:rsid w:val="00A76C23"/>
    <w:rsid w:val="00A803F9"/>
    <w:rsid w:val="00A809AE"/>
    <w:rsid w:val="00A80FBD"/>
    <w:rsid w:val="00A8272F"/>
    <w:rsid w:val="00A82C22"/>
    <w:rsid w:val="00A843D2"/>
    <w:rsid w:val="00A84F12"/>
    <w:rsid w:val="00A853A1"/>
    <w:rsid w:val="00A85D83"/>
    <w:rsid w:val="00A86FAC"/>
    <w:rsid w:val="00A87B90"/>
    <w:rsid w:val="00A87E06"/>
    <w:rsid w:val="00A900C0"/>
    <w:rsid w:val="00A90226"/>
    <w:rsid w:val="00A903F5"/>
    <w:rsid w:val="00A90F42"/>
    <w:rsid w:val="00A923D4"/>
    <w:rsid w:val="00A936AB"/>
    <w:rsid w:val="00A93C60"/>
    <w:rsid w:val="00A94B4B"/>
    <w:rsid w:val="00A951DF"/>
    <w:rsid w:val="00A95361"/>
    <w:rsid w:val="00A95E11"/>
    <w:rsid w:val="00AA08D9"/>
    <w:rsid w:val="00AA0BEE"/>
    <w:rsid w:val="00AA1BC3"/>
    <w:rsid w:val="00AA2AE5"/>
    <w:rsid w:val="00AA391F"/>
    <w:rsid w:val="00AA3AE3"/>
    <w:rsid w:val="00AA4766"/>
    <w:rsid w:val="00AA4DA9"/>
    <w:rsid w:val="00AA5792"/>
    <w:rsid w:val="00AA579D"/>
    <w:rsid w:val="00AA6098"/>
    <w:rsid w:val="00AA67E9"/>
    <w:rsid w:val="00AA7317"/>
    <w:rsid w:val="00AB05E2"/>
    <w:rsid w:val="00AB06CF"/>
    <w:rsid w:val="00AB09D5"/>
    <w:rsid w:val="00AB13CE"/>
    <w:rsid w:val="00AB22D3"/>
    <w:rsid w:val="00AB2376"/>
    <w:rsid w:val="00AB312F"/>
    <w:rsid w:val="00AB33A1"/>
    <w:rsid w:val="00AB353A"/>
    <w:rsid w:val="00AB425C"/>
    <w:rsid w:val="00AB4266"/>
    <w:rsid w:val="00AB47D9"/>
    <w:rsid w:val="00AB48C7"/>
    <w:rsid w:val="00AB4D07"/>
    <w:rsid w:val="00AB568A"/>
    <w:rsid w:val="00AB6591"/>
    <w:rsid w:val="00AB6A59"/>
    <w:rsid w:val="00AB7197"/>
    <w:rsid w:val="00AC011E"/>
    <w:rsid w:val="00AC0A30"/>
    <w:rsid w:val="00AC2859"/>
    <w:rsid w:val="00AC5320"/>
    <w:rsid w:val="00AC65EB"/>
    <w:rsid w:val="00AC73B8"/>
    <w:rsid w:val="00AC755D"/>
    <w:rsid w:val="00AC7D02"/>
    <w:rsid w:val="00AC7EB8"/>
    <w:rsid w:val="00AD0308"/>
    <w:rsid w:val="00AD0D45"/>
    <w:rsid w:val="00AD48B6"/>
    <w:rsid w:val="00AD51CB"/>
    <w:rsid w:val="00AE0DB9"/>
    <w:rsid w:val="00AE1516"/>
    <w:rsid w:val="00AE1B4C"/>
    <w:rsid w:val="00AE1EFF"/>
    <w:rsid w:val="00AE203C"/>
    <w:rsid w:val="00AE2BBD"/>
    <w:rsid w:val="00AE3FE8"/>
    <w:rsid w:val="00AE5179"/>
    <w:rsid w:val="00AE5CD7"/>
    <w:rsid w:val="00AE75C9"/>
    <w:rsid w:val="00AE7935"/>
    <w:rsid w:val="00AE7DF2"/>
    <w:rsid w:val="00AF07F5"/>
    <w:rsid w:val="00AF1DAD"/>
    <w:rsid w:val="00AF3055"/>
    <w:rsid w:val="00AF3761"/>
    <w:rsid w:val="00AF4303"/>
    <w:rsid w:val="00AF4FE9"/>
    <w:rsid w:val="00AF67A7"/>
    <w:rsid w:val="00AF7AB5"/>
    <w:rsid w:val="00B007D6"/>
    <w:rsid w:val="00B02561"/>
    <w:rsid w:val="00B03052"/>
    <w:rsid w:val="00B03270"/>
    <w:rsid w:val="00B0349A"/>
    <w:rsid w:val="00B036FF"/>
    <w:rsid w:val="00B03F92"/>
    <w:rsid w:val="00B03FDF"/>
    <w:rsid w:val="00B047C4"/>
    <w:rsid w:val="00B04D0B"/>
    <w:rsid w:val="00B05C1B"/>
    <w:rsid w:val="00B060DC"/>
    <w:rsid w:val="00B06C4C"/>
    <w:rsid w:val="00B06DD0"/>
    <w:rsid w:val="00B072B7"/>
    <w:rsid w:val="00B07702"/>
    <w:rsid w:val="00B07985"/>
    <w:rsid w:val="00B07B93"/>
    <w:rsid w:val="00B1086A"/>
    <w:rsid w:val="00B10B92"/>
    <w:rsid w:val="00B11802"/>
    <w:rsid w:val="00B121CF"/>
    <w:rsid w:val="00B12964"/>
    <w:rsid w:val="00B14796"/>
    <w:rsid w:val="00B14F52"/>
    <w:rsid w:val="00B16810"/>
    <w:rsid w:val="00B17113"/>
    <w:rsid w:val="00B21AA8"/>
    <w:rsid w:val="00B21D13"/>
    <w:rsid w:val="00B2205D"/>
    <w:rsid w:val="00B22858"/>
    <w:rsid w:val="00B233D5"/>
    <w:rsid w:val="00B24F91"/>
    <w:rsid w:val="00B25513"/>
    <w:rsid w:val="00B25DCF"/>
    <w:rsid w:val="00B25FCF"/>
    <w:rsid w:val="00B26DAC"/>
    <w:rsid w:val="00B26FEC"/>
    <w:rsid w:val="00B30940"/>
    <w:rsid w:val="00B30F9A"/>
    <w:rsid w:val="00B320A4"/>
    <w:rsid w:val="00B3274C"/>
    <w:rsid w:val="00B328C0"/>
    <w:rsid w:val="00B32A79"/>
    <w:rsid w:val="00B32FD9"/>
    <w:rsid w:val="00B338BE"/>
    <w:rsid w:val="00B33D01"/>
    <w:rsid w:val="00B3477D"/>
    <w:rsid w:val="00B353F2"/>
    <w:rsid w:val="00B3638B"/>
    <w:rsid w:val="00B3674E"/>
    <w:rsid w:val="00B36A19"/>
    <w:rsid w:val="00B377F1"/>
    <w:rsid w:val="00B379B2"/>
    <w:rsid w:val="00B40B97"/>
    <w:rsid w:val="00B40E56"/>
    <w:rsid w:val="00B41D67"/>
    <w:rsid w:val="00B41E86"/>
    <w:rsid w:val="00B43261"/>
    <w:rsid w:val="00B439BE"/>
    <w:rsid w:val="00B44180"/>
    <w:rsid w:val="00B4515A"/>
    <w:rsid w:val="00B45EF8"/>
    <w:rsid w:val="00B464C3"/>
    <w:rsid w:val="00B47196"/>
    <w:rsid w:val="00B47739"/>
    <w:rsid w:val="00B47A54"/>
    <w:rsid w:val="00B47A5D"/>
    <w:rsid w:val="00B50639"/>
    <w:rsid w:val="00B50895"/>
    <w:rsid w:val="00B518CE"/>
    <w:rsid w:val="00B51F55"/>
    <w:rsid w:val="00B53362"/>
    <w:rsid w:val="00B5360F"/>
    <w:rsid w:val="00B540F5"/>
    <w:rsid w:val="00B54375"/>
    <w:rsid w:val="00B56F22"/>
    <w:rsid w:val="00B572AB"/>
    <w:rsid w:val="00B57A34"/>
    <w:rsid w:val="00B608B6"/>
    <w:rsid w:val="00B611F4"/>
    <w:rsid w:val="00B61D94"/>
    <w:rsid w:val="00B62D9B"/>
    <w:rsid w:val="00B64322"/>
    <w:rsid w:val="00B66769"/>
    <w:rsid w:val="00B669BF"/>
    <w:rsid w:val="00B66ADF"/>
    <w:rsid w:val="00B66C72"/>
    <w:rsid w:val="00B701C4"/>
    <w:rsid w:val="00B70397"/>
    <w:rsid w:val="00B71247"/>
    <w:rsid w:val="00B721D1"/>
    <w:rsid w:val="00B726B0"/>
    <w:rsid w:val="00B733FA"/>
    <w:rsid w:val="00B73586"/>
    <w:rsid w:val="00B73855"/>
    <w:rsid w:val="00B73CC8"/>
    <w:rsid w:val="00B7479A"/>
    <w:rsid w:val="00B754C8"/>
    <w:rsid w:val="00B763D9"/>
    <w:rsid w:val="00B80052"/>
    <w:rsid w:val="00B81627"/>
    <w:rsid w:val="00B83719"/>
    <w:rsid w:val="00B8415B"/>
    <w:rsid w:val="00B84398"/>
    <w:rsid w:val="00B84478"/>
    <w:rsid w:val="00B8461E"/>
    <w:rsid w:val="00B86BC1"/>
    <w:rsid w:val="00B87E94"/>
    <w:rsid w:val="00B90310"/>
    <w:rsid w:val="00B917F9"/>
    <w:rsid w:val="00B91BE3"/>
    <w:rsid w:val="00B92CFB"/>
    <w:rsid w:val="00B92DF7"/>
    <w:rsid w:val="00B93581"/>
    <w:rsid w:val="00B94C99"/>
    <w:rsid w:val="00B9698A"/>
    <w:rsid w:val="00BA1759"/>
    <w:rsid w:val="00BA1929"/>
    <w:rsid w:val="00BA1E33"/>
    <w:rsid w:val="00BA2C70"/>
    <w:rsid w:val="00BA2E42"/>
    <w:rsid w:val="00BA338A"/>
    <w:rsid w:val="00BA3A78"/>
    <w:rsid w:val="00BA5B5D"/>
    <w:rsid w:val="00BA642A"/>
    <w:rsid w:val="00BA68E4"/>
    <w:rsid w:val="00BA6BF0"/>
    <w:rsid w:val="00BA797A"/>
    <w:rsid w:val="00BB06C4"/>
    <w:rsid w:val="00BB1BDE"/>
    <w:rsid w:val="00BB341B"/>
    <w:rsid w:val="00BB3BF1"/>
    <w:rsid w:val="00BB5E7B"/>
    <w:rsid w:val="00BB65EC"/>
    <w:rsid w:val="00BB6890"/>
    <w:rsid w:val="00BB7C36"/>
    <w:rsid w:val="00BC0513"/>
    <w:rsid w:val="00BC1469"/>
    <w:rsid w:val="00BC2D46"/>
    <w:rsid w:val="00BC31AB"/>
    <w:rsid w:val="00BC3B58"/>
    <w:rsid w:val="00BC4001"/>
    <w:rsid w:val="00BC4DA4"/>
    <w:rsid w:val="00BC7491"/>
    <w:rsid w:val="00BC7D61"/>
    <w:rsid w:val="00BD1330"/>
    <w:rsid w:val="00BD1C03"/>
    <w:rsid w:val="00BD267E"/>
    <w:rsid w:val="00BD5476"/>
    <w:rsid w:val="00BD7AA8"/>
    <w:rsid w:val="00BD7ED1"/>
    <w:rsid w:val="00BE0321"/>
    <w:rsid w:val="00BE06E8"/>
    <w:rsid w:val="00BE07C8"/>
    <w:rsid w:val="00BE190D"/>
    <w:rsid w:val="00BE2033"/>
    <w:rsid w:val="00BE2A46"/>
    <w:rsid w:val="00BE2D1D"/>
    <w:rsid w:val="00BE40A7"/>
    <w:rsid w:val="00BE43A7"/>
    <w:rsid w:val="00BE4400"/>
    <w:rsid w:val="00BE4619"/>
    <w:rsid w:val="00BE4993"/>
    <w:rsid w:val="00BE49CD"/>
    <w:rsid w:val="00BE516A"/>
    <w:rsid w:val="00BE53BA"/>
    <w:rsid w:val="00BE5A07"/>
    <w:rsid w:val="00BE5AF7"/>
    <w:rsid w:val="00BE633E"/>
    <w:rsid w:val="00BE6C08"/>
    <w:rsid w:val="00BE6F30"/>
    <w:rsid w:val="00BE749F"/>
    <w:rsid w:val="00BF0284"/>
    <w:rsid w:val="00BF0310"/>
    <w:rsid w:val="00BF2853"/>
    <w:rsid w:val="00BF2BAD"/>
    <w:rsid w:val="00BF4971"/>
    <w:rsid w:val="00BF5EDE"/>
    <w:rsid w:val="00BF74D1"/>
    <w:rsid w:val="00BF75BF"/>
    <w:rsid w:val="00C0031B"/>
    <w:rsid w:val="00C012F1"/>
    <w:rsid w:val="00C0336C"/>
    <w:rsid w:val="00C03DFF"/>
    <w:rsid w:val="00C0451B"/>
    <w:rsid w:val="00C04F32"/>
    <w:rsid w:val="00C066D0"/>
    <w:rsid w:val="00C06EFF"/>
    <w:rsid w:val="00C0735A"/>
    <w:rsid w:val="00C10240"/>
    <w:rsid w:val="00C11C1D"/>
    <w:rsid w:val="00C12AB7"/>
    <w:rsid w:val="00C13863"/>
    <w:rsid w:val="00C13CA4"/>
    <w:rsid w:val="00C14484"/>
    <w:rsid w:val="00C15262"/>
    <w:rsid w:val="00C17D02"/>
    <w:rsid w:val="00C2027D"/>
    <w:rsid w:val="00C21A6B"/>
    <w:rsid w:val="00C22429"/>
    <w:rsid w:val="00C2469A"/>
    <w:rsid w:val="00C25990"/>
    <w:rsid w:val="00C26E2F"/>
    <w:rsid w:val="00C27392"/>
    <w:rsid w:val="00C27732"/>
    <w:rsid w:val="00C30D0F"/>
    <w:rsid w:val="00C311A1"/>
    <w:rsid w:val="00C3169E"/>
    <w:rsid w:val="00C31FFE"/>
    <w:rsid w:val="00C32E56"/>
    <w:rsid w:val="00C337B6"/>
    <w:rsid w:val="00C33C8F"/>
    <w:rsid w:val="00C33E2E"/>
    <w:rsid w:val="00C3466B"/>
    <w:rsid w:val="00C348EC"/>
    <w:rsid w:val="00C3597E"/>
    <w:rsid w:val="00C3612C"/>
    <w:rsid w:val="00C3692C"/>
    <w:rsid w:val="00C36EF4"/>
    <w:rsid w:val="00C40C01"/>
    <w:rsid w:val="00C413D1"/>
    <w:rsid w:val="00C43CD4"/>
    <w:rsid w:val="00C440C4"/>
    <w:rsid w:val="00C443D0"/>
    <w:rsid w:val="00C445D4"/>
    <w:rsid w:val="00C446DC"/>
    <w:rsid w:val="00C45761"/>
    <w:rsid w:val="00C45B56"/>
    <w:rsid w:val="00C45EDF"/>
    <w:rsid w:val="00C45F1E"/>
    <w:rsid w:val="00C4629D"/>
    <w:rsid w:val="00C467FC"/>
    <w:rsid w:val="00C471F8"/>
    <w:rsid w:val="00C47283"/>
    <w:rsid w:val="00C4746C"/>
    <w:rsid w:val="00C47A8A"/>
    <w:rsid w:val="00C51C1B"/>
    <w:rsid w:val="00C521CA"/>
    <w:rsid w:val="00C526B1"/>
    <w:rsid w:val="00C52C6C"/>
    <w:rsid w:val="00C530EE"/>
    <w:rsid w:val="00C53EB2"/>
    <w:rsid w:val="00C57112"/>
    <w:rsid w:val="00C6017D"/>
    <w:rsid w:val="00C60819"/>
    <w:rsid w:val="00C609FB"/>
    <w:rsid w:val="00C626E5"/>
    <w:rsid w:val="00C62B43"/>
    <w:rsid w:val="00C63686"/>
    <w:rsid w:val="00C638E6"/>
    <w:rsid w:val="00C6468F"/>
    <w:rsid w:val="00C64697"/>
    <w:rsid w:val="00C6763F"/>
    <w:rsid w:val="00C67753"/>
    <w:rsid w:val="00C678E9"/>
    <w:rsid w:val="00C70C91"/>
    <w:rsid w:val="00C7124C"/>
    <w:rsid w:val="00C71AEC"/>
    <w:rsid w:val="00C71C99"/>
    <w:rsid w:val="00C72673"/>
    <w:rsid w:val="00C72AAD"/>
    <w:rsid w:val="00C732C7"/>
    <w:rsid w:val="00C7346C"/>
    <w:rsid w:val="00C73F17"/>
    <w:rsid w:val="00C74782"/>
    <w:rsid w:val="00C74A99"/>
    <w:rsid w:val="00C7675C"/>
    <w:rsid w:val="00C770D1"/>
    <w:rsid w:val="00C776DE"/>
    <w:rsid w:val="00C77BF4"/>
    <w:rsid w:val="00C80089"/>
    <w:rsid w:val="00C8059C"/>
    <w:rsid w:val="00C805FB"/>
    <w:rsid w:val="00C8132A"/>
    <w:rsid w:val="00C8286D"/>
    <w:rsid w:val="00C829C8"/>
    <w:rsid w:val="00C82A71"/>
    <w:rsid w:val="00C82AEF"/>
    <w:rsid w:val="00C82F24"/>
    <w:rsid w:val="00C84AE6"/>
    <w:rsid w:val="00C87C88"/>
    <w:rsid w:val="00C906CB"/>
    <w:rsid w:val="00C90E2E"/>
    <w:rsid w:val="00C90EC4"/>
    <w:rsid w:val="00C92956"/>
    <w:rsid w:val="00C92CB9"/>
    <w:rsid w:val="00C93652"/>
    <w:rsid w:val="00C93B40"/>
    <w:rsid w:val="00C95693"/>
    <w:rsid w:val="00C97A54"/>
    <w:rsid w:val="00C97C19"/>
    <w:rsid w:val="00CA0F9C"/>
    <w:rsid w:val="00CA1AE5"/>
    <w:rsid w:val="00CA1C59"/>
    <w:rsid w:val="00CA27FB"/>
    <w:rsid w:val="00CA325C"/>
    <w:rsid w:val="00CA38C8"/>
    <w:rsid w:val="00CA3C03"/>
    <w:rsid w:val="00CA4C18"/>
    <w:rsid w:val="00CA4E0A"/>
    <w:rsid w:val="00CA58B8"/>
    <w:rsid w:val="00CA73B0"/>
    <w:rsid w:val="00CA7E5E"/>
    <w:rsid w:val="00CB01A6"/>
    <w:rsid w:val="00CB098D"/>
    <w:rsid w:val="00CB0F13"/>
    <w:rsid w:val="00CB1FEB"/>
    <w:rsid w:val="00CB240E"/>
    <w:rsid w:val="00CB292B"/>
    <w:rsid w:val="00CB38BA"/>
    <w:rsid w:val="00CB3C04"/>
    <w:rsid w:val="00CB78F4"/>
    <w:rsid w:val="00CB7BC8"/>
    <w:rsid w:val="00CC0506"/>
    <w:rsid w:val="00CC09BD"/>
    <w:rsid w:val="00CC0B96"/>
    <w:rsid w:val="00CC16A6"/>
    <w:rsid w:val="00CC2205"/>
    <w:rsid w:val="00CC2495"/>
    <w:rsid w:val="00CC3272"/>
    <w:rsid w:val="00CC3548"/>
    <w:rsid w:val="00CC394D"/>
    <w:rsid w:val="00CC3E6F"/>
    <w:rsid w:val="00CC4FEA"/>
    <w:rsid w:val="00CC5E10"/>
    <w:rsid w:val="00CC69B0"/>
    <w:rsid w:val="00CC6A63"/>
    <w:rsid w:val="00CC6F92"/>
    <w:rsid w:val="00CC731A"/>
    <w:rsid w:val="00CC7923"/>
    <w:rsid w:val="00CC79D1"/>
    <w:rsid w:val="00CD0E63"/>
    <w:rsid w:val="00CD26C5"/>
    <w:rsid w:val="00CD3969"/>
    <w:rsid w:val="00CD3D80"/>
    <w:rsid w:val="00CD5739"/>
    <w:rsid w:val="00CD5CAE"/>
    <w:rsid w:val="00CD6202"/>
    <w:rsid w:val="00CD629C"/>
    <w:rsid w:val="00CD63B6"/>
    <w:rsid w:val="00CE055E"/>
    <w:rsid w:val="00CE12D7"/>
    <w:rsid w:val="00CE15C3"/>
    <w:rsid w:val="00CE1676"/>
    <w:rsid w:val="00CE2116"/>
    <w:rsid w:val="00CE3811"/>
    <w:rsid w:val="00CE3815"/>
    <w:rsid w:val="00CE58FA"/>
    <w:rsid w:val="00CF1B39"/>
    <w:rsid w:val="00CF2618"/>
    <w:rsid w:val="00CF37D1"/>
    <w:rsid w:val="00CF4036"/>
    <w:rsid w:val="00CF4E44"/>
    <w:rsid w:val="00CF5617"/>
    <w:rsid w:val="00CF6D7E"/>
    <w:rsid w:val="00CF7136"/>
    <w:rsid w:val="00CF74C5"/>
    <w:rsid w:val="00D0064F"/>
    <w:rsid w:val="00D01524"/>
    <w:rsid w:val="00D0377A"/>
    <w:rsid w:val="00D03B25"/>
    <w:rsid w:val="00D042E2"/>
    <w:rsid w:val="00D043EE"/>
    <w:rsid w:val="00D04421"/>
    <w:rsid w:val="00D046E1"/>
    <w:rsid w:val="00D04748"/>
    <w:rsid w:val="00D047E5"/>
    <w:rsid w:val="00D04A9E"/>
    <w:rsid w:val="00D051C2"/>
    <w:rsid w:val="00D067B5"/>
    <w:rsid w:val="00D06878"/>
    <w:rsid w:val="00D069E5"/>
    <w:rsid w:val="00D06C46"/>
    <w:rsid w:val="00D06CF6"/>
    <w:rsid w:val="00D06EF2"/>
    <w:rsid w:val="00D104B1"/>
    <w:rsid w:val="00D1068A"/>
    <w:rsid w:val="00D11E93"/>
    <w:rsid w:val="00D12123"/>
    <w:rsid w:val="00D1261D"/>
    <w:rsid w:val="00D126E1"/>
    <w:rsid w:val="00D12774"/>
    <w:rsid w:val="00D12BBA"/>
    <w:rsid w:val="00D14E5D"/>
    <w:rsid w:val="00D17E9D"/>
    <w:rsid w:val="00D20C29"/>
    <w:rsid w:val="00D220DD"/>
    <w:rsid w:val="00D2415F"/>
    <w:rsid w:val="00D24627"/>
    <w:rsid w:val="00D246FD"/>
    <w:rsid w:val="00D24A13"/>
    <w:rsid w:val="00D25AD0"/>
    <w:rsid w:val="00D2634F"/>
    <w:rsid w:val="00D26728"/>
    <w:rsid w:val="00D26D22"/>
    <w:rsid w:val="00D26ED6"/>
    <w:rsid w:val="00D31209"/>
    <w:rsid w:val="00D31329"/>
    <w:rsid w:val="00D317F1"/>
    <w:rsid w:val="00D31A9A"/>
    <w:rsid w:val="00D31F88"/>
    <w:rsid w:val="00D32A08"/>
    <w:rsid w:val="00D33406"/>
    <w:rsid w:val="00D33D36"/>
    <w:rsid w:val="00D3453E"/>
    <w:rsid w:val="00D36473"/>
    <w:rsid w:val="00D36EC5"/>
    <w:rsid w:val="00D3724F"/>
    <w:rsid w:val="00D376D1"/>
    <w:rsid w:val="00D41DC0"/>
    <w:rsid w:val="00D432B5"/>
    <w:rsid w:val="00D432B9"/>
    <w:rsid w:val="00D43CAB"/>
    <w:rsid w:val="00D445AE"/>
    <w:rsid w:val="00D44BA2"/>
    <w:rsid w:val="00D44DE7"/>
    <w:rsid w:val="00D45B1B"/>
    <w:rsid w:val="00D45E29"/>
    <w:rsid w:val="00D47268"/>
    <w:rsid w:val="00D52E63"/>
    <w:rsid w:val="00D54766"/>
    <w:rsid w:val="00D54CA1"/>
    <w:rsid w:val="00D55C64"/>
    <w:rsid w:val="00D6013E"/>
    <w:rsid w:val="00D612BC"/>
    <w:rsid w:val="00D61308"/>
    <w:rsid w:val="00D6148F"/>
    <w:rsid w:val="00D61911"/>
    <w:rsid w:val="00D62539"/>
    <w:rsid w:val="00D6314D"/>
    <w:rsid w:val="00D6332F"/>
    <w:rsid w:val="00D63D18"/>
    <w:rsid w:val="00D6462D"/>
    <w:rsid w:val="00D647BB"/>
    <w:rsid w:val="00D64828"/>
    <w:rsid w:val="00D6486A"/>
    <w:rsid w:val="00D65F0D"/>
    <w:rsid w:val="00D6644B"/>
    <w:rsid w:val="00D66D74"/>
    <w:rsid w:val="00D67A70"/>
    <w:rsid w:val="00D704F4"/>
    <w:rsid w:val="00D72F40"/>
    <w:rsid w:val="00D73935"/>
    <w:rsid w:val="00D73E62"/>
    <w:rsid w:val="00D7453A"/>
    <w:rsid w:val="00D7529C"/>
    <w:rsid w:val="00D754D8"/>
    <w:rsid w:val="00D75741"/>
    <w:rsid w:val="00D771FB"/>
    <w:rsid w:val="00D80F70"/>
    <w:rsid w:val="00D810CD"/>
    <w:rsid w:val="00D834B3"/>
    <w:rsid w:val="00D84527"/>
    <w:rsid w:val="00D854FF"/>
    <w:rsid w:val="00D86242"/>
    <w:rsid w:val="00D865C0"/>
    <w:rsid w:val="00D86756"/>
    <w:rsid w:val="00D86C96"/>
    <w:rsid w:val="00D86E04"/>
    <w:rsid w:val="00D8789D"/>
    <w:rsid w:val="00D90BB8"/>
    <w:rsid w:val="00D920DD"/>
    <w:rsid w:val="00D924BD"/>
    <w:rsid w:val="00D93A08"/>
    <w:rsid w:val="00D93FFD"/>
    <w:rsid w:val="00D94E03"/>
    <w:rsid w:val="00D9501F"/>
    <w:rsid w:val="00D95284"/>
    <w:rsid w:val="00D95995"/>
    <w:rsid w:val="00D96E4C"/>
    <w:rsid w:val="00DA01DE"/>
    <w:rsid w:val="00DA0423"/>
    <w:rsid w:val="00DA0C4B"/>
    <w:rsid w:val="00DA20D8"/>
    <w:rsid w:val="00DA3936"/>
    <w:rsid w:val="00DA734C"/>
    <w:rsid w:val="00DB0230"/>
    <w:rsid w:val="00DB1461"/>
    <w:rsid w:val="00DB307D"/>
    <w:rsid w:val="00DB3B4D"/>
    <w:rsid w:val="00DB3D93"/>
    <w:rsid w:val="00DB50EF"/>
    <w:rsid w:val="00DB5E03"/>
    <w:rsid w:val="00DB63F9"/>
    <w:rsid w:val="00DB6F04"/>
    <w:rsid w:val="00DB7E77"/>
    <w:rsid w:val="00DC042D"/>
    <w:rsid w:val="00DC049C"/>
    <w:rsid w:val="00DC0B59"/>
    <w:rsid w:val="00DC2092"/>
    <w:rsid w:val="00DC2C95"/>
    <w:rsid w:val="00DC34E4"/>
    <w:rsid w:val="00DC532C"/>
    <w:rsid w:val="00DC5929"/>
    <w:rsid w:val="00DC5B11"/>
    <w:rsid w:val="00DC6A2D"/>
    <w:rsid w:val="00DC6EDE"/>
    <w:rsid w:val="00DC7FD1"/>
    <w:rsid w:val="00DD04E3"/>
    <w:rsid w:val="00DD0756"/>
    <w:rsid w:val="00DD0B90"/>
    <w:rsid w:val="00DD14D2"/>
    <w:rsid w:val="00DD15B1"/>
    <w:rsid w:val="00DD1CF1"/>
    <w:rsid w:val="00DD2D68"/>
    <w:rsid w:val="00DD50C4"/>
    <w:rsid w:val="00DD5342"/>
    <w:rsid w:val="00DD54E5"/>
    <w:rsid w:val="00DD5A7E"/>
    <w:rsid w:val="00DD62A9"/>
    <w:rsid w:val="00DD70C7"/>
    <w:rsid w:val="00DD7B65"/>
    <w:rsid w:val="00DE090D"/>
    <w:rsid w:val="00DE0CD2"/>
    <w:rsid w:val="00DE13BB"/>
    <w:rsid w:val="00DE1437"/>
    <w:rsid w:val="00DE156F"/>
    <w:rsid w:val="00DE21CD"/>
    <w:rsid w:val="00DE3C6F"/>
    <w:rsid w:val="00DE49BF"/>
    <w:rsid w:val="00DE608E"/>
    <w:rsid w:val="00DE657B"/>
    <w:rsid w:val="00DE7EFF"/>
    <w:rsid w:val="00DF4E89"/>
    <w:rsid w:val="00DF5B85"/>
    <w:rsid w:val="00DF5D36"/>
    <w:rsid w:val="00E01B0A"/>
    <w:rsid w:val="00E0291E"/>
    <w:rsid w:val="00E03201"/>
    <w:rsid w:val="00E03514"/>
    <w:rsid w:val="00E03C7B"/>
    <w:rsid w:val="00E04723"/>
    <w:rsid w:val="00E0497C"/>
    <w:rsid w:val="00E04DEF"/>
    <w:rsid w:val="00E06FDE"/>
    <w:rsid w:val="00E07982"/>
    <w:rsid w:val="00E07B8A"/>
    <w:rsid w:val="00E10D2E"/>
    <w:rsid w:val="00E123D3"/>
    <w:rsid w:val="00E1287B"/>
    <w:rsid w:val="00E12F3C"/>
    <w:rsid w:val="00E1439A"/>
    <w:rsid w:val="00E14932"/>
    <w:rsid w:val="00E14AE8"/>
    <w:rsid w:val="00E15D87"/>
    <w:rsid w:val="00E15F3B"/>
    <w:rsid w:val="00E16144"/>
    <w:rsid w:val="00E2052B"/>
    <w:rsid w:val="00E2133C"/>
    <w:rsid w:val="00E22ABB"/>
    <w:rsid w:val="00E23BA1"/>
    <w:rsid w:val="00E24B0F"/>
    <w:rsid w:val="00E255A5"/>
    <w:rsid w:val="00E26D47"/>
    <w:rsid w:val="00E27019"/>
    <w:rsid w:val="00E27EC1"/>
    <w:rsid w:val="00E30B2C"/>
    <w:rsid w:val="00E30EB8"/>
    <w:rsid w:val="00E30FEE"/>
    <w:rsid w:val="00E31044"/>
    <w:rsid w:val="00E32426"/>
    <w:rsid w:val="00E327F8"/>
    <w:rsid w:val="00E333FB"/>
    <w:rsid w:val="00E3348E"/>
    <w:rsid w:val="00E33FAB"/>
    <w:rsid w:val="00E34210"/>
    <w:rsid w:val="00E3687A"/>
    <w:rsid w:val="00E36D1C"/>
    <w:rsid w:val="00E37C97"/>
    <w:rsid w:val="00E4000B"/>
    <w:rsid w:val="00E40D4D"/>
    <w:rsid w:val="00E4131E"/>
    <w:rsid w:val="00E41E14"/>
    <w:rsid w:val="00E42094"/>
    <w:rsid w:val="00E423D8"/>
    <w:rsid w:val="00E426FD"/>
    <w:rsid w:val="00E4671E"/>
    <w:rsid w:val="00E46C48"/>
    <w:rsid w:val="00E46EF7"/>
    <w:rsid w:val="00E4744A"/>
    <w:rsid w:val="00E478C2"/>
    <w:rsid w:val="00E511A2"/>
    <w:rsid w:val="00E52EFF"/>
    <w:rsid w:val="00E53C37"/>
    <w:rsid w:val="00E55814"/>
    <w:rsid w:val="00E61E8A"/>
    <w:rsid w:val="00E6370B"/>
    <w:rsid w:val="00E64238"/>
    <w:rsid w:val="00E65660"/>
    <w:rsid w:val="00E65A30"/>
    <w:rsid w:val="00E66859"/>
    <w:rsid w:val="00E66E62"/>
    <w:rsid w:val="00E6775F"/>
    <w:rsid w:val="00E679A4"/>
    <w:rsid w:val="00E71331"/>
    <w:rsid w:val="00E7161F"/>
    <w:rsid w:val="00E717D9"/>
    <w:rsid w:val="00E744E8"/>
    <w:rsid w:val="00E752DA"/>
    <w:rsid w:val="00E754C7"/>
    <w:rsid w:val="00E7572F"/>
    <w:rsid w:val="00E75735"/>
    <w:rsid w:val="00E762DA"/>
    <w:rsid w:val="00E766BC"/>
    <w:rsid w:val="00E80492"/>
    <w:rsid w:val="00E8052B"/>
    <w:rsid w:val="00E805B3"/>
    <w:rsid w:val="00E80E69"/>
    <w:rsid w:val="00E81689"/>
    <w:rsid w:val="00E81A71"/>
    <w:rsid w:val="00E83585"/>
    <w:rsid w:val="00E84D1D"/>
    <w:rsid w:val="00E84F9D"/>
    <w:rsid w:val="00E861E1"/>
    <w:rsid w:val="00E86321"/>
    <w:rsid w:val="00E91614"/>
    <w:rsid w:val="00E92ED1"/>
    <w:rsid w:val="00E93888"/>
    <w:rsid w:val="00E939A5"/>
    <w:rsid w:val="00E9437A"/>
    <w:rsid w:val="00E94EBA"/>
    <w:rsid w:val="00E96457"/>
    <w:rsid w:val="00E97530"/>
    <w:rsid w:val="00EA00F6"/>
    <w:rsid w:val="00EA24BB"/>
    <w:rsid w:val="00EA2D62"/>
    <w:rsid w:val="00EA337C"/>
    <w:rsid w:val="00EA36F9"/>
    <w:rsid w:val="00EA38E9"/>
    <w:rsid w:val="00EA3E7A"/>
    <w:rsid w:val="00EA4F26"/>
    <w:rsid w:val="00EA50CC"/>
    <w:rsid w:val="00EA5EA2"/>
    <w:rsid w:val="00EA64B5"/>
    <w:rsid w:val="00EA661A"/>
    <w:rsid w:val="00EA76C6"/>
    <w:rsid w:val="00EB1D21"/>
    <w:rsid w:val="00EB2789"/>
    <w:rsid w:val="00EB2C26"/>
    <w:rsid w:val="00EB369B"/>
    <w:rsid w:val="00EB374C"/>
    <w:rsid w:val="00EB5555"/>
    <w:rsid w:val="00EB6C3B"/>
    <w:rsid w:val="00EB7E44"/>
    <w:rsid w:val="00EC0693"/>
    <w:rsid w:val="00EC15A3"/>
    <w:rsid w:val="00EC1B2D"/>
    <w:rsid w:val="00EC2F05"/>
    <w:rsid w:val="00EC2FCA"/>
    <w:rsid w:val="00EC346F"/>
    <w:rsid w:val="00EC3853"/>
    <w:rsid w:val="00EC39E4"/>
    <w:rsid w:val="00EC4175"/>
    <w:rsid w:val="00EC43FA"/>
    <w:rsid w:val="00EC6A90"/>
    <w:rsid w:val="00EC6F0D"/>
    <w:rsid w:val="00EC7727"/>
    <w:rsid w:val="00ED05A7"/>
    <w:rsid w:val="00ED0EDE"/>
    <w:rsid w:val="00ED14C9"/>
    <w:rsid w:val="00ED1916"/>
    <w:rsid w:val="00ED3945"/>
    <w:rsid w:val="00ED3CFD"/>
    <w:rsid w:val="00ED4856"/>
    <w:rsid w:val="00ED4DB4"/>
    <w:rsid w:val="00ED5002"/>
    <w:rsid w:val="00ED68A4"/>
    <w:rsid w:val="00ED7E63"/>
    <w:rsid w:val="00EE3CBC"/>
    <w:rsid w:val="00EE3E12"/>
    <w:rsid w:val="00EE521B"/>
    <w:rsid w:val="00EE5328"/>
    <w:rsid w:val="00EE5A94"/>
    <w:rsid w:val="00EE6566"/>
    <w:rsid w:val="00EF033B"/>
    <w:rsid w:val="00EF2E0C"/>
    <w:rsid w:val="00EF2F00"/>
    <w:rsid w:val="00EF37AA"/>
    <w:rsid w:val="00EF3E95"/>
    <w:rsid w:val="00EF4B24"/>
    <w:rsid w:val="00EF4E67"/>
    <w:rsid w:val="00EF5760"/>
    <w:rsid w:val="00EF5A93"/>
    <w:rsid w:val="00EF70D1"/>
    <w:rsid w:val="00EF7B83"/>
    <w:rsid w:val="00F000EE"/>
    <w:rsid w:val="00F00F73"/>
    <w:rsid w:val="00F0113A"/>
    <w:rsid w:val="00F01A9E"/>
    <w:rsid w:val="00F03AB7"/>
    <w:rsid w:val="00F03C66"/>
    <w:rsid w:val="00F04286"/>
    <w:rsid w:val="00F04FA5"/>
    <w:rsid w:val="00F05330"/>
    <w:rsid w:val="00F067EC"/>
    <w:rsid w:val="00F0681C"/>
    <w:rsid w:val="00F07097"/>
    <w:rsid w:val="00F0727D"/>
    <w:rsid w:val="00F07867"/>
    <w:rsid w:val="00F0794E"/>
    <w:rsid w:val="00F101C1"/>
    <w:rsid w:val="00F11943"/>
    <w:rsid w:val="00F13ADE"/>
    <w:rsid w:val="00F14BDA"/>
    <w:rsid w:val="00F15D93"/>
    <w:rsid w:val="00F15E74"/>
    <w:rsid w:val="00F16A4F"/>
    <w:rsid w:val="00F17376"/>
    <w:rsid w:val="00F20FBA"/>
    <w:rsid w:val="00F21274"/>
    <w:rsid w:val="00F226C0"/>
    <w:rsid w:val="00F236A9"/>
    <w:rsid w:val="00F242B6"/>
    <w:rsid w:val="00F2441C"/>
    <w:rsid w:val="00F244C7"/>
    <w:rsid w:val="00F26BBC"/>
    <w:rsid w:val="00F27CA5"/>
    <w:rsid w:val="00F27F22"/>
    <w:rsid w:val="00F31708"/>
    <w:rsid w:val="00F31F0B"/>
    <w:rsid w:val="00F32028"/>
    <w:rsid w:val="00F32563"/>
    <w:rsid w:val="00F34F57"/>
    <w:rsid w:val="00F3705D"/>
    <w:rsid w:val="00F4009D"/>
    <w:rsid w:val="00F40197"/>
    <w:rsid w:val="00F406A3"/>
    <w:rsid w:val="00F40738"/>
    <w:rsid w:val="00F40825"/>
    <w:rsid w:val="00F415D3"/>
    <w:rsid w:val="00F41BC5"/>
    <w:rsid w:val="00F42103"/>
    <w:rsid w:val="00F4264F"/>
    <w:rsid w:val="00F42C39"/>
    <w:rsid w:val="00F42D3D"/>
    <w:rsid w:val="00F42E2E"/>
    <w:rsid w:val="00F4545C"/>
    <w:rsid w:val="00F4694D"/>
    <w:rsid w:val="00F47D8B"/>
    <w:rsid w:val="00F52030"/>
    <w:rsid w:val="00F52BE1"/>
    <w:rsid w:val="00F52FC2"/>
    <w:rsid w:val="00F5342C"/>
    <w:rsid w:val="00F54411"/>
    <w:rsid w:val="00F5541C"/>
    <w:rsid w:val="00F56E79"/>
    <w:rsid w:val="00F573DB"/>
    <w:rsid w:val="00F57A8D"/>
    <w:rsid w:val="00F57CA8"/>
    <w:rsid w:val="00F6010D"/>
    <w:rsid w:val="00F61A08"/>
    <w:rsid w:val="00F61DA2"/>
    <w:rsid w:val="00F620AB"/>
    <w:rsid w:val="00F62EBF"/>
    <w:rsid w:val="00F633EC"/>
    <w:rsid w:val="00F63F52"/>
    <w:rsid w:val="00F6480E"/>
    <w:rsid w:val="00F65904"/>
    <w:rsid w:val="00F65A52"/>
    <w:rsid w:val="00F66C15"/>
    <w:rsid w:val="00F66E40"/>
    <w:rsid w:val="00F670FE"/>
    <w:rsid w:val="00F67590"/>
    <w:rsid w:val="00F72400"/>
    <w:rsid w:val="00F72572"/>
    <w:rsid w:val="00F72909"/>
    <w:rsid w:val="00F72AF8"/>
    <w:rsid w:val="00F73DB6"/>
    <w:rsid w:val="00F7434B"/>
    <w:rsid w:val="00F75C9A"/>
    <w:rsid w:val="00F75E30"/>
    <w:rsid w:val="00F75E56"/>
    <w:rsid w:val="00F76C3C"/>
    <w:rsid w:val="00F76DD7"/>
    <w:rsid w:val="00F80CB4"/>
    <w:rsid w:val="00F8141F"/>
    <w:rsid w:val="00F817C5"/>
    <w:rsid w:val="00F82E28"/>
    <w:rsid w:val="00F83C84"/>
    <w:rsid w:val="00F8522A"/>
    <w:rsid w:val="00F86724"/>
    <w:rsid w:val="00F86E91"/>
    <w:rsid w:val="00F870AE"/>
    <w:rsid w:val="00F87331"/>
    <w:rsid w:val="00F873EC"/>
    <w:rsid w:val="00F8762A"/>
    <w:rsid w:val="00F9001D"/>
    <w:rsid w:val="00F91DFE"/>
    <w:rsid w:val="00F92C41"/>
    <w:rsid w:val="00F93402"/>
    <w:rsid w:val="00F93FE1"/>
    <w:rsid w:val="00F94D03"/>
    <w:rsid w:val="00F95D24"/>
    <w:rsid w:val="00F97338"/>
    <w:rsid w:val="00F97B0B"/>
    <w:rsid w:val="00F97BA9"/>
    <w:rsid w:val="00FA2968"/>
    <w:rsid w:val="00FA3934"/>
    <w:rsid w:val="00FA50AD"/>
    <w:rsid w:val="00FA52DF"/>
    <w:rsid w:val="00FA5CF2"/>
    <w:rsid w:val="00FA67DE"/>
    <w:rsid w:val="00FA687F"/>
    <w:rsid w:val="00FA74AA"/>
    <w:rsid w:val="00FA77B3"/>
    <w:rsid w:val="00FA7A07"/>
    <w:rsid w:val="00FA7ED3"/>
    <w:rsid w:val="00FB0B13"/>
    <w:rsid w:val="00FB456A"/>
    <w:rsid w:val="00FB5747"/>
    <w:rsid w:val="00FB7F8C"/>
    <w:rsid w:val="00FC0188"/>
    <w:rsid w:val="00FC0F87"/>
    <w:rsid w:val="00FC36B4"/>
    <w:rsid w:val="00FC3821"/>
    <w:rsid w:val="00FC49A5"/>
    <w:rsid w:val="00FC4F2D"/>
    <w:rsid w:val="00FC4FE5"/>
    <w:rsid w:val="00FC5790"/>
    <w:rsid w:val="00FC655D"/>
    <w:rsid w:val="00FC7813"/>
    <w:rsid w:val="00FC7A75"/>
    <w:rsid w:val="00FC7C64"/>
    <w:rsid w:val="00FD0517"/>
    <w:rsid w:val="00FD1228"/>
    <w:rsid w:val="00FD1949"/>
    <w:rsid w:val="00FD2D33"/>
    <w:rsid w:val="00FD5169"/>
    <w:rsid w:val="00FD617A"/>
    <w:rsid w:val="00FD63BB"/>
    <w:rsid w:val="00FD77F7"/>
    <w:rsid w:val="00FD7D13"/>
    <w:rsid w:val="00FE0368"/>
    <w:rsid w:val="00FE0452"/>
    <w:rsid w:val="00FE1131"/>
    <w:rsid w:val="00FE1305"/>
    <w:rsid w:val="00FE1E58"/>
    <w:rsid w:val="00FE2EB9"/>
    <w:rsid w:val="00FE4BB0"/>
    <w:rsid w:val="00FE68F6"/>
    <w:rsid w:val="00FE6D38"/>
    <w:rsid w:val="00FF1DC3"/>
    <w:rsid w:val="00FF2674"/>
    <w:rsid w:val="00FF26C3"/>
    <w:rsid w:val="00FF2E15"/>
    <w:rsid w:val="00FF3605"/>
    <w:rsid w:val="00FF3E36"/>
    <w:rsid w:val="00FF53D2"/>
    <w:rsid w:val="00FF5CAD"/>
    <w:rsid w:val="00FF6139"/>
    <w:rsid w:val="00FF6208"/>
    <w:rsid w:val="00FF70AD"/>
    <w:rsid w:val="00FF75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F09B"/>
  <w15:docId w15:val="{4AE3A7E5-77A5-43FD-94BD-2796D4E8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99"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2157"/>
    <w:pPr>
      <w:bidi/>
    </w:pPr>
    <w:rPr>
      <w:sz w:val="24"/>
      <w:szCs w:val="24"/>
    </w:rPr>
  </w:style>
  <w:style w:type="paragraph" w:styleId="Heading1">
    <w:name w:val="heading 1"/>
    <w:basedOn w:val="Normal"/>
    <w:next w:val="Normal"/>
    <w:link w:val="Heading1Char"/>
    <w:uiPriority w:val="9"/>
    <w:rsid w:val="007E7135"/>
    <w:pPr>
      <w:autoSpaceDE w:val="0"/>
      <w:autoSpaceDN w:val="0"/>
      <w:bidi w:val="0"/>
      <w:adjustRightInd w:val="0"/>
      <w:spacing w:line="480" w:lineRule="auto"/>
      <w:contextualSpacing/>
      <w:jc w:val="both"/>
      <w:outlineLvl w:val="0"/>
    </w:pPr>
    <w:rPr>
      <w:b/>
      <w:bCs/>
      <w:color w:val="000000"/>
      <w:sz w:val="28"/>
      <w:szCs w:val="28"/>
    </w:rPr>
  </w:style>
  <w:style w:type="paragraph" w:styleId="Heading2">
    <w:name w:val="heading 2"/>
    <w:basedOn w:val="P"/>
    <w:next w:val="Normal"/>
    <w:link w:val="Heading2Char"/>
    <w:uiPriority w:val="9"/>
    <w:unhideWhenUsed/>
    <w:rsid w:val="00856F09"/>
    <w:pPr>
      <w:numPr>
        <w:ilvl w:val="1"/>
        <w:numId w:val="1"/>
      </w:numPr>
      <w:outlineLvl w:val="1"/>
    </w:pPr>
    <w:rPr>
      <w:b/>
      <w:bCs/>
      <w:lang w:bidi="ar-EG"/>
    </w:rPr>
  </w:style>
  <w:style w:type="paragraph" w:styleId="Heading3">
    <w:name w:val="heading 3"/>
    <w:basedOn w:val="Normal"/>
    <w:next w:val="Normal"/>
    <w:link w:val="Heading3Char"/>
    <w:uiPriority w:val="9"/>
    <w:unhideWhenUsed/>
    <w:rsid w:val="000A3D5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rsid w:val="000A3D5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rsid w:val="000A3D5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rsid w:val="00783B50"/>
    <w:pPr>
      <w:keepNext/>
      <w:keepLines/>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994105"/>
    <w:pPr>
      <w:keepNext/>
      <w:keepLines/>
      <w:bidi w:val="0"/>
      <w:spacing w:before="40" w:line="276" w:lineRule="auto"/>
      <w:outlineLvl w:val="6"/>
    </w:pPr>
    <w:rPr>
      <w:rFonts w:ascii="Cambria" w:eastAsia="SimSun" w:hAnsi="Cambria"/>
      <w:i/>
      <w:iCs/>
      <w:color w:val="243F60"/>
      <w:sz w:val="22"/>
      <w:szCs w:val="22"/>
    </w:rPr>
  </w:style>
  <w:style w:type="paragraph" w:styleId="Heading9">
    <w:name w:val="heading 9"/>
    <w:basedOn w:val="Normal"/>
    <w:next w:val="Normal"/>
    <w:link w:val="Heading9Char"/>
    <w:unhideWhenUsed/>
    <w:rsid w:val="00783B50"/>
    <w:pPr>
      <w:keepNext/>
      <w:keepLines/>
      <w:bidi w:val="0"/>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A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93581"/>
    <w:rPr>
      <w:rFonts w:ascii="Tahoma" w:hAnsi="Tahoma"/>
      <w:sz w:val="16"/>
      <w:szCs w:val="16"/>
    </w:rPr>
  </w:style>
  <w:style w:type="character" w:customStyle="1" w:styleId="BalloonTextChar">
    <w:name w:val="Balloon Text Char"/>
    <w:link w:val="BalloonText"/>
    <w:uiPriority w:val="99"/>
    <w:rsid w:val="00B93581"/>
    <w:rPr>
      <w:rFonts w:ascii="Tahoma" w:hAnsi="Tahoma" w:cs="Tahoma"/>
      <w:sz w:val="16"/>
      <w:szCs w:val="16"/>
    </w:rPr>
  </w:style>
  <w:style w:type="character" w:styleId="Hyperlink">
    <w:name w:val="Hyperlink"/>
    <w:uiPriority w:val="99"/>
    <w:unhideWhenUsed/>
    <w:rsid w:val="006D7817"/>
    <w:rPr>
      <w:color w:val="0000FF"/>
      <w:u w:val="single"/>
    </w:rPr>
  </w:style>
  <w:style w:type="paragraph" w:styleId="Header">
    <w:name w:val="header"/>
    <w:aliases w:val="Char Char,Char Char Char Char Char Char Char Char1,Char5 Char"/>
    <w:basedOn w:val="Normal"/>
    <w:link w:val="HeaderChar"/>
    <w:uiPriority w:val="99"/>
    <w:rsid w:val="00D62539"/>
    <w:pPr>
      <w:tabs>
        <w:tab w:val="center" w:pos="4153"/>
        <w:tab w:val="right" w:pos="8306"/>
      </w:tabs>
    </w:pPr>
  </w:style>
  <w:style w:type="character" w:customStyle="1" w:styleId="HeaderChar">
    <w:name w:val="Header Char"/>
    <w:aliases w:val="Char Char Char,Char Char Char Char Char Char Char Char1 Char,Char5 Char Char"/>
    <w:link w:val="Header"/>
    <w:uiPriority w:val="99"/>
    <w:rsid w:val="00D62539"/>
    <w:rPr>
      <w:sz w:val="24"/>
      <w:szCs w:val="24"/>
    </w:rPr>
  </w:style>
  <w:style w:type="paragraph" w:styleId="Footer">
    <w:name w:val="footer"/>
    <w:basedOn w:val="Normal"/>
    <w:link w:val="FooterChar"/>
    <w:uiPriority w:val="99"/>
    <w:rsid w:val="00D62539"/>
    <w:pPr>
      <w:tabs>
        <w:tab w:val="center" w:pos="4153"/>
        <w:tab w:val="right" w:pos="8306"/>
      </w:tabs>
    </w:pPr>
  </w:style>
  <w:style w:type="character" w:customStyle="1" w:styleId="FooterChar">
    <w:name w:val="Footer Char"/>
    <w:link w:val="Footer"/>
    <w:uiPriority w:val="99"/>
    <w:rsid w:val="00D62539"/>
    <w:rPr>
      <w:sz w:val="24"/>
      <w:szCs w:val="24"/>
    </w:rPr>
  </w:style>
  <w:style w:type="character" w:styleId="LineNumber">
    <w:name w:val="line number"/>
    <w:basedOn w:val="DefaultParagraphFont"/>
    <w:rsid w:val="00D432B5"/>
  </w:style>
  <w:style w:type="character" w:styleId="CommentReference">
    <w:name w:val="annotation reference"/>
    <w:uiPriority w:val="99"/>
    <w:rsid w:val="0083736A"/>
    <w:rPr>
      <w:sz w:val="16"/>
      <w:szCs w:val="16"/>
    </w:rPr>
  </w:style>
  <w:style w:type="character" w:customStyle="1" w:styleId="css-133coio">
    <w:name w:val="css-133coio"/>
    <w:basedOn w:val="DefaultParagraphFont"/>
    <w:rsid w:val="0083736A"/>
  </w:style>
  <w:style w:type="paragraph" w:styleId="CommentText">
    <w:name w:val="annotation text"/>
    <w:basedOn w:val="Normal"/>
    <w:link w:val="CommentTextChar"/>
    <w:uiPriority w:val="99"/>
    <w:rsid w:val="00C776DE"/>
    <w:rPr>
      <w:sz w:val="20"/>
      <w:szCs w:val="20"/>
    </w:rPr>
  </w:style>
  <w:style w:type="character" w:customStyle="1" w:styleId="CommentTextChar">
    <w:name w:val="Comment Text Char"/>
    <w:basedOn w:val="DefaultParagraphFont"/>
    <w:link w:val="CommentText"/>
    <w:uiPriority w:val="99"/>
    <w:rsid w:val="00C776DE"/>
  </w:style>
  <w:style w:type="paragraph" w:styleId="CommentSubject">
    <w:name w:val="annotation subject"/>
    <w:basedOn w:val="CommentText"/>
    <w:next w:val="CommentText"/>
    <w:link w:val="CommentSubjectChar"/>
    <w:uiPriority w:val="99"/>
    <w:rsid w:val="00C776DE"/>
    <w:rPr>
      <w:b/>
      <w:bCs/>
    </w:rPr>
  </w:style>
  <w:style w:type="character" w:customStyle="1" w:styleId="CommentSubjectChar">
    <w:name w:val="Comment Subject Char"/>
    <w:link w:val="CommentSubject"/>
    <w:uiPriority w:val="99"/>
    <w:rsid w:val="00C776DE"/>
    <w:rPr>
      <w:b/>
      <w:bCs/>
    </w:rPr>
  </w:style>
  <w:style w:type="character" w:customStyle="1" w:styleId="text">
    <w:name w:val="text"/>
    <w:basedOn w:val="DefaultParagraphFont"/>
    <w:rsid w:val="00950A9C"/>
  </w:style>
  <w:style w:type="character" w:styleId="Emphasis">
    <w:name w:val="Emphasis"/>
    <w:uiPriority w:val="20"/>
    <w:rsid w:val="00950A9C"/>
    <w:rPr>
      <w:i/>
      <w:iCs/>
    </w:rPr>
  </w:style>
  <w:style w:type="paragraph" w:customStyle="1" w:styleId="EndNoteBibliographyTitle">
    <w:name w:val="EndNote Bibliography Title"/>
    <w:basedOn w:val="Normal"/>
    <w:link w:val="EndNoteBibliographyTitleChar"/>
    <w:rsid w:val="00A423AB"/>
    <w:pPr>
      <w:jc w:val="center"/>
    </w:pPr>
    <w:rPr>
      <w:noProof/>
    </w:rPr>
  </w:style>
  <w:style w:type="character" w:customStyle="1" w:styleId="EndNoteBibliographyTitleChar">
    <w:name w:val="EndNote Bibliography Title Char"/>
    <w:link w:val="EndNoteBibliographyTitle"/>
    <w:rsid w:val="00A423AB"/>
    <w:rPr>
      <w:noProof/>
      <w:sz w:val="24"/>
      <w:szCs w:val="24"/>
    </w:rPr>
  </w:style>
  <w:style w:type="paragraph" w:customStyle="1" w:styleId="EndNoteBibliography">
    <w:name w:val="EndNote Bibliography"/>
    <w:basedOn w:val="Normal"/>
    <w:link w:val="EndNoteBibliographyChar"/>
    <w:rsid w:val="00A423AB"/>
    <w:pPr>
      <w:spacing w:line="480" w:lineRule="auto"/>
    </w:pPr>
    <w:rPr>
      <w:noProof/>
    </w:rPr>
  </w:style>
  <w:style w:type="character" w:customStyle="1" w:styleId="EndNoteBibliographyChar">
    <w:name w:val="EndNote Bibliography Char"/>
    <w:link w:val="EndNoteBibliography"/>
    <w:rsid w:val="00A423AB"/>
    <w:rPr>
      <w:noProof/>
      <w:sz w:val="24"/>
      <w:szCs w:val="24"/>
    </w:rPr>
  </w:style>
  <w:style w:type="paragraph" w:customStyle="1" w:styleId="Footnote">
    <w:name w:val="Foot note"/>
    <w:basedOn w:val="Normal"/>
    <w:link w:val="FootnoteChar"/>
    <w:qFormat/>
    <w:rsid w:val="004E0F08"/>
    <w:pPr>
      <w:bidi w:val="0"/>
      <w:jc w:val="both"/>
    </w:pPr>
    <w:rPr>
      <w:rFonts w:cs="Akhbar MT"/>
      <w:sz w:val="20"/>
      <w:szCs w:val="20"/>
      <w:lang w:eastAsia="zh-CN"/>
    </w:rPr>
  </w:style>
  <w:style w:type="paragraph" w:customStyle="1" w:styleId="H5">
    <w:name w:val="H5"/>
    <w:basedOn w:val="Normal"/>
    <w:link w:val="H5Char"/>
    <w:rsid w:val="00C8132A"/>
    <w:pPr>
      <w:autoSpaceDE w:val="0"/>
      <w:autoSpaceDN w:val="0"/>
      <w:bidi w:val="0"/>
      <w:adjustRightInd w:val="0"/>
      <w:spacing w:line="360" w:lineRule="auto"/>
    </w:pPr>
    <w:rPr>
      <w:rFonts w:eastAsia="Calibri"/>
      <w:b/>
      <w:bCs/>
    </w:rPr>
  </w:style>
  <w:style w:type="character" w:customStyle="1" w:styleId="FootnoteChar">
    <w:name w:val="Foot note Char"/>
    <w:link w:val="Footnote"/>
    <w:rsid w:val="004E0F08"/>
    <w:rPr>
      <w:rFonts w:cs="Akhbar MT"/>
      <w:lang w:eastAsia="zh-CN"/>
    </w:rPr>
  </w:style>
  <w:style w:type="table" w:styleId="TableGrid1">
    <w:name w:val="Table Grid 1"/>
    <w:basedOn w:val="TableNormal"/>
    <w:uiPriority w:val="99"/>
    <w:rsid w:val="00BA797A"/>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5Char">
    <w:name w:val="H5 Char"/>
    <w:link w:val="H5"/>
    <w:rsid w:val="00C8132A"/>
    <w:rPr>
      <w:rFonts w:eastAsia="Calibri"/>
      <w:b/>
      <w:bCs/>
      <w:sz w:val="24"/>
      <w:szCs w:val="24"/>
      <w:lang w:eastAsia="en-US"/>
    </w:rPr>
  </w:style>
  <w:style w:type="paragraph" w:customStyle="1" w:styleId="P">
    <w:name w:val="P"/>
    <w:basedOn w:val="Normal"/>
    <w:link w:val="PChar"/>
    <w:qFormat/>
    <w:rsid w:val="00923C7C"/>
    <w:pPr>
      <w:autoSpaceDE w:val="0"/>
      <w:autoSpaceDN w:val="0"/>
      <w:bidi w:val="0"/>
      <w:adjustRightInd w:val="0"/>
      <w:spacing w:line="480" w:lineRule="auto"/>
      <w:jc w:val="both"/>
    </w:pPr>
    <w:rPr>
      <w:rFonts w:eastAsia="SimSun"/>
      <w:color w:val="000000"/>
      <w:lang w:val="en-GB" w:eastAsia="zh-CN"/>
    </w:rPr>
  </w:style>
  <w:style w:type="character" w:customStyle="1" w:styleId="Heading1Char">
    <w:name w:val="Heading 1 Char"/>
    <w:link w:val="Heading1"/>
    <w:uiPriority w:val="9"/>
    <w:rsid w:val="007E7135"/>
    <w:rPr>
      <w:b/>
      <w:bCs/>
      <w:color w:val="000000"/>
      <w:sz w:val="28"/>
      <w:szCs w:val="28"/>
    </w:rPr>
  </w:style>
  <w:style w:type="character" w:customStyle="1" w:styleId="PChar">
    <w:name w:val="P Char"/>
    <w:link w:val="P"/>
    <w:rsid w:val="00923C7C"/>
    <w:rPr>
      <w:rFonts w:eastAsia="SimSun"/>
      <w:color w:val="000000"/>
      <w:sz w:val="24"/>
      <w:szCs w:val="24"/>
      <w:lang w:val="en-GB" w:eastAsia="zh-CN"/>
    </w:rPr>
  </w:style>
  <w:style w:type="character" w:customStyle="1" w:styleId="paragraphChar">
    <w:name w:val="paragraph Char"/>
    <w:link w:val="paragraph"/>
    <w:locked/>
    <w:rsid w:val="005A4E94"/>
    <w:rPr>
      <w:sz w:val="24"/>
      <w:szCs w:val="24"/>
      <w:lang w:bidi="ar-EG"/>
    </w:rPr>
  </w:style>
  <w:style w:type="paragraph" w:customStyle="1" w:styleId="paragraph">
    <w:name w:val="paragraph"/>
    <w:basedOn w:val="Normal"/>
    <w:link w:val="paragraphChar"/>
    <w:rsid w:val="005A4E94"/>
    <w:pPr>
      <w:bidi w:val="0"/>
      <w:spacing w:after="160" w:line="360" w:lineRule="auto"/>
      <w:ind w:firstLine="720"/>
      <w:jc w:val="both"/>
    </w:pPr>
    <w:rPr>
      <w:lang w:bidi="ar-EG"/>
    </w:rPr>
  </w:style>
  <w:style w:type="table" w:customStyle="1" w:styleId="GridTable1Light1">
    <w:name w:val="Grid Table 1 Light1"/>
    <w:basedOn w:val="TableNormal"/>
    <w:uiPriority w:val="46"/>
    <w:rsid w:val="00A936AB"/>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51">
    <w:name w:val="Medium Shading 2 - Accent 51"/>
    <w:basedOn w:val="TableNormal"/>
    <w:next w:val="MediumShading2-Accent5"/>
    <w:uiPriority w:val="64"/>
    <w:rsid w:val="00D920DD"/>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2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602749"/>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5Char">
    <w:name w:val="Heading 5 Char"/>
    <w:link w:val="Heading5"/>
    <w:uiPriority w:val="9"/>
    <w:rsid w:val="000A3D56"/>
    <w:rPr>
      <w:rFonts w:ascii="Calibri" w:eastAsia="Times New Roman" w:hAnsi="Calibri" w:cs="Arial"/>
      <w:b/>
      <w:bCs/>
      <w:i/>
      <w:iCs/>
      <w:sz w:val="26"/>
      <w:szCs w:val="26"/>
    </w:rPr>
  </w:style>
  <w:style w:type="character" w:customStyle="1" w:styleId="Heading3Char">
    <w:name w:val="Heading 3 Char"/>
    <w:link w:val="Heading3"/>
    <w:uiPriority w:val="9"/>
    <w:rsid w:val="000A3D56"/>
    <w:rPr>
      <w:rFonts w:ascii="Calibri Light" w:eastAsia="Times New Roman" w:hAnsi="Calibri Light" w:cs="Times New Roman"/>
      <w:b/>
      <w:bCs/>
      <w:sz w:val="26"/>
      <w:szCs w:val="26"/>
    </w:rPr>
  </w:style>
  <w:style w:type="character" w:customStyle="1" w:styleId="Heading4Char">
    <w:name w:val="Heading 4 Char"/>
    <w:link w:val="Heading4"/>
    <w:uiPriority w:val="9"/>
    <w:rsid w:val="000A3D56"/>
    <w:rPr>
      <w:rFonts w:ascii="Calibri" w:eastAsia="Times New Roman" w:hAnsi="Calibri" w:cs="Arial"/>
      <w:b/>
      <w:bCs/>
      <w:sz w:val="28"/>
      <w:szCs w:val="28"/>
    </w:rPr>
  </w:style>
  <w:style w:type="table" w:customStyle="1" w:styleId="GridTable5Dark-Accent51">
    <w:name w:val="Grid Table 5 Dark - Accent 51"/>
    <w:basedOn w:val="TableNormal"/>
    <w:uiPriority w:val="50"/>
    <w:rsid w:val="00AA1BC3"/>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character" w:customStyle="1" w:styleId="FigChar">
    <w:name w:val="Fig Char"/>
    <w:link w:val="Fig"/>
    <w:locked/>
    <w:rsid w:val="00496203"/>
    <w:rPr>
      <w:b/>
      <w:bCs/>
      <w:sz w:val="24"/>
      <w:szCs w:val="24"/>
    </w:rPr>
  </w:style>
  <w:style w:type="paragraph" w:customStyle="1" w:styleId="Fig">
    <w:name w:val="Fig"/>
    <w:basedOn w:val="Normal"/>
    <w:link w:val="FigChar"/>
    <w:qFormat/>
    <w:rsid w:val="00496203"/>
    <w:pPr>
      <w:bidi w:val="0"/>
      <w:spacing w:after="200" w:line="276" w:lineRule="auto"/>
      <w:jc w:val="center"/>
    </w:pPr>
    <w:rPr>
      <w:b/>
      <w:bCs/>
    </w:rPr>
  </w:style>
  <w:style w:type="paragraph" w:customStyle="1" w:styleId="Default">
    <w:name w:val="Default"/>
    <w:rsid w:val="00A638F9"/>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unhideWhenUsed/>
    <w:rsid w:val="00A638F9"/>
    <w:pPr>
      <w:spacing w:after="200" w:line="276" w:lineRule="auto"/>
    </w:pPr>
    <w:rPr>
      <w:rFonts w:eastAsia="Calibri"/>
    </w:rPr>
  </w:style>
  <w:style w:type="paragraph" w:styleId="ListParagraph">
    <w:name w:val="List Paragraph"/>
    <w:basedOn w:val="Normal"/>
    <w:link w:val="ListParagraphChar"/>
    <w:uiPriority w:val="1"/>
    <w:rsid w:val="00A638F9"/>
    <w:pPr>
      <w:spacing w:after="200" w:line="276" w:lineRule="auto"/>
      <w:ind w:left="720"/>
      <w:contextualSpacing/>
    </w:pPr>
    <w:rPr>
      <w:rFonts w:ascii="Calibri" w:eastAsia="Calibri" w:hAnsi="Calibri" w:cs="Arial"/>
      <w:sz w:val="22"/>
      <w:szCs w:val="22"/>
    </w:rPr>
  </w:style>
  <w:style w:type="table" w:customStyle="1" w:styleId="GridTable5Dark-Accent21">
    <w:name w:val="Grid Table 5 Dark - Accent 21"/>
    <w:basedOn w:val="TableNormal"/>
    <w:uiPriority w:val="50"/>
    <w:rsid w:val="00A638F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MediumGrid3-Accent2">
    <w:name w:val="Medium Grid 3 Accent 2"/>
    <w:basedOn w:val="TableNormal"/>
    <w:uiPriority w:val="69"/>
    <w:rsid w:val="0068157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Heading2Char">
    <w:name w:val="Heading 2 Char"/>
    <w:link w:val="Heading2"/>
    <w:uiPriority w:val="9"/>
    <w:rsid w:val="00856F09"/>
    <w:rPr>
      <w:b/>
      <w:bCs/>
      <w:color w:val="000000"/>
      <w:sz w:val="24"/>
      <w:szCs w:val="24"/>
      <w:lang w:bidi="ar-EG"/>
    </w:rPr>
  </w:style>
  <w:style w:type="character" w:customStyle="1" w:styleId="Heading6Char">
    <w:name w:val="Heading 6 Char"/>
    <w:link w:val="Heading6"/>
    <w:uiPriority w:val="9"/>
    <w:rsid w:val="00783B50"/>
    <w:rPr>
      <w:rFonts w:ascii="Cambria" w:hAnsi="Cambria"/>
      <w:i/>
      <w:iCs/>
      <w:color w:val="243F60"/>
      <w:sz w:val="22"/>
      <w:szCs w:val="22"/>
    </w:rPr>
  </w:style>
  <w:style w:type="character" w:customStyle="1" w:styleId="Heading9Char">
    <w:name w:val="Heading 9 Char"/>
    <w:link w:val="Heading9"/>
    <w:rsid w:val="00783B50"/>
    <w:rPr>
      <w:rFonts w:ascii="Cambria" w:hAnsi="Cambria"/>
      <w:i/>
      <w:iCs/>
      <w:color w:val="404040"/>
    </w:rPr>
  </w:style>
  <w:style w:type="paragraph" w:customStyle="1" w:styleId="p0">
    <w:name w:val="p"/>
    <w:basedOn w:val="Normal"/>
    <w:rsid w:val="00783B50"/>
    <w:pPr>
      <w:bidi w:val="0"/>
      <w:spacing w:before="100" w:beforeAutospacing="1" w:after="100" w:afterAutospacing="1"/>
    </w:pPr>
  </w:style>
  <w:style w:type="paragraph" w:customStyle="1" w:styleId="Body">
    <w:name w:val="Body"/>
    <w:rsid w:val="00783B5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Caption">
    <w:name w:val="caption"/>
    <w:basedOn w:val="Normal"/>
    <w:next w:val="Normal"/>
    <w:link w:val="CaptionChar"/>
    <w:uiPriority w:val="35"/>
    <w:unhideWhenUsed/>
    <w:qFormat/>
    <w:rsid w:val="002A741F"/>
    <w:pPr>
      <w:keepNext/>
      <w:bidi w:val="0"/>
      <w:spacing w:after="200"/>
      <w:jc w:val="both"/>
    </w:pPr>
    <w:rPr>
      <w:b/>
      <w:bCs/>
      <w:color w:val="000000"/>
      <w:szCs w:val="36"/>
      <w:lang w:val="en-GB"/>
    </w:rPr>
  </w:style>
  <w:style w:type="table" w:customStyle="1" w:styleId="LightShading1">
    <w:name w:val="Light Shading1"/>
    <w:basedOn w:val="TableNormal"/>
    <w:uiPriority w:val="60"/>
    <w:rsid w:val="00783B50"/>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783B50"/>
    <w:rPr>
      <w:rFonts w:ascii="Calibri" w:eastAsia="Calibri" w:hAnsi="Calibri" w:cs="Arial"/>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Strong">
    <w:name w:val="Strong"/>
    <w:uiPriority w:val="22"/>
    <w:rsid w:val="00783B50"/>
    <w:rPr>
      <w:b/>
      <w:bCs/>
    </w:rPr>
  </w:style>
  <w:style w:type="paragraph" w:customStyle="1" w:styleId="chapter-para">
    <w:name w:val="chapter-para"/>
    <w:basedOn w:val="Normal"/>
    <w:rsid w:val="00783B50"/>
    <w:pPr>
      <w:bidi w:val="0"/>
      <w:spacing w:before="100" w:beforeAutospacing="1" w:after="100" w:afterAutospacing="1"/>
    </w:pPr>
  </w:style>
  <w:style w:type="character" w:customStyle="1" w:styleId="sr-only">
    <w:name w:val="sr-only"/>
    <w:rsid w:val="00783B50"/>
  </w:style>
  <w:style w:type="character" w:customStyle="1" w:styleId="i">
    <w:name w:val="i"/>
    <w:rsid w:val="00783B50"/>
  </w:style>
  <w:style w:type="character" w:customStyle="1" w:styleId="A8">
    <w:name w:val="A8"/>
    <w:uiPriority w:val="99"/>
    <w:rsid w:val="00783B50"/>
    <w:rPr>
      <w:rFonts w:cs="Times New Roman PS"/>
      <w:color w:val="000000"/>
      <w:sz w:val="11"/>
      <w:szCs w:val="11"/>
    </w:rPr>
  </w:style>
  <w:style w:type="character" w:customStyle="1" w:styleId="A3">
    <w:name w:val="A3"/>
    <w:uiPriority w:val="99"/>
    <w:rsid w:val="00783B50"/>
    <w:rPr>
      <w:rFonts w:cs="Myriad Pro"/>
      <w:color w:val="000000"/>
      <w:sz w:val="18"/>
      <w:szCs w:val="18"/>
    </w:rPr>
  </w:style>
  <w:style w:type="character" w:customStyle="1" w:styleId="A4">
    <w:name w:val="A4"/>
    <w:uiPriority w:val="99"/>
    <w:rsid w:val="00783B50"/>
    <w:rPr>
      <w:rFonts w:cs="Myriad Pro"/>
      <w:color w:val="000000"/>
      <w:sz w:val="14"/>
      <w:szCs w:val="14"/>
    </w:rPr>
  </w:style>
  <w:style w:type="character" w:customStyle="1" w:styleId="A0">
    <w:name w:val="A0"/>
    <w:uiPriority w:val="99"/>
    <w:rsid w:val="00783B50"/>
    <w:rPr>
      <w:rFonts w:cs="Myriad Pro"/>
      <w:color w:val="000000"/>
      <w:sz w:val="16"/>
      <w:szCs w:val="16"/>
    </w:rPr>
  </w:style>
  <w:style w:type="paragraph" w:customStyle="1" w:styleId="Pa14">
    <w:name w:val="Pa14"/>
    <w:basedOn w:val="Default"/>
    <w:next w:val="Default"/>
    <w:uiPriority w:val="99"/>
    <w:rsid w:val="00783B50"/>
    <w:pPr>
      <w:spacing w:line="161" w:lineRule="atLeast"/>
    </w:pPr>
    <w:rPr>
      <w:rFonts w:ascii="CapitoliumNews" w:hAnsi="CapitoliumNews" w:cs="Arial"/>
      <w:color w:val="auto"/>
    </w:rPr>
  </w:style>
  <w:style w:type="paragraph" w:customStyle="1" w:styleId="Pa13">
    <w:name w:val="Pa13"/>
    <w:basedOn w:val="Default"/>
    <w:next w:val="Default"/>
    <w:uiPriority w:val="99"/>
    <w:rsid w:val="00783B50"/>
    <w:pPr>
      <w:spacing w:line="161" w:lineRule="atLeast"/>
    </w:pPr>
    <w:rPr>
      <w:rFonts w:ascii="CapitoliumNews" w:hAnsi="CapitoliumNews" w:cs="Arial"/>
      <w:color w:val="auto"/>
    </w:rPr>
  </w:style>
  <w:style w:type="character" w:customStyle="1" w:styleId="personname">
    <w:name w:val="person_name"/>
    <w:rsid w:val="00783B50"/>
  </w:style>
  <w:style w:type="paragraph" w:customStyle="1" w:styleId="Pa24">
    <w:name w:val="Pa24"/>
    <w:basedOn w:val="Default"/>
    <w:next w:val="Default"/>
    <w:uiPriority w:val="99"/>
    <w:rsid w:val="00783B50"/>
    <w:pPr>
      <w:spacing w:line="181" w:lineRule="atLeast"/>
    </w:pPr>
    <w:rPr>
      <w:rFonts w:ascii="Segoe UI Light" w:hAnsi="Segoe UI Light" w:cs="Arial"/>
      <w:color w:val="auto"/>
    </w:rPr>
  </w:style>
  <w:style w:type="paragraph" w:styleId="NoSpacing">
    <w:name w:val="No Spacing"/>
    <w:link w:val="NoSpacingChar"/>
    <w:uiPriority w:val="1"/>
    <w:rsid w:val="00783B50"/>
    <w:pPr>
      <w:bidi/>
    </w:pPr>
    <w:rPr>
      <w:rFonts w:ascii="Calibri" w:eastAsia="Calibri" w:hAnsi="Calibri" w:cs="Arial"/>
      <w:sz w:val="22"/>
      <w:szCs w:val="22"/>
    </w:rPr>
  </w:style>
  <w:style w:type="paragraph" w:styleId="BodyText">
    <w:name w:val="Body Text"/>
    <w:basedOn w:val="Normal"/>
    <w:link w:val="BodyTextChar"/>
    <w:uiPriority w:val="1"/>
    <w:rsid w:val="00783B50"/>
    <w:pPr>
      <w:bidi w:val="0"/>
      <w:jc w:val="lowKashida"/>
    </w:pPr>
    <w:rPr>
      <w:snapToGrid w:val="0"/>
      <w:sz w:val="30"/>
      <w:szCs w:val="30"/>
      <w:lang w:eastAsia="ar-SA"/>
    </w:rPr>
  </w:style>
  <w:style w:type="character" w:customStyle="1" w:styleId="BodyTextChar">
    <w:name w:val="Body Text Char"/>
    <w:link w:val="BodyText"/>
    <w:uiPriority w:val="1"/>
    <w:rsid w:val="00783B50"/>
    <w:rPr>
      <w:snapToGrid w:val="0"/>
      <w:sz w:val="30"/>
      <w:szCs w:val="30"/>
      <w:lang w:eastAsia="ar-SA"/>
    </w:rPr>
  </w:style>
  <w:style w:type="paragraph" w:styleId="BodyText2">
    <w:name w:val="Body Text 2"/>
    <w:basedOn w:val="Normal"/>
    <w:link w:val="BodyText2Char"/>
    <w:rsid w:val="00783B50"/>
    <w:pPr>
      <w:widowControl w:val="0"/>
      <w:bidi w:val="0"/>
      <w:spacing w:after="120" w:line="360" w:lineRule="auto"/>
      <w:jc w:val="lowKashida"/>
    </w:pPr>
    <w:rPr>
      <w:snapToGrid w:val="0"/>
      <w:sz w:val="28"/>
      <w:szCs w:val="38"/>
      <w:lang w:eastAsia="ar-SA"/>
    </w:rPr>
  </w:style>
  <w:style w:type="character" w:customStyle="1" w:styleId="BodyText2Char">
    <w:name w:val="Body Text 2 Char"/>
    <w:link w:val="BodyText2"/>
    <w:rsid w:val="00783B50"/>
    <w:rPr>
      <w:rFonts w:cs="Simplified Arabic"/>
      <w:snapToGrid w:val="0"/>
      <w:sz w:val="28"/>
      <w:szCs w:val="38"/>
      <w:lang w:eastAsia="ar-SA"/>
    </w:rPr>
  </w:style>
  <w:style w:type="table" w:customStyle="1" w:styleId="LightGrid-Accent11">
    <w:name w:val="Light Grid - Accent 11"/>
    <w:basedOn w:val="TableNormal"/>
    <w:uiPriority w:val="62"/>
    <w:rsid w:val="002C5DF3"/>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yriad Pro" w:eastAsia="Times New Roman" w:hAnsi="Myriad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yriad Pro" w:eastAsia="Times New Roman" w:hAnsi="Myriad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2C5DF3"/>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yriad Pro" w:eastAsia="Times New Roman" w:hAnsi="Myria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yriad Pro" w:eastAsia="Times New Roman" w:hAnsi="Myria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1D7720"/>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10">
    <w:name w:val="Table Grid1"/>
    <w:basedOn w:val="TableNormal"/>
    <w:next w:val="TableGrid"/>
    <w:uiPriority w:val="39"/>
    <w:rsid w:val="004730B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2-Accent21">
    <w:name w:val="Medium Shading 2 - Accent 21"/>
    <w:basedOn w:val="TableNormal"/>
    <w:next w:val="MediumShading2-Accent2"/>
    <w:uiPriority w:val="64"/>
    <w:rsid w:val="004730BC"/>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next w:val="LightList-Accent2"/>
    <w:uiPriority w:val="61"/>
    <w:rsid w:val="004730BC"/>
    <w:rPr>
      <w:rFonts w:ascii="Calibri" w:eastAsia="Calibri" w:hAnsi="Calibri"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1">
    <w:name w:val="Light List - Accent 41"/>
    <w:basedOn w:val="TableNormal"/>
    <w:next w:val="LightList-Accent4"/>
    <w:uiPriority w:val="61"/>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
    <w:name w:val="Light Shading - Accent 11"/>
    <w:basedOn w:val="TableNormal"/>
    <w:next w:val="LightShading-Accent12"/>
    <w:uiPriority w:val="60"/>
    <w:locked/>
    <w:rsid w:val="004730BC"/>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730BC"/>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PageNumber">
    <w:name w:val="page number"/>
    <w:basedOn w:val="DefaultParagraphFont"/>
    <w:rsid w:val="004730BC"/>
  </w:style>
  <w:style w:type="table" w:customStyle="1" w:styleId="LightShading10">
    <w:name w:val="Light Shading1"/>
    <w:basedOn w:val="TableNormal"/>
    <w:next w:val="LightShading1"/>
    <w:uiPriority w:val="60"/>
    <w:locked/>
    <w:rsid w:val="004730BC"/>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61">
    <w:name w:val="Medium List 1 - Accent 61"/>
    <w:basedOn w:val="TableNormal"/>
    <w:next w:val="MediumList1-Accent6"/>
    <w:uiPriority w:val="65"/>
    <w:rsid w:val="004730BC"/>
    <w:rPr>
      <w:rFonts w:ascii="Calibri" w:eastAsia="Calibri" w:hAnsi="Calibri" w:cs="Arial"/>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61">
    <w:name w:val="Light Shading - Accent 61"/>
    <w:basedOn w:val="TableNormal"/>
    <w:next w:val="LightShading-Accent6"/>
    <w:uiPriority w:val="60"/>
    <w:locked/>
    <w:rsid w:val="004730BC"/>
    <w:rPr>
      <w:rFonts w:ascii="Calibri" w:eastAsia="Calibri" w:hAnsi="Calibri" w:cs="Arial"/>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HTMLPreformatted">
    <w:name w:val="HTML Preformatted"/>
    <w:basedOn w:val="Normal"/>
    <w:link w:val="HTMLPreformattedChar"/>
    <w:uiPriority w:val="99"/>
    <w:unhideWhenUsed/>
    <w:rsid w:val="0047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HTMLPreformattedChar">
    <w:name w:val="HTML Preformatted Char"/>
    <w:link w:val="HTMLPreformatted"/>
    <w:uiPriority w:val="99"/>
    <w:rsid w:val="004730BC"/>
    <w:rPr>
      <w:rFonts w:ascii="Courier New" w:hAnsi="Courier New" w:cs="Courier New"/>
    </w:rPr>
  </w:style>
  <w:style w:type="character" w:customStyle="1" w:styleId="mw-headline">
    <w:name w:val="mw-headline"/>
    <w:basedOn w:val="DefaultParagraphFont"/>
    <w:rsid w:val="004730BC"/>
  </w:style>
  <w:style w:type="table" w:customStyle="1" w:styleId="LightList-Accent11">
    <w:name w:val="Light List - Accent 11"/>
    <w:basedOn w:val="TableNormal"/>
    <w:next w:val="LightList-Accent12"/>
    <w:uiPriority w:val="61"/>
    <w:rsid w:val="004730BC"/>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umpedfont15">
    <w:name w:val="bumpedfont15"/>
    <w:basedOn w:val="DefaultParagraphFont"/>
    <w:rsid w:val="004730BC"/>
  </w:style>
  <w:style w:type="character" w:customStyle="1" w:styleId="apple-converted-space">
    <w:name w:val="apple-converted-space"/>
    <w:basedOn w:val="DefaultParagraphFont"/>
    <w:rsid w:val="004730BC"/>
  </w:style>
  <w:style w:type="paragraph" w:customStyle="1" w:styleId="Title1">
    <w:name w:val="Title1"/>
    <w:basedOn w:val="Normal"/>
    <w:next w:val="Normal"/>
    <w:uiPriority w:val="10"/>
    <w:rsid w:val="004730BC"/>
    <w:pPr>
      <w:bidi w:val="0"/>
      <w:contextualSpacing/>
    </w:pPr>
    <w:rPr>
      <w:rFonts w:ascii="Cambria" w:hAnsi="Cambria"/>
      <w:spacing w:val="-10"/>
      <w:kern w:val="28"/>
      <w:sz w:val="56"/>
      <w:szCs w:val="56"/>
    </w:rPr>
  </w:style>
  <w:style w:type="character" w:customStyle="1" w:styleId="TitleChar">
    <w:name w:val="Title Char"/>
    <w:link w:val="Title"/>
    <w:rsid w:val="004730BC"/>
    <w:rPr>
      <w:rFonts w:ascii="Cambria" w:eastAsia="Times New Roman" w:hAnsi="Cambria" w:cs="Times New Roman"/>
      <w:spacing w:val="-10"/>
      <w:kern w:val="28"/>
      <w:sz w:val="56"/>
      <w:szCs w:val="56"/>
    </w:rPr>
  </w:style>
  <w:style w:type="paragraph" w:customStyle="1" w:styleId="s3">
    <w:name w:val="s3"/>
    <w:basedOn w:val="Normal"/>
    <w:rsid w:val="004730BC"/>
    <w:pPr>
      <w:bidi w:val="0"/>
      <w:spacing w:before="100" w:beforeAutospacing="1" w:after="100" w:afterAutospacing="1"/>
    </w:pPr>
  </w:style>
  <w:style w:type="character" w:customStyle="1" w:styleId="s6">
    <w:name w:val="s6"/>
    <w:basedOn w:val="DefaultParagraphFont"/>
    <w:rsid w:val="004730BC"/>
  </w:style>
  <w:style w:type="character" w:customStyle="1" w:styleId="s8">
    <w:name w:val="s8"/>
    <w:basedOn w:val="DefaultParagraphFont"/>
    <w:rsid w:val="004730BC"/>
  </w:style>
  <w:style w:type="character" w:customStyle="1" w:styleId="s9">
    <w:name w:val="s9"/>
    <w:basedOn w:val="DefaultParagraphFont"/>
    <w:rsid w:val="004730BC"/>
  </w:style>
  <w:style w:type="character" w:customStyle="1" w:styleId="s4">
    <w:name w:val="s4"/>
    <w:basedOn w:val="DefaultParagraphFont"/>
    <w:rsid w:val="004730BC"/>
  </w:style>
  <w:style w:type="paragraph" w:customStyle="1" w:styleId="s11">
    <w:name w:val="s11"/>
    <w:basedOn w:val="Normal"/>
    <w:rsid w:val="004730BC"/>
    <w:pPr>
      <w:bidi w:val="0"/>
      <w:spacing w:before="100" w:beforeAutospacing="1" w:after="100" w:afterAutospacing="1"/>
    </w:pPr>
  </w:style>
  <w:style w:type="character" w:customStyle="1" w:styleId="display-block">
    <w:name w:val="display-block"/>
    <w:basedOn w:val="DefaultParagraphFont"/>
    <w:rsid w:val="004730BC"/>
  </w:style>
  <w:style w:type="character" w:customStyle="1" w:styleId="contentauthor--name">
    <w:name w:val="content__author--name"/>
    <w:basedOn w:val="DefaultParagraphFont"/>
    <w:rsid w:val="004730BC"/>
  </w:style>
  <w:style w:type="character" w:customStyle="1" w:styleId="contentauthor--date">
    <w:name w:val="content__author--date"/>
    <w:basedOn w:val="DefaultParagraphFont"/>
    <w:rsid w:val="004730BC"/>
  </w:style>
  <w:style w:type="paragraph" w:customStyle="1" w:styleId="simplepara">
    <w:name w:val="simplepara"/>
    <w:basedOn w:val="Normal"/>
    <w:uiPriority w:val="99"/>
    <w:rsid w:val="004730BC"/>
    <w:pPr>
      <w:bidi w:val="0"/>
      <w:spacing w:before="100" w:beforeAutospacing="1" w:after="100" w:afterAutospacing="1"/>
    </w:pPr>
  </w:style>
  <w:style w:type="character" w:customStyle="1" w:styleId="s2">
    <w:name w:val="s2"/>
    <w:basedOn w:val="DefaultParagraphFont"/>
    <w:rsid w:val="004730BC"/>
  </w:style>
  <w:style w:type="table" w:customStyle="1" w:styleId="GridTable5Dark-Accent31">
    <w:name w:val="Grid Table 5 Dark - Accent 31"/>
    <w:basedOn w:val="TableNormal"/>
    <w:next w:val="GridTable5Dark-Accent3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21">
    <w:name w:val="Grid Table 6 Colorful - Accent 21"/>
    <w:basedOn w:val="TableNormal"/>
    <w:next w:val="GridTable6Colorful-Accent22"/>
    <w:uiPriority w:val="51"/>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
    <w:name w:val="Grid Table 7 Colorful - Accent 21"/>
    <w:basedOn w:val="TableNormal"/>
    <w:next w:val="GridTable7Colorful-Accent22"/>
    <w:uiPriority w:val="52"/>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1">
    <w:name w:val="Grid Table 7 Colorful1"/>
    <w:basedOn w:val="TableNormal"/>
    <w:next w:val="GridTable7Colorful2"/>
    <w:uiPriority w:val="52"/>
    <w:rsid w:val="004730BC"/>
    <w:rPr>
      <w:rFonts w:ascii="Calibri" w:eastAsia="Calibri" w:hAnsi="Calibri" w:cs="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1">
    <w:name w:val="Grid Table 2 - Accent 41"/>
    <w:basedOn w:val="TableNormal"/>
    <w:next w:val="GridTable2-Accent42"/>
    <w:uiPriority w:val="47"/>
    <w:locked/>
    <w:rsid w:val="004730BC"/>
    <w:rPr>
      <w:rFonts w:ascii="Calibri" w:eastAsia="Calibri" w:hAnsi="Calibri" w:cs="Arial"/>
      <w:sz w:val="22"/>
      <w:szCs w:val="22"/>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1">
    <w:name w:val="List Table 31"/>
    <w:basedOn w:val="TableNormal"/>
    <w:next w:val="ListTable32"/>
    <w:uiPriority w:val="48"/>
    <w:rsid w:val="004730BC"/>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1">
    <w:name w:val="Grid Table 1 Light - Accent 41"/>
    <w:basedOn w:val="TableNormal"/>
    <w:next w:val="GridTable1Light-Accent42"/>
    <w:uiPriority w:val="46"/>
    <w:locked/>
    <w:rsid w:val="004730BC"/>
    <w:rPr>
      <w:rFonts w:ascii="Calibri" w:eastAsia="Calibri" w:hAnsi="Calibri" w:cs="Arial"/>
      <w:sz w:val="22"/>
      <w:szCs w:val="22"/>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3-Accent31">
    <w:name w:val="Grid Table 3 - Accent 31"/>
    <w:basedOn w:val="TableNormal"/>
    <w:next w:val="GridTable3-Accent32"/>
    <w:uiPriority w:val="48"/>
    <w:rsid w:val="004730BC"/>
    <w:rPr>
      <w:rFonts w:ascii="Calibri" w:eastAsia="Calibri"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6Colorful-Accent31">
    <w:name w:val="Grid Table 6 Colorful - Accent 31"/>
    <w:basedOn w:val="TableNormal"/>
    <w:next w:val="GridTable6Colorful-Accent32"/>
    <w:uiPriority w:val="51"/>
    <w:rsid w:val="004730BC"/>
    <w:rPr>
      <w:rFonts w:ascii="Calibri" w:eastAsia="Calibri"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
    <w:name w:val="Grid Table 41"/>
    <w:basedOn w:val="TableNormal"/>
    <w:next w:val="GridTable42"/>
    <w:uiPriority w:val="49"/>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GridTable32"/>
    <w:uiPriority w:val="48"/>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
    <w:name w:val="Grid Table 1 Light - Accent 11"/>
    <w:basedOn w:val="TableNormal"/>
    <w:next w:val="GridTable1Light-Accent12"/>
    <w:uiPriority w:val="46"/>
    <w:rsid w:val="004730BC"/>
    <w:rPr>
      <w:rFonts w:ascii="Calibri" w:eastAsia="Calibri" w:hAnsi="Calibri" w:cs="Arial"/>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85">
    <w:name w:val="s85"/>
    <w:basedOn w:val="Normal"/>
    <w:rsid w:val="004730BC"/>
    <w:pPr>
      <w:bidi w:val="0"/>
      <w:spacing w:before="100" w:beforeAutospacing="1" w:after="100" w:afterAutospacing="1"/>
    </w:pPr>
  </w:style>
  <w:style w:type="character" w:customStyle="1" w:styleId="s84">
    <w:name w:val="s84"/>
    <w:basedOn w:val="DefaultParagraphFont"/>
    <w:rsid w:val="004730BC"/>
  </w:style>
  <w:style w:type="character" w:customStyle="1" w:styleId="s12">
    <w:name w:val="s12"/>
    <w:basedOn w:val="DefaultParagraphFont"/>
    <w:rsid w:val="004730BC"/>
  </w:style>
  <w:style w:type="paragraph" w:customStyle="1" w:styleId="s87">
    <w:name w:val="s87"/>
    <w:basedOn w:val="Normal"/>
    <w:rsid w:val="004730BC"/>
    <w:pPr>
      <w:bidi w:val="0"/>
      <w:spacing w:before="100" w:beforeAutospacing="1" w:after="100" w:afterAutospacing="1"/>
    </w:pPr>
  </w:style>
  <w:style w:type="character" w:customStyle="1" w:styleId="s68">
    <w:name w:val="s68"/>
    <w:basedOn w:val="DefaultParagraphFont"/>
    <w:rsid w:val="004730BC"/>
  </w:style>
  <w:style w:type="paragraph" w:customStyle="1" w:styleId="s88">
    <w:name w:val="s88"/>
    <w:basedOn w:val="Normal"/>
    <w:rsid w:val="004730BC"/>
    <w:pPr>
      <w:bidi w:val="0"/>
      <w:spacing w:before="100" w:beforeAutospacing="1" w:after="100" w:afterAutospacing="1"/>
    </w:pPr>
  </w:style>
  <w:style w:type="character" w:customStyle="1" w:styleId="s89">
    <w:name w:val="s89"/>
    <w:basedOn w:val="DefaultParagraphFont"/>
    <w:rsid w:val="004730BC"/>
  </w:style>
  <w:style w:type="character" w:customStyle="1" w:styleId="s90">
    <w:name w:val="s90"/>
    <w:basedOn w:val="DefaultParagraphFont"/>
    <w:rsid w:val="004730BC"/>
  </w:style>
  <w:style w:type="table" w:customStyle="1" w:styleId="GridTable5Dark-Accent11">
    <w:name w:val="Grid Table 5 Dark - Accent 11"/>
    <w:basedOn w:val="TableNormal"/>
    <w:next w:val="GridTable5Dark-Accent1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21">
    <w:name w:val="List Table 3 - Accent 21"/>
    <w:basedOn w:val="TableNormal"/>
    <w:next w:val="ListTable3-Accent22"/>
    <w:uiPriority w:val="48"/>
    <w:rsid w:val="004730BC"/>
    <w:rPr>
      <w:rFonts w:ascii="Calibri" w:eastAsia="Calibri" w:hAnsi="Calibri" w:cs="Arial"/>
      <w:sz w:val="22"/>
      <w:szCs w:val="22"/>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GridTable1Light-Accent51">
    <w:name w:val="Grid Table 1 Light - Accent 51"/>
    <w:basedOn w:val="TableNormal"/>
    <w:next w:val="GridTable1Light-Accent52"/>
    <w:uiPriority w:val="46"/>
    <w:rsid w:val="004730BC"/>
    <w:rPr>
      <w:rFonts w:ascii="Calibri" w:eastAsia="Calibri" w:hAnsi="Calibri"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4730BC"/>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next w:val="GridTable4-Accent42"/>
    <w:uiPriority w:val="49"/>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s15">
    <w:name w:val="s15"/>
    <w:basedOn w:val="DefaultParagraphFont"/>
    <w:rsid w:val="004730BC"/>
  </w:style>
  <w:style w:type="character" w:customStyle="1" w:styleId="bumpedfont20">
    <w:name w:val="bumpedfont20"/>
    <w:basedOn w:val="DefaultParagraphFont"/>
    <w:rsid w:val="004730BC"/>
  </w:style>
  <w:style w:type="character" w:customStyle="1" w:styleId="s13">
    <w:name w:val="s13"/>
    <w:basedOn w:val="DefaultParagraphFont"/>
    <w:rsid w:val="004730BC"/>
  </w:style>
  <w:style w:type="paragraph" w:customStyle="1" w:styleId="s160">
    <w:name w:val="s160"/>
    <w:basedOn w:val="Normal"/>
    <w:rsid w:val="004730BC"/>
    <w:pPr>
      <w:bidi w:val="0"/>
      <w:spacing w:before="100" w:beforeAutospacing="1" w:after="100" w:afterAutospacing="1"/>
    </w:pPr>
  </w:style>
  <w:style w:type="character" w:customStyle="1" w:styleId="s97">
    <w:name w:val="s97"/>
    <w:basedOn w:val="DefaultParagraphFont"/>
    <w:rsid w:val="004730BC"/>
  </w:style>
  <w:style w:type="paragraph" w:customStyle="1" w:styleId="s23">
    <w:name w:val="s23"/>
    <w:basedOn w:val="Normal"/>
    <w:rsid w:val="004730BC"/>
    <w:pPr>
      <w:bidi w:val="0"/>
      <w:spacing w:before="100" w:beforeAutospacing="1" w:after="100" w:afterAutospacing="1"/>
    </w:pPr>
  </w:style>
  <w:style w:type="paragraph" w:customStyle="1" w:styleId="s151">
    <w:name w:val="s151"/>
    <w:basedOn w:val="Normal"/>
    <w:rsid w:val="004730BC"/>
    <w:pPr>
      <w:bidi w:val="0"/>
      <w:spacing w:before="100" w:beforeAutospacing="1" w:after="100" w:afterAutospacing="1"/>
    </w:pPr>
  </w:style>
  <w:style w:type="character" w:customStyle="1" w:styleId="s180">
    <w:name w:val="s180"/>
    <w:basedOn w:val="DefaultParagraphFont"/>
    <w:rsid w:val="004730BC"/>
  </w:style>
  <w:style w:type="character" w:customStyle="1" w:styleId="s46">
    <w:name w:val="s46"/>
    <w:basedOn w:val="DefaultParagraphFont"/>
    <w:rsid w:val="004730BC"/>
  </w:style>
  <w:style w:type="character" w:customStyle="1" w:styleId="s185">
    <w:name w:val="s185"/>
    <w:basedOn w:val="DefaultParagraphFont"/>
    <w:rsid w:val="004730BC"/>
  </w:style>
  <w:style w:type="paragraph" w:customStyle="1" w:styleId="s186">
    <w:name w:val="s186"/>
    <w:basedOn w:val="Normal"/>
    <w:rsid w:val="004730BC"/>
    <w:pPr>
      <w:bidi w:val="0"/>
      <w:spacing w:before="100" w:beforeAutospacing="1" w:after="100" w:afterAutospacing="1"/>
    </w:pPr>
  </w:style>
  <w:style w:type="paragraph" w:customStyle="1" w:styleId="s188">
    <w:name w:val="s188"/>
    <w:basedOn w:val="Normal"/>
    <w:rsid w:val="004730BC"/>
    <w:pPr>
      <w:bidi w:val="0"/>
      <w:spacing w:before="100" w:beforeAutospacing="1" w:after="100" w:afterAutospacing="1"/>
    </w:pPr>
  </w:style>
  <w:style w:type="character" w:customStyle="1" w:styleId="s187">
    <w:name w:val="s187"/>
    <w:basedOn w:val="DefaultParagraphFont"/>
    <w:rsid w:val="004730BC"/>
  </w:style>
  <w:style w:type="character" w:customStyle="1" w:styleId="s189">
    <w:name w:val="s189"/>
    <w:basedOn w:val="DefaultParagraphFont"/>
    <w:rsid w:val="004730BC"/>
  </w:style>
  <w:style w:type="character" w:customStyle="1" w:styleId="s193">
    <w:name w:val="s193"/>
    <w:basedOn w:val="DefaultParagraphFont"/>
    <w:rsid w:val="004730BC"/>
  </w:style>
  <w:style w:type="table" w:customStyle="1" w:styleId="GridTable4-Accent21">
    <w:name w:val="Grid Table 4 - Accent 21"/>
    <w:basedOn w:val="TableNormal"/>
    <w:next w:val="GridTable4-Accent22"/>
    <w:uiPriority w:val="49"/>
    <w:rsid w:val="004730BC"/>
    <w:rPr>
      <w:rFonts w:ascii="Calibri" w:eastAsia="Calibri" w:hAnsi="Calibri" w:cs="Arial"/>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2">
    <w:name w:val="Grid Table 5 Dark - Accent 22"/>
    <w:basedOn w:val="TableNormal"/>
    <w:next w:val="GridTable5Dark-Accent23"/>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3-Accent41">
    <w:name w:val="Grid Table 3 - Accent 41"/>
    <w:basedOn w:val="TableNormal"/>
    <w:next w:val="GridTable3-Accent42"/>
    <w:uiPriority w:val="48"/>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2"/>
    <w:uiPriority w:val="48"/>
    <w:rsid w:val="004730BC"/>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eGridLight1">
    <w:name w:val="Table Grid Light1"/>
    <w:basedOn w:val="TableNormal"/>
    <w:next w:val="TableGridLight2"/>
    <w:uiPriority w:val="40"/>
    <w:rsid w:val="004730BC"/>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1">
    <w:name w:val="Grid Table 2 - Accent 11"/>
    <w:basedOn w:val="TableNormal"/>
    <w:next w:val="GridTable2-Accent12"/>
    <w:uiPriority w:val="47"/>
    <w:rsid w:val="004730BC"/>
    <w:rPr>
      <w:rFonts w:ascii="Calibri" w:eastAsia="Calibri" w:hAnsi="Calibri" w:cs="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118">
    <w:name w:val="s118"/>
    <w:basedOn w:val="DefaultParagraphFont"/>
    <w:rsid w:val="004730BC"/>
  </w:style>
  <w:style w:type="paragraph" w:customStyle="1" w:styleId="s152">
    <w:name w:val="s152"/>
    <w:basedOn w:val="Normal"/>
    <w:rsid w:val="004730BC"/>
    <w:pPr>
      <w:bidi w:val="0"/>
      <w:spacing w:before="100" w:beforeAutospacing="1" w:after="100" w:afterAutospacing="1"/>
    </w:pPr>
  </w:style>
  <w:style w:type="character" w:customStyle="1" w:styleId="s393">
    <w:name w:val="s393"/>
    <w:basedOn w:val="DefaultParagraphFont"/>
    <w:rsid w:val="004730BC"/>
  </w:style>
  <w:style w:type="character" w:customStyle="1" w:styleId="s394">
    <w:name w:val="s394"/>
    <w:basedOn w:val="DefaultParagraphFont"/>
    <w:rsid w:val="004730BC"/>
  </w:style>
  <w:style w:type="paragraph" w:customStyle="1" w:styleId="s397">
    <w:name w:val="s397"/>
    <w:basedOn w:val="Normal"/>
    <w:rsid w:val="004730BC"/>
    <w:pPr>
      <w:bidi w:val="0"/>
      <w:spacing w:before="100" w:beforeAutospacing="1" w:after="100" w:afterAutospacing="1"/>
    </w:pPr>
  </w:style>
  <w:style w:type="paragraph" w:customStyle="1" w:styleId="s398">
    <w:name w:val="s398"/>
    <w:basedOn w:val="Normal"/>
    <w:rsid w:val="004730BC"/>
    <w:pPr>
      <w:bidi w:val="0"/>
      <w:spacing w:before="100" w:beforeAutospacing="1" w:after="100" w:afterAutospacing="1"/>
    </w:pPr>
  </w:style>
  <w:style w:type="paragraph" w:customStyle="1" w:styleId="s402">
    <w:name w:val="s402"/>
    <w:basedOn w:val="Normal"/>
    <w:rsid w:val="004730BC"/>
    <w:pPr>
      <w:bidi w:val="0"/>
      <w:spacing w:before="100" w:beforeAutospacing="1" w:after="100" w:afterAutospacing="1"/>
    </w:pPr>
  </w:style>
  <w:style w:type="paragraph" w:customStyle="1" w:styleId="s404">
    <w:name w:val="s404"/>
    <w:basedOn w:val="Normal"/>
    <w:rsid w:val="004730BC"/>
    <w:pPr>
      <w:bidi w:val="0"/>
      <w:spacing w:before="100" w:beforeAutospacing="1" w:after="100" w:afterAutospacing="1"/>
    </w:pPr>
  </w:style>
  <w:style w:type="paragraph" w:customStyle="1" w:styleId="s407">
    <w:name w:val="s407"/>
    <w:basedOn w:val="Normal"/>
    <w:rsid w:val="004730BC"/>
    <w:pPr>
      <w:bidi w:val="0"/>
      <w:spacing w:before="100" w:beforeAutospacing="1" w:after="100" w:afterAutospacing="1"/>
    </w:pPr>
  </w:style>
  <w:style w:type="paragraph" w:customStyle="1" w:styleId="s326">
    <w:name w:val="s326"/>
    <w:basedOn w:val="Normal"/>
    <w:rsid w:val="004730BC"/>
    <w:pPr>
      <w:bidi w:val="0"/>
      <w:spacing w:before="100" w:beforeAutospacing="1" w:after="100" w:afterAutospacing="1"/>
    </w:pPr>
  </w:style>
  <w:style w:type="paragraph" w:customStyle="1" w:styleId="s139">
    <w:name w:val="s139"/>
    <w:basedOn w:val="Normal"/>
    <w:rsid w:val="004730BC"/>
    <w:pPr>
      <w:bidi w:val="0"/>
      <w:spacing w:before="100" w:beforeAutospacing="1" w:after="100" w:afterAutospacing="1"/>
    </w:pPr>
  </w:style>
  <w:style w:type="paragraph" w:customStyle="1" w:styleId="s412">
    <w:name w:val="s412"/>
    <w:basedOn w:val="Normal"/>
    <w:rsid w:val="004730BC"/>
    <w:pPr>
      <w:bidi w:val="0"/>
      <w:spacing w:before="100" w:beforeAutospacing="1" w:after="100" w:afterAutospacing="1"/>
    </w:pPr>
  </w:style>
  <w:style w:type="paragraph" w:customStyle="1" w:styleId="s414">
    <w:name w:val="s414"/>
    <w:basedOn w:val="Normal"/>
    <w:rsid w:val="004730BC"/>
    <w:pPr>
      <w:bidi w:val="0"/>
      <w:spacing w:before="100" w:beforeAutospacing="1" w:after="100" w:afterAutospacing="1"/>
    </w:pPr>
  </w:style>
  <w:style w:type="paragraph" w:customStyle="1" w:styleId="s39">
    <w:name w:val="s39"/>
    <w:basedOn w:val="Normal"/>
    <w:rsid w:val="004730BC"/>
    <w:pPr>
      <w:bidi w:val="0"/>
      <w:spacing w:before="100" w:beforeAutospacing="1" w:after="100" w:afterAutospacing="1"/>
    </w:pPr>
  </w:style>
  <w:style w:type="paragraph" w:customStyle="1" w:styleId="s416">
    <w:name w:val="s416"/>
    <w:basedOn w:val="Normal"/>
    <w:rsid w:val="004730BC"/>
    <w:pPr>
      <w:bidi w:val="0"/>
      <w:spacing w:before="100" w:beforeAutospacing="1" w:after="100" w:afterAutospacing="1"/>
    </w:pPr>
  </w:style>
  <w:style w:type="paragraph" w:customStyle="1" w:styleId="s417">
    <w:name w:val="s417"/>
    <w:basedOn w:val="Normal"/>
    <w:rsid w:val="004730BC"/>
    <w:pPr>
      <w:bidi w:val="0"/>
      <w:spacing w:before="100" w:beforeAutospacing="1" w:after="100" w:afterAutospacing="1"/>
    </w:pPr>
  </w:style>
  <w:style w:type="paragraph" w:customStyle="1" w:styleId="s420">
    <w:name w:val="s420"/>
    <w:basedOn w:val="Normal"/>
    <w:rsid w:val="004730BC"/>
    <w:pPr>
      <w:bidi w:val="0"/>
      <w:spacing w:before="100" w:beforeAutospacing="1" w:after="100" w:afterAutospacing="1"/>
    </w:pPr>
  </w:style>
  <w:style w:type="paragraph" w:customStyle="1" w:styleId="s18">
    <w:name w:val="s18"/>
    <w:basedOn w:val="Normal"/>
    <w:rsid w:val="004730BC"/>
    <w:pPr>
      <w:bidi w:val="0"/>
      <w:spacing w:before="100" w:beforeAutospacing="1" w:after="100" w:afterAutospacing="1"/>
    </w:pPr>
  </w:style>
  <w:style w:type="paragraph" w:customStyle="1" w:styleId="s428">
    <w:name w:val="s428"/>
    <w:basedOn w:val="Normal"/>
    <w:rsid w:val="004730BC"/>
    <w:pPr>
      <w:bidi w:val="0"/>
      <w:spacing w:before="100" w:beforeAutospacing="1" w:after="100" w:afterAutospacing="1"/>
    </w:pPr>
  </w:style>
  <w:style w:type="character" w:customStyle="1" w:styleId="s427">
    <w:name w:val="s427"/>
    <w:basedOn w:val="DefaultParagraphFont"/>
    <w:rsid w:val="004730BC"/>
  </w:style>
  <w:style w:type="character" w:customStyle="1" w:styleId="s429">
    <w:name w:val="s429"/>
    <w:basedOn w:val="DefaultParagraphFont"/>
    <w:rsid w:val="004730BC"/>
  </w:style>
  <w:style w:type="paragraph" w:customStyle="1" w:styleId="s436">
    <w:name w:val="s436"/>
    <w:basedOn w:val="Normal"/>
    <w:rsid w:val="004730BC"/>
    <w:pPr>
      <w:bidi w:val="0"/>
      <w:spacing w:before="100" w:beforeAutospacing="1" w:after="100" w:afterAutospacing="1"/>
    </w:pPr>
  </w:style>
  <w:style w:type="paragraph" w:customStyle="1" w:styleId="s439">
    <w:name w:val="s439"/>
    <w:basedOn w:val="Normal"/>
    <w:rsid w:val="004730BC"/>
    <w:pPr>
      <w:bidi w:val="0"/>
      <w:spacing w:before="100" w:beforeAutospacing="1" w:after="100" w:afterAutospacing="1"/>
    </w:pPr>
  </w:style>
  <w:style w:type="paragraph" w:customStyle="1" w:styleId="s440">
    <w:name w:val="s440"/>
    <w:basedOn w:val="Normal"/>
    <w:rsid w:val="004730BC"/>
    <w:pPr>
      <w:bidi w:val="0"/>
      <w:spacing w:before="100" w:beforeAutospacing="1" w:after="100" w:afterAutospacing="1"/>
    </w:pPr>
  </w:style>
  <w:style w:type="paragraph" w:customStyle="1" w:styleId="s442">
    <w:name w:val="s442"/>
    <w:basedOn w:val="Normal"/>
    <w:rsid w:val="004730BC"/>
    <w:pPr>
      <w:bidi w:val="0"/>
      <w:spacing w:before="100" w:beforeAutospacing="1" w:after="100" w:afterAutospacing="1"/>
    </w:pPr>
  </w:style>
  <w:style w:type="paragraph" w:customStyle="1" w:styleId="s443">
    <w:name w:val="s443"/>
    <w:basedOn w:val="Normal"/>
    <w:rsid w:val="004730BC"/>
    <w:pPr>
      <w:bidi w:val="0"/>
      <w:spacing w:before="100" w:beforeAutospacing="1" w:after="100" w:afterAutospacing="1"/>
    </w:pPr>
  </w:style>
  <w:style w:type="paragraph" w:customStyle="1" w:styleId="s444">
    <w:name w:val="s444"/>
    <w:basedOn w:val="Normal"/>
    <w:rsid w:val="004730BC"/>
    <w:pPr>
      <w:bidi w:val="0"/>
      <w:spacing w:before="100" w:beforeAutospacing="1" w:after="100" w:afterAutospacing="1"/>
    </w:pPr>
  </w:style>
  <w:style w:type="character" w:customStyle="1" w:styleId="s445">
    <w:name w:val="s445"/>
    <w:basedOn w:val="DefaultParagraphFont"/>
    <w:rsid w:val="004730BC"/>
  </w:style>
  <w:style w:type="paragraph" w:customStyle="1" w:styleId="s448">
    <w:name w:val="s448"/>
    <w:basedOn w:val="Normal"/>
    <w:rsid w:val="004730BC"/>
    <w:pPr>
      <w:bidi w:val="0"/>
      <w:spacing w:before="100" w:beforeAutospacing="1" w:after="100" w:afterAutospacing="1"/>
    </w:pPr>
  </w:style>
  <w:style w:type="paragraph" w:customStyle="1" w:styleId="s31">
    <w:name w:val="s31"/>
    <w:basedOn w:val="Normal"/>
    <w:rsid w:val="004730BC"/>
    <w:pPr>
      <w:bidi w:val="0"/>
      <w:spacing w:before="100" w:beforeAutospacing="1" w:after="100" w:afterAutospacing="1"/>
    </w:pPr>
  </w:style>
  <w:style w:type="character" w:customStyle="1" w:styleId="s450">
    <w:name w:val="s450"/>
    <w:basedOn w:val="DefaultParagraphFont"/>
    <w:rsid w:val="004730BC"/>
  </w:style>
  <w:style w:type="table" w:customStyle="1" w:styleId="PlainTable11">
    <w:name w:val="Plain Table 11"/>
    <w:basedOn w:val="TableNormal"/>
    <w:next w:val="PlainTable12"/>
    <w:uiPriority w:val="41"/>
    <w:rsid w:val="004730BC"/>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36">
    <w:name w:val="s136"/>
    <w:basedOn w:val="Normal"/>
    <w:rsid w:val="004730BC"/>
    <w:pPr>
      <w:bidi w:val="0"/>
      <w:spacing w:before="100" w:beforeAutospacing="1" w:after="100" w:afterAutospacing="1"/>
    </w:pPr>
  </w:style>
  <w:style w:type="paragraph" w:customStyle="1" w:styleId="s281">
    <w:name w:val="s281"/>
    <w:basedOn w:val="Normal"/>
    <w:rsid w:val="004730BC"/>
    <w:pPr>
      <w:bidi w:val="0"/>
      <w:spacing w:before="100" w:beforeAutospacing="1" w:after="100" w:afterAutospacing="1"/>
    </w:pPr>
  </w:style>
  <w:style w:type="paragraph" w:customStyle="1" w:styleId="s285">
    <w:name w:val="s285"/>
    <w:basedOn w:val="Normal"/>
    <w:rsid w:val="004730BC"/>
    <w:pPr>
      <w:bidi w:val="0"/>
      <w:spacing w:before="100" w:beforeAutospacing="1" w:after="100" w:afterAutospacing="1"/>
    </w:pPr>
  </w:style>
  <w:style w:type="paragraph" w:customStyle="1" w:styleId="s42">
    <w:name w:val="s42"/>
    <w:basedOn w:val="Normal"/>
    <w:rsid w:val="004730BC"/>
    <w:pPr>
      <w:bidi w:val="0"/>
      <w:spacing w:before="100" w:beforeAutospacing="1" w:after="100" w:afterAutospacing="1"/>
    </w:pPr>
  </w:style>
  <w:style w:type="paragraph" w:customStyle="1" w:styleId="s123">
    <w:name w:val="s123"/>
    <w:basedOn w:val="Normal"/>
    <w:rsid w:val="004730BC"/>
    <w:pPr>
      <w:bidi w:val="0"/>
      <w:spacing w:before="100" w:beforeAutospacing="1" w:after="100" w:afterAutospacing="1"/>
    </w:pPr>
  </w:style>
  <w:style w:type="paragraph" w:customStyle="1" w:styleId="s318">
    <w:name w:val="s318"/>
    <w:basedOn w:val="Normal"/>
    <w:rsid w:val="004730BC"/>
    <w:pPr>
      <w:bidi w:val="0"/>
      <w:spacing w:before="100" w:beforeAutospacing="1" w:after="100" w:afterAutospacing="1"/>
    </w:pPr>
  </w:style>
  <w:style w:type="paragraph" w:customStyle="1" w:styleId="s316">
    <w:name w:val="s316"/>
    <w:basedOn w:val="Normal"/>
    <w:rsid w:val="004730BC"/>
    <w:pPr>
      <w:bidi w:val="0"/>
      <w:spacing w:before="100" w:beforeAutospacing="1" w:after="100" w:afterAutospacing="1"/>
    </w:pPr>
  </w:style>
  <w:style w:type="paragraph" w:customStyle="1" w:styleId="s320">
    <w:name w:val="s320"/>
    <w:basedOn w:val="Normal"/>
    <w:rsid w:val="004730BC"/>
    <w:pPr>
      <w:bidi w:val="0"/>
      <w:spacing w:before="100" w:beforeAutospacing="1" w:after="100" w:afterAutospacing="1"/>
    </w:pPr>
  </w:style>
  <w:style w:type="paragraph" w:customStyle="1" w:styleId="s321">
    <w:name w:val="s321"/>
    <w:basedOn w:val="Normal"/>
    <w:rsid w:val="004730BC"/>
    <w:pPr>
      <w:bidi w:val="0"/>
      <w:spacing w:before="100" w:beforeAutospacing="1" w:after="100" w:afterAutospacing="1"/>
    </w:pPr>
  </w:style>
  <w:style w:type="paragraph" w:customStyle="1" w:styleId="s43">
    <w:name w:val="s43"/>
    <w:basedOn w:val="Normal"/>
    <w:rsid w:val="004730BC"/>
    <w:pPr>
      <w:bidi w:val="0"/>
      <w:spacing w:before="100" w:beforeAutospacing="1" w:after="100" w:afterAutospacing="1"/>
    </w:pPr>
  </w:style>
  <w:style w:type="paragraph" w:customStyle="1" w:styleId="s143">
    <w:name w:val="s143"/>
    <w:basedOn w:val="Normal"/>
    <w:rsid w:val="004730BC"/>
    <w:pPr>
      <w:bidi w:val="0"/>
      <w:spacing w:before="100" w:beforeAutospacing="1" w:after="100" w:afterAutospacing="1"/>
    </w:pPr>
  </w:style>
  <w:style w:type="paragraph" w:customStyle="1" w:styleId="s410">
    <w:name w:val="s410"/>
    <w:basedOn w:val="Normal"/>
    <w:rsid w:val="004730BC"/>
    <w:pPr>
      <w:bidi w:val="0"/>
      <w:spacing w:before="100" w:beforeAutospacing="1" w:after="100" w:afterAutospacing="1"/>
    </w:pPr>
  </w:style>
  <w:style w:type="paragraph" w:customStyle="1" w:styleId="s34">
    <w:name w:val="s34"/>
    <w:basedOn w:val="Normal"/>
    <w:rsid w:val="004730BC"/>
    <w:pPr>
      <w:bidi w:val="0"/>
      <w:spacing w:before="100" w:beforeAutospacing="1" w:after="100" w:afterAutospacing="1"/>
    </w:pPr>
  </w:style>
  <w:style w:type="character" w:customStyle="1" w:styleId="referencesarticle-title">
    <w:name w:val="references__article-title"/>
    <w:basedOn w:val="DefaultParagraphFont"/>
    <w:rsid w:val="004730BC"/>
  </w:style>
  <w:style w:type="character" w:customStyle="1" w:styleId="referencesyear">
    <w:name w:val="references__year"/>
    <w:basedOn w:val="DefaultParagraphFont"/>
    <w:rsid w:val="004730BC"/>
  </w:style>
  <w:style w:type="character" w:customStyle="1" w:styleId="html-italic">
    <w:name w:val="html-italic"/>
    <w:basedOn w:val="DefaultParagraphFont"/>
    <w:rsid w:val="004730BC"/>
  </w:style>
  <w:style w:type="character" w:customStyle="1" w:styleId="mi">
    <w:name w:val="mi"/>
    <w:basedOn w:val="DefaultParagraphFont"/>
    <w:rsid w:val="004730BC"/>
  </w:style>
  <w:style w:type="character" w:customStyle="1" w:styleId="mo">
    <w:name w:val="mo"/>
    <w:basedOn w:val="DefaultParagraphFont"/>
    <w:rsid w:val="004730BC"/>
  </w:style>
  <w:style w:type="character" w:customStyle="1" w:styleId="mn">
    <w:name w:val="mn"/>
    <w:basedOn w:val="DefaultParagraphFont"/>
    <w:rsid w:val="004730BC"/>
  </w:style>
  <w:style w:type="character" w:customStyle="1" w:styleId="cit-name-surname">
    <w:name w:val="cit-name-surname"/>
    <w:basedOn w:val="DefaultParagraphFont"/>
    <w:rsid w:val="004730BC"/>
  </w:style>
  <w:style w:type="character" w:customStyle="1" w:styleId="cit-name-given-names">
    <w:name w:val="cit-name-given-names"/>
    <w:basedOn w:val="DefaultParagraphFont"/>
    <w:rsid w:val="004730BC"/>
  </w:style>
  <w:style w:type="character" w:customStyle="1" w:styleId="cit-etal">
    <w:name w:val="cit-etal"/>
    <w:basedOn w:val="DefaultParagraphFont"/>
    <w:rsid w:val="004730BC"/>
  </w:style>
  <w:style w:type="character" w:styleId="HTMLCite">
    <w:name w:val="HTML Cite"/>
    <w:uiPriority w:val="99"/>
    <w:unhideWhenUsed/>
    <w:rsid w:val="004730BC"/>
    <w:rPr>
      <w:i/>
      <w:iCs/>
    </w:rPr>
  </w:style>
  <w:style w:type="character" w:customStyle="1" w:styleId="cit-article-title">
    <w:name w:val="cit-article-title"/>
    <w:basedOn w:val="DefaultParagraphFont"/>
    <w:rsid w:val="004730BC"/>
  </w:style>
  <w:style w:type="character" w:customStyle="1" w:styleId="cit-pub-date">
    <w:name w:val="cit-pub-date"/>
    <w:basedOn w:val="DefaultParagraphFont"/>
    <w:rsid w:val="004730BC"/>
  </w:style>
  <w:style w:type="character" w:customStyle="1" w:styleId="cit-vol">
    <w:name w:val="cit-vol"/>
    <w:basedOn w:val="DefaultParagraphFont"/>
    <w:rsid w:val="004730BC"/>
  </w:style>
  <w:style w:type="character" w:customStyle="1" w:styleId="cit-fpage">
    <w:name w:val="cit-fpage"/>
    <w:basedOn w:val="DefaultParagraphFont"/>
    <w:rsid w:val="004730BC"/>
  </w:style>
  <w:style w:type="character" w:customStyle="1" w:styleId="cit-lpage">
    <w:name w:val="cit-lpage"/>
    <w:basedOn w:val="DefaultParagraphFont"/>
    <w:rsid w:val="004730BC"/>
  </w:style>
  <w:style w:type="character" w:customStyle="1" w:styleId="ref-journal">
    <w:name w:val="ref-journal"/>
    <w:basedOn w:val="DefaultParagraphFont"/>
    <w:rsid w:val="004730BC"/>
  </w:style>
  <w:style w:type="table" w:styleId="LightGrid-Accent4">
    <w:name w:val="Light Grid Accent 4"/>
    <w:basedOn w:val="TableNormal"/>
    <w:uiPriority w:val="62"/>
    <w:rsid w:val="004730BC"/>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MediumShading2-Accent2">
    <w:name w:val="Medium Shading 2 Accent 2"/>
    <w:basedOn w:val="TableNormal"/>
    <w:uiPriority w:val="64"/>
    <w:rsid w:val="004730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4730BC"/>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4">
    <w:name w:val="Light List Accent 4"/>
    <w:basedOn w:val="TableNormal"/>
    <w:uiPriority w:val="61"/>
    <w:rsid w:val="004730BC"/>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Accent12">
    <w:name w:val="Light Shading - Accent 12"/>
    <w:basedOn w:val="TableNormal"/>
    <w:uiPriority w:val="60"/>
    <w:rsid w:val="004730BC"/>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4730BC"/>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MediumList1-Accent6">
    <w:name w:val="Medium List 1 Accent 6"/>
    <w:basedOn w:val="TableNormal"/>
    <w:uiPriority w:val="65"/>
    <w:rsid w:val="004730BC"/>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ghtShading-Accent6">
    <w:name w:val="Light Shading Accent 6"/>
    <w:basedOn w:val="TableNormal"/>
    <w:uiPriority w:val="60"/>
    <w:rsid w:val="004730BC"/>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Accent12">
    <w:name w:val="Light List - Accent 12"/>
    <w:basedOn w:val="TableNormal"/>
    <w:uiPriority w:val="61"/>
    <w:rsid w:val="004730BC"/>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itle">
    <w:name w:val="Title"/>
    <w:basedOn w:val="Normal"/>
    <w:next w:val="Normal"/>
    <w:link w:val="TitleChar"/>
    <w:rsid w:val="004730BC"/>
    <w:pPr>
      <w:spacing w:before="240" w:after="60"/>
      <w:jc w:val="center"/>
      <w:outlineLvl w:val="0"/>
    </w:pPr>
    <w:rPr>
      <w:rFonts w:ascii="Cambria" w:hAnsi="Cambria"/>
      <w:spacing w:val="-10"/>
      <w:kern w:val="28"/>
      <w:sz w:val="56"/>
      <w:szCs w:val="56"/>
    </w:rPr>
  </w:style>
  <w:style w:type="character" w:customStyle="1" w:styleId="TitleChar1">
    <w:name w:val="Title Char1"/>
    <w:rsid w:val="004730BC"/>
    <w:rPr>
      <w:rFonts w:ascii="Calibri Light" w:eastAsia="Times New Roman" w:hAnsi="Calibri Light" w:cs="Times New Roman"/>
      <w:b/>
      <w:bCs/>
      <w:kern w:val="28"/>
      <w:sz w:val="32"/>
      <w:szCs w:val="32"/>
    </w:rPr>
  </w:style>
  <w:style w:type="table" w:customStyle="1" w:styleId="GridTable5Dark-Accent32">
    <w:name w:val="Grid Table 5 Dark - Accent 3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6Colorful-Accent22">
    <w:name w:val="Grid Table 6 Colorful - Accent 22"/>
    <w:basedOn w:val="TableNormal"/>
    <w:uiPriority w:val="51"/>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22">
    <w:name w:val="Grid Table 7 Colorful - Accent 22"/>
    <w:basedOn w:val="TableNormal"/>
    <w:uiPriority w:val="52"/>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2">
    <w:name w:val="Grid Table 7 Colorful2"/>
    <w:basedOn w:val="TableNormal"/>
    <w:uiPriority w:val="52"/>
    <w:rsid w:val="004730B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2">
    <w:name w:val="Grid Table 2 - Accent 42"/>
    <w:basedOn w:val="TableNormal"/>
    <w:uiPriority w:val="47"/>
    <w:rsid w:val="004730BC"/>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32">
    <w:name w:val="List Table 32"/>
    <w:basedOn w:val="TableNormal"/>
    <w:uiPriority w:val="48"/>
    <w:rsid w:val="004730B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2">
    <w:name w:val="Grid Table 1 Light - Accent 42"/>
    <w:basedOn w:val="TableNormal"/>
    <w:uiPriority w:val="46"/>
    <w:rsid w:val="004730BC"/>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3-Accent32">
    <w:name w:val="Grid Table 3 - Accent 32"/>
    <w:basedOn w:val="TableNormal"/>
    <w:uiPriority w:val="48"/>
    <w:rsid w:val="004730B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6Colorful-Accent32">
    <w:name w:val="Grid Table 6 Colorful - Accent 32"/>
    <w:basedOn w:val="TableNormal"/>
    <w:uiPriority w:val="51"/>
    <w:rsid w:val="004730B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uiPriority w:val="49"/>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TableNormal"/>
    <w:uiPriority w:val="48"/>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2">
    <w:name w:val="Grid Table 1 Light - Accent 12"/>
    <w:basedOn w:val="TableNormal"/>
    <w:uiPriority w:val="46"/>
    <w:rsid w:val="004730B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22">
    <w:name w:val="List Table 3 - Accent 22"/>
    <w:basedOn w:val="TableNormal"/>
    <w:uiPriority w:val="48"/>
    <w:rsid w:val="004730BC"/>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1Light-Accent52">
    <w:name w:val="Grid Table 1 Light - Accent 52"/>
    <w:basedOn w:val="TableNormal"/>
    <w:uiPriority w:val="46"/>
    <w:rsid w:val="004730B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42">
    <w:name w:val="Grid Table 4 - Accent 42"/>
    <w:basedOn w:val="TableNormal"/>
    <w:uiPriority w:val="49"/>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2">
    <w:name w:val="Grid Table 4 - Accent 22"/>
    <w:basedOn w:val="TableNormal"/>
    <w:uiPriority w:val="49"/>
    <w:rsid w:val="004730B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
    <w:name w:val="Grid Table 5 Dark - Accent 23"/>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3-Accent42">
    <w:name w:val="Grid Table 3 - Accent 42"/>
    <w:basedOn w:val="TableNormal"/>
    <w:uiPriority w:val="48"/>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uiPriority w:val="48"/>
    <w:rsid w:val="004730BC"/>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GridLight2">
    <w:name w:val="Table Grid Light2"/>
    <w:basedOn w:val="TableNormal"/>
    <w:uiPriority w:val="40"/>
    <w:rsid w:val="004730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2">
    <w:name w:val="Grid Table 2 - Accent 12"/>
    <w:basedOn w:val="TableNormal"/>
    <w:uiPriority w:val="47"/>
    <w:rsid w:val="004730B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rsid w:val="004730B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1">
    <w:name w:val="Grid Table 5 Dark - Accent 511"/>
    <w:basedOn w:val="TableNormal"/>
    <w:uiPriority w:val="50"/>
    <w:rsid w:val="004F5DED"/>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0">
    <w:name w:val="fig"/>
    <w:basedOn w:val="Caption"/>
    <w:link w:val="figChar0"/>
    <w:rsid w:val="009A5937"/>
    <w:pPr>
      <w:jc w:val="center"/>
    </w:pPr>
    <w:rPr>
      <w:color w:val="auto"/>
      <w:szCs w:val="24"/>
    </w:rPr>
  </w:style>
  <w:style w:type="character" w:customStyle="1" w:styleId="figChar0">
    <w:name w:val="fig Char"/>
    <w:link w:val="fig0"/>
    <w:rsid w:val="009A5937"/>
    <w:rPr>
      <w:rFonts w:eastAsia="Calibri"/>
      <w:b/>
      <w:bCs/>
      <w:sz w:val="24"/>
      <w:szCs w:val="24"/>
    </w:rPr>
  </w:style>
  <w:style w:type="character" w:customStyle="1" w:styleId="CaptionChar">
    <w:name w:val="Caption Char"/>
    <w:link w:val="Caption"/>
    <w:uiPriority w:val="35"/>
    <w:rsid w:val="002A741F"/>
    <w:rPr>
      <w:b/>
      <w:bCs/>
      <w:color w:val="000000"/>
      <w:sz w:val="24"/>
      <w:szCs w:val="36"/>
      <w:lang w:val="en-GB"/>
    </w:rPr>
  </w:style>
  <w:style w:type="table" w:customStyle="1" w:styleId="GridTable5Dark-Accent512">
    <w:name w:val="Grid Table 5 Dark - Accent 512"/>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
    <w:name w:val="Grid Table 5 Dark - Accent 513"/>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4">
    <w:name w:val="Grid Table 5 Dark - Accent 514"/>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5">
    <w:name w:val="Grid Table 5 Dark - Accent 515"/>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6">
    <w:name w:val="Grid Table 5 Dark - Accent 516"/>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1">
    <w:name w:val="Unresolved Mention1"/>
    <w:uiPriority w:val="99"/>
    <w:semiHidden/>
    <w:unhideWhenUsed/>
    <w:rsid w:val="00F26BBC"/>
    <w:rPr>
      <w:color w:val="605E5C"/>
      <w:shd w:val="clear" w:color="auto" w:fill="E1DFDD"/>
    </w:rPr>
  </w:style>
  <w:style w:type="paragraph" w:customStyle="1" w:styleId="ssc">
    <w:name w:val="ssc"/>
    <w:basedOn w:val="Normal"/>
    <w:rsid w:val="002D4942"/>
    <w:pPr>
      <w:bidi w:val="0"/>
      <w:spacing w:before="100" w:beforeAutospacing="1" w:after="100" w:afterAutospacing="1"/>
    </w:pPr>
  </w:style>
  <w:style w:type="character" w:customStyle="1" w:styleId="ParagraphChar0">
    <w:name w:val="Paragraph Char"/>
    <w:link w:val="Paragraph0"/>
    <w:locked/>
    <w:rsid w:val="006320FC"/>
    <w:rPr>
      <w:rFonts w:ascii="AdvOT678fd422" w:eastAsia="AdvOT678fd422" w:hAnsi="AdvOT678fd422"/>
      <w:sz w:val="28"/>
      <w:szCs w:val="22"/>
      <w:lang w:bidi="en-US"/>
    </w:rPr>
  </w:style>
  <w:style w:type="paragraph" w:customStyle="1" w:styleId="Paragraph0">
    <w:name w:val="Paragraph"/>
    <w:basedOn w:val="Normal"/>
    <w:link w:val="ParagraphChar0"/>
    <w:rsid w:val="006320FC"/>
    <w:pPr>
      <w:bidi w:val="0"/>
      <w:spacing w:after="200" w:line="360" w:lineRule="auto"/>
      <w:ind w:firstLine="720"/>
      <w:jc w:val="both"/>
    </w:pPr>
    <w:rPr>
      <w:rFonts w:ascii="AdvOT678fd422" w:eastAsia="AdvOT678fd422" w:hAnsi="AdvOT678fd422"/>
      <w:sz w:val="28"/>
      <w:szCs w:val="22"/>
      <w:lang w:bidi="en-US"/>
    </w:rPr>
  </w:style>
  <w:style w:type="character" w:styleId="FollowedHyperlink">
    <w:name w:val="FollowedHyperlink"/>
    <w:uiPriority w:val="99"/>
    <w:unhideWhenUsed/>
    <w:rsid w:val="006320FC"/>
    <w:rPr>
      <w:color w:val="800080"/>
      <w:u w:val="single"/>
    </w:rPr>
  </w:style>
  <w:style w:type="paragraph" w:customStyle="1" w:styleId="msonormal0">
    <w:name w:val="msonormal"/>
    <w:basedOn w:val="Normal"/>
    <w:rsid w:val="006320FC"/>
    <w:pPr>
      <w:bidi w:val="0"/>
      <w:spacing w:before="100" w:beforeAutospacing="1" w:after="100" w:afterAutospacing="1"/>
    </w:pPr>
  </w:style>
  <w:style w:type="character" w:customStyle="1" w:styleId="HeaderChar1">
    <w:name w:val="Header Char1"/>
    <w:aliases w:val="Char Char Char1,Char Char Char Char Char Char Char Char1 Char1,Char5 Char Char1"/>
    <w:semiHidden/>
    <w:rsid w:val="006320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320FC"/>
    <w:pPr>
      <w:bidi w:val="0"/>
      <w:spacing w:line="348" w:lineRule="auto"/>
      <w:ind w:firstLine="720"/>
      <w:jc w:val="lowKashida"/>
    </w:pPr>
    <w:rPr>
      <w:sz w:val="28"/>
      <w:szCs w:val="28"/>
      <w:lang w:eastAsia="ar-SA"/>
    </w:rPr>
  </w:style>
  <w:style w:type="character" w:customStyle="1" w:styleId="BodyTextIndentChar">
    <w:name w:val="Body Text Indent Char"/>
    <w:link w:val="BodyTextIndent"/>
    <w:uiPriority w:val="99"/>
    <w:rsid w:val="006320FC"/>
    <w:rPr>
      <w:sz w:val="28"/>
      <w:szCs w:val="28"/>
      <w:lang w:eastAsia="ar-SA"/>
    </w:rPr>
  </w:style>
  <w:style w:type="paragraph" w:styleId="Subtitle">
    <w:name w:val="Subtitle"/>
    <w:basedOn w:val="Normal"/>
    <w:next w:val="Normal"/>
    <w:link w:val="SubtitleChar"/>
    <w:uiPriority w:val="11"/>
    <w:rsid w:val="006320FC"/>
    <w:pPr>
      <w:bidi w:val="0"/>
      <w:spacing w:after="160" w:line="276" w:lineRule="auto"/>
    </w:pPr>
    <w:rPr>
      <w:rFonts w:ascii="Calibri" w:hAnsi="Calibri" w:cs="Arial"/>
      <w:color w:val="5A5A5A"/>
      <w:spacing w:val="15"/>
      <w:sz w:val="22"/>
      <w:szCs w:val="22"/>
    </w:rPr>
  </w:style>
  <w:style w:type="character" w:customStyle="1" w:styleId="SubtitleChar">
    <w:name w:val="Subtitle Char"/>
    <w:link w:val="Subtitle"/>
    <w:uiPriority w:val="11"/>
    <w:rsid w:val="006320FC"/>
    <w:rPr>
      <w:rFonts w:ascii="Calibri" w:hAnsi="Calibri" w:cs="Arial"/>
      <w:color w:val="5A5A5A"/>
      <w:spacing w:val="15"/>
      <w:sz w:val="22"/>
      <w:szCs w:val="22"/>
    </w:rPr>
  </w:style>
  <w:style w:type="character" w:customStyle="1" w:styleId="NoSpacingChar">
    <w:name w:val="No Spacing Char"/>
    <w:link w:val="NoSpacing"/>
    <w:uiPriority w:val="1"/>
    <w:locked/>
    <w:rsid w:val="006320FC"/>
    <w:rPr>
      <w:rFonts w:ascii="Calibri" w:eastAsia="Calibri" w:hAnsi="Calibri" w:cs="Arial"/>
      <w:sz w:val="22"/>
      <w:szCs w:val="22"/>
    </w:rPr>
  </w:style>
  <w:style w:type="character" w:customStyle="1" w:styleId="ListParagraphChar">
    <w:name w:val="List Paragraph Char"/>
    <w:link w:val="ListParagraph"/>
    <w:uiPriority w:val="34"/>
    <w:locked/>
    <w:rsid w:val="006320FC"/>
    <w:rPr>
      <w:rFonts w:ascii="Calibri" w:eastAsia="Calibri" w:hAnsi="Calibri" w:cs="Arial"/>
      <w:sz w:val="22"/>
      <w:szCs w:val="22"/>
    </w:rPr>
  </w:style>
  <w:style w:type="paragraph" w:styleId="Quote">
    <w:name w:val="Quote"/>
    <w:basedOn w:val="Normal"/>
    <w:next w:val="Normal"/>
    <w:link w:val="QuoteChar"/>
    <w:uiPriority w:val="29"/>
    <w:rsid w:val="006320FC"/>
    <w:pPr>
      <w:bidi w:val="0"/>
      <w:spacing w:before="200" w:after="160" w:line="276" w:lineRule="auto"/>
      <w:ind w:left="864" w:right="864"/>
      <w:jc w:val="center"/>
    </w:pPr>
    <w:rPr>
      <w:i/>
      <w:iCs/>
      <w:color w:val="404040"/>
    </w:rPr>
  </w:style>
  <w:style w:type="character" w:customStyle="1" w:styleId="QuoteChar">
    <w:name w:val="Quote Char"/>
    <w:link w:val="Quote"/>
    <w:uiPriority w:val="29"/>
    <w:rsid w:val="006320FC"/>
    <w:rPr>
      <w:i/>
      <w:iCs/>
      <w:color w:val="404040"/>
      <w:sz w:val="24"/>
      <w:szCs w:val="24"/>
    </w:rPr>
  </w:style>
  <w:style w:type="character" w:customStyle="1" w:styleId="FigureChar">
    <w:name w:val="Figure Char"/>
    <w:link w:val="Figure"/>
    <w:locked/>
    <w:rsid w:val="006320FC"/>
    <w:rPr>
      <w:b/>
      <w:bCs/>
      <w:noProof/>
    </w:rPr>
  </w:style>
  <w:style w:type="paragraph" w:customStyle="1" w:styleId="Figure">
    <w:name w:val="Figure"/>
    <w:basedOn w:val="Normal"/>
    <w:link w:val="FigureChar"/>
    <w:rsid w:val="006320FC"/>
    <w:pPr>
      <w:autoSpaceDE w:val="0"/>
      <w:autoSpaceDN w:val="0"/>
      <w:bidi w:val="0"/>
      <w:adjustRightInd w:val="0"/>
      <w:spacing w:before="120" w:after="120" w:line="360" w:lineRule="auto"/>
      <w:jc w:val="center"/>
    </w:pPr>
    <w:rPr>
      <w:b/>
      <w:bCs/>
      <w:noProof/>
      <w:sz w:val="20"/>
      <w:szCs w:val="20"/>
    </w:rPr>
  </w:style>
  <w:style w:type="character" w:customStyle="1" w:styleId="H1Char">
    <w:name w:val="H1 Char"/>
    <w:link w:val="H1"/>
    <w:locked/>
    <w:rsid w:val="005070F0"/>
    <w:rPr>
      <w:b/>
      <w:bCs/>
      <w:color w:val="000000"/>
      <w:sz w:val="28"/>
      <w:szCs w:val="28"/>
    </w:rPr>
  </w:style>
  <w:style w:type="paragraph" w:customStyle="1" w:styleId="H1">
    <w:name w:val="H1"/>
    <w:basedOn w:val="Title-"/>
    <w:link w:val="H1Char"/>
    <w:qFormat/>
    <w:rsid w:val="005070F0"/>
    <w:pPr>
      <w:jc w:val="both"/>
    </w:pPr>
  </w:style>
  <w:style w:type="character" w:customStyle="1" w:styleId="TableChar">
    <w:name w:val="Table Char"/>
    <w:link w:val="Table"/>
    <w:locked/>
    <w:rsid w:val="009A5937"/>
    <w:rPr>
      <w:rFonts w:eastAsia="Calibri"/>
      <w:b/>
      <w:bCs/>
      <w:sz w:val="24"/>
      <w:szCs w:val="24"/>
    </w:rPr>
  </w:style>
  <w:style w:type="paragraph" w:customStyle="1" w:styleId="Table">
    <w:name w:val="Table"/>
    <w:basedOn w:val="fig0"/>
    <w:link w:val="TableChar"/>
    <w:rsid w:val="009A5937"/>
    <w:pPr>
      <w:spacing w:after="0"/>
      <w:jc w:val="left"/>
    </w:pPr>
  </w:style>
  <w:style w:type="paragraph" w:customStyle="1" w:styleId="pp-first">
    <w:name w:val="p p-first"/>
    <w:basedOn w:val="Normal"/>
    <w:uiPriority w:val="99"/>
    <w:rsid w:val="006320FC"/>
    <w:pPr>
      <w:bidi w:val="0"/>
      <w:spacing w:before="100" w:beforeAutospacing="1" w:after="100" w:afterAutospacing="1"/>
    </w:pPr>
  </w:style>
  <w:style w:type="character" w:customStyle="1" w:styleId="H3-BulChar">
    <w:name w:val="H3-Bul Char"/>
    <w:link w:val="H3-Bul"/>
    <w:locked/>
    <w:rsid w:val="006320FC"/>
    <w:rPr>
      <w:b/>
      <w:bCs/>
      <w:color w:val="000000"/>
      <w:sz w:val="36"/>
      <w:szCs w:val="36"/>
    </w:rPr>
  </w:style>
  <w:style w:type="paragraph" w:customStyle="1" w:styleId="H3-Bul">
    <w:name w:val="H3-Bul"/>
    <w:basedOn w:val="H1"/>
    <w:link w:val="H3-BulChar"/>
    <w:rsid w:val="006320FC"/>
    <w:pPr>
      <w:numPr>
        <w:numId w:val="2"/>
      </w:numPr>
      <w:spacing w:before="240" w:after="240" w:line="240" w:lineRule="auto"/>
      <w:ind w:left="360"/>
    </w:pPr>
    <w:rPr>
      <w:sz w:val="36"/>
      <w:szCs w:val="36"/>
    </w:rPr>
  </w:style>
  <w:style w:type="character" w:customStyle="1" w:styleId="UsualChar">
    <w:name w:val="Usual Char"/>
    <w:basedOn w:val="DefaultParagraphFont"/>
    <w:link w:val="Usual"/>
    <w:locked/>
    <w:rsid w:val="006320FC"/>
  </w:style>
  <w:style w:type="paragraph" w:customStyle="1" w:styleId="Usual">
    <w:name w:val="Usual"/>
    <w:basedOn w:val="Normal"/>
    <w:link w:val="UsualChar"/>
    <w:rsid w:val="006320FC"/>
    <w:pPr>
      <w:autoSpaceDE w:val="0"/>
      <w:autoSpaceDN w:val="0"/>
      <w:bidi w:val="0"/>
      <w:adjustRightInd w:val="0"/>
      <w:spacing w:before="120" w:line="360" w:lineRule="auto"/>
      <w:ind w:firstLine="720"/>
      <w:jc w:val="both"/>
    </w:pPr>
    <w:rPr>
      <w:sz w:val="20"/>
      <w:szCs w:val="20"/>
    </w:rPr>
  </w:style>
  <w:style w:type="paragraph" w:customStyle="1" w:styleId="para">
    <w:name w:val="para"/>
    <w:basedOn w:val="Normal"/>
    <w:rsid w:val="006320FC"/>
    <w:pPr>
      <w:bidi w:val="0"/>
      <w:spacing w:before="100" w:beforeAutospacing="1" w:after="100" w:afterAutospacing="1"/>
    </w:pPr>
  </w:style>
  <w:style w:type="character" w:customStyle="1" w:styleId="Bodytext0">
    <w:name w:val="Body text_"/>
    <w:link w:val="BodyText20"/>
    <w:semiHidden/>
    <w:locked/>
    <w:rsid w:val="006320FC"/>
    <w:rPr>
      <w:shd w:val="clear" w:color="auto" w:fill="FFFFFF"/>
    </w:rPr>
  </w:style>
  <w:style w:type="paragraph" w:customStyle="1" w:styleId="BodyText20">
    <w:name w:val="Body Text2"/>
    <w:basedOn w:val="Normal"/>
    <w:link w:val="Bodytext0"/>
    <w:semiHidden/>
    <w:rsid w:val="006320FC"/>
    <w:pPr>
      <w:widowControl w:val="0"/>
      <w:shd w:val="clear" w:color="auto" w:fill="FFFFFF"/>
      <w:bidi w:val="0"/>
      <w:spacing w:before="360" w:after="120" w:line="355" w:lineRule="exact"/>
      <w:ind w:hanging="340"/>
      <w:jc w:val="both"/>
    </w:pPr>
    <w:rPr>
      <w:sz w:val="20"/>
      <w:szCs w:val="20"/>
    </w:rPr>
  </w:style>
  <w:style w:type="character" w:customStyle="1" w:styleId="NChar">
    <w:name w:val="N Char"/>
    <w:link w:val="N"/>
    <w:locked/>
    <w:rsid w:val="006320FC"/>
    <w:rPr>
      <w:rFonts w:eastAsia="SimSun"/>
      <w:b/>
      <w:bCs/>
      <w:color w:val="000000"/>
      <w:sz w:val="28"/>
      <w:szCs w:val="28"/>
      <w:lang w:val="en-US" w:eastAsia="en-US"/>
    </w:rPr>
  </w:style>
  <w:style w:type="paragraph" w:customStyle="1" w:styleId="N">
    <w:name w:val="N"/>
    <w:basedOn w:val="P"/>
    <w:link w:val="NChar"/>
    <w:rsid w:val="006320FC"/>
    <w:pPr>
      <w:numPr>
        <w:numId w:val="3"/>
      </w:numPr>
      <w:spacing w:line="360" w:lineRule="auto"/>
      <w:ind w:left="720" w:hanging="540"/>
    </w:pPr>
    <w:rPr>
      <w:b/>
      <w:bCs/>
      <w:sz w:val="28"/>
      <w:szCs w:val="28"/>
      <w:lang w:val="en-US"/>
    </w:rPr>
  </w:style>
  <w:style w:type="character" w:customStyle="1" w:styleId="LChar">
    <w:name w:val="L Char"/>
    <w:link w:val="L"/>
    <w:locked/>
    <w:rsid w:val="006320FC"/>
    <w:rPr>
      <w:rFonts w:eastAsia="SimSun"/>
      <w:b/>
      <w:bCs/>
      <w:color w:val="000000"/>
      <w:sz w:val="28"/>
      <w:szCs w:val="28"/>
      <w:lang w:val="en-US" w:eastAsia="en-US"/>
    </w:rPr>
  </w:style>
  <w:style w:type="paragraph" w:customStyle="1" w:styleId="L">
    <w:name w:val="L"/>
    <w:basedOn w:val="P"/>
    <w:link w:val="LChar"/>
    <w:rsid w:val="006320FC"/>
    <w:pPr>
      <w:numPr>
        <w:numId w:val="4"/>
      </w:numPr>
      <w:spacing w:line="360" w:lineRule="auto"/>
    </w:pPr>
    <w:rPr>
      <w:b/>
      <w:bCs/>
      <w:sz w:val="28"/>
      <w:szCs w:val="28"/>
      <w:lang w:val="en-US"/>
    </w:rPr>
  </w:style>
  <w:style w:type="paragraph" w:customStyle="1" w:styleId="tabtext">
    <w:name w:val="tabtext"/>
    <w:basedOn w:val="Normal"/>
    <w:uiPriority w:val="99"/>
    <w:rsid w:val="006320FC"/>
    <w:pPr>
      <w:bidi w:val="0"/>
      <w:spacing w:before="100" w:beforeAutospacing="1" w:after="100" w:afterAutospacing="1"/>
    </w:pPr>
  </w:style>
  <w:style w:type="character" w:customStyle="1" w:styleId="H4Char">
    <w:name w:val="H 4 Char"/>
    <w:link w:val="H4"/>
    <w:locked/>
    <w:rsid w:val="006320FC"/>
    <w:rPr>
      <w:rFonts w:eastAsia="Calibri"/>
      <w:b/>
      <w:bCs/>
      <w:sz w:val="32"/>
      <w:szCs w:val="32"/>
      <w:lang w:val="en-US" w:eastAsia="en-US" w:bidi="ar-EG"/>
    </w:rPr>
  </w:style>
  <w:style w:type="paragraph" w:customStyle="1" w:styleId="H4">
    <w:name w:val="H 4"/>
    <w:basedOn w:val="ListParagraph"/>
    <w:link w:val="H4Char"/>
    <w:rsid w:val="006320FC"/>
    <w:pPr>
      <w:numPr>
        <w:numId w:val="5"/>
      </w:numPr>
      <w:bidi w:val="0"/>
      <w:spacing w:after="160" w:line="360" w:lineRule="auto"/>
      <w:jc w:val="both"/>
    </w:pPr>
    <w:rPr>
      <w:rFonts w:ascii="Times New Roman" w:hAnsi="Times New Roman" w:cs="Times New Roman"/>
      <w:b/>
      <w:bCs/>
      <w:sz w:val="32"/>
      <w:szCs w:val="32"/>
      <w:lang w:bidi="ar-EG"/>
    </w:rPr>
  </w:style>
  <w:style w:type="paragraph" w:customStyle="1" w:styleId="article-section-content">
    <w:name w:val="article-section-content"/>
    <w:basedOn w:val="Normal"/>
    <w:uiPriority w:val="99"/>
    <w:rsid w:val="006320FC"/>
    <w:pPr>
      <w:bidi w:val="0"/>
      <w:spacing w:before="100" w:beforeAutospacing="1" w:after="100" w:afterAutospacing="1"/>
    </w:pPr>
  </w:style>
  <w:style w:type="paragraph" w:customStyle="1" w:styleId="first-child">
    <w:name w:val="first-child"/>
    <w:basedOn w:val="Normal"/>
    <w:uiPriority w:val="99"/>
    <w:rsid w:val="006320FC"/>
    <w:pPr>
      <w:bidi w:val="0"/>
      <w:spacing w:before="100" w:beforeAutospacing="1" w:after="100" w:afterAutospacing="1"/>
    </w:pPr>
  </w:style>
  <w:style w:type="character" w:styleId="PlaceholderText">
    <w:name w:val="Placeholder Text"/>
    <w:uiPriority w:val="99"/>
    <w:semiHidden/>
    <w:rsid w:val="006320FC"/>
    <w:rPr>
      <w:color w:val="808080"/>
    </w:rPr>
  </w:style>
  <w:style w:type="character" w:styleId="SubtleEmphasis">
    <w:name w:val="Subtle Emphasis"/>
    <w:uiPriority w:val="19"/>
    <w:rsid w:val="006320FC"/>
    <w:rPr>
      <w:i/>
      <w:iCs/>
      <w:color w:val="808080"/>
    </w:rPr>
  </w:style>
  <w:style w:type="character" w:customStyle="1" w:styleId="shorttext">
    <w:name w:val="short_text"/>
    <w:basedOn w:val="DefaultParagraphFont"/>
    <w:rsid w:val="006320FC"/>
  </w:style>
  <w:style w:type="character" w:customStyle="1" w:styleId="highlight">
    <w:name w:val="highlight"/>
    <w:rsid w:val="006320FC"/>
  </w:style>
  <w:style w:type="character" w:customStyle="1" w:styleId="fontstyle01">
    <w:name w:val="fontstyle01"/>
    <w:rsid w:val="006320FC"/>
    <w:rPr>
      <w:rFonts w:ascii="AdvP4A0FAF" w:hAnsi="AdvP4A0FAF" w:hint="default"/>
      <w:b w:val="0"/>
      <w:bCs w:val="0"/>
      <w:i w:val="0"/>
      <w:iCs w:val="0"/>
      <w:color w:val="000000"/>
      <w:sz w:val="16"/>
      <w:szCs w:val="16"/>
    </w:rPr>
  </w:style>
  <w:style w:type="character" w:customStyle="1" w:styleId="bkciteavail">
    <w:name w:val="bk_cite_avail"/>
    <w:basedOn w:val="DefaultParagraphFont"/>
    <w:rsid w:val="006320FC"/>
  </w:style>
  <w:style w:type="character" w:customStyle="1" w:styleId="table-captionlabel">
    <w:name w:val="table-caption__label"/>
    <w:basedOn w:val="DefaultParagraphFont"/>
    <w:rsid w:val="006320FC"/>
  </w:style>
  <w:style w:type="character" w:customStyle="1" w:styleId="figpopup-sensitive-area">
    <w:name w:val="figpopup-sensitive-area"/>
    <w:basedOn w:val="DefaultParagraphFont"/>
    <w:rsid w:val="006320FC"/>
  </w:style>
  <w:style w:type="character" w:customStyle="1" w:styleId="captionlabel">
    <w:name w:val="captionlabel"/>
    <w:basedOn w:val="DefaultParagraphFont"/>
    <w:rsid w:val="006320FC"/>
  </w:style>
  <w:style w:type="character" w:customStyle="1" w:styleId="internalref">
    <w:name w:val="internalref"/>
    <w:basedOn w:val="DefaultParagraphFont"/>
    <w:rsid w:val="006320FC"/>
  </w:style>
  <w:style w:type="character" w:customStyle="1" w:styleId="captionnumber">
    <w:name w:val="captionnumber"/>
    <w:basedOn w:val="DefaultParagraphFont"/>
    <w:rsid w:val="006320FC"/>
  </w:style>
  <w:style w:type="character" w:customStyle="1" w:styleId="label">
    <w:name w:val="label"/>
    <w:basedOn w:val="DefaultParagraphFont"/>
    <w:rsid w:val="006320FC"/>
  </w:style>
  <w:style w:type="character" w:customStyle="1" w:styleId="table-label">
    <w:name w:val="table-label"/>
    <w:basedOn w:val="DefaultParagraphFont"/>
    <w:rsid w:val="006320FC"/>
  </w:style>
  <w:style w:type="table" w:customStyle="1" w:styleId="MediumGrid21">
    <w:name w:val="Medium Grid 21"/>
    <w:basedOn w:val="TableNormal"/>
    <w:uiPriority w:val="68"/>
    <w:unhideWhenUsed/>
    <w:rsid w:val="006320FC"/>
    <w:rPr>
      <w:rFonts w:ascii="Cambria" w:hAnsi="Cambria"/>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5">
    <w:name w:val="Medium Shading 1 Accent 5"/>
    <w:basedOn w:val="TableNormal"/>
    <w:uiPriority w:val="63"/>
    <w:unhideWhenUsed/>
    <w:rsid w:val="006320FC"/>
    <w:rPr>
      <w:rFonts w:ascii="Calibri" w:eastAsia="SimSun"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1" w:afterLines="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1" w:afterLines="0" w:afterAutospacing="1" w:line="240" w:lineRule="auto"/>
      </w:pPr>
      <w:rPr>
        <w:b/>
        <w:bCs/>
        <w:color w:val="auto"/>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color w:val="FFFFFF"/>
      </w:rPr>
    </w:tblStylePr>
    <w:tblStylePr w:type="lastCol">
      <w:rPr>
        <w:b/>
        <w:bCs/>
        <w:color w:val="FFFFFF"/>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tblStylePr w:type="nwCell">
      <w:rPr>
        <w:color w:val="FFFFFF"/>
      </w:rPr>
    </w:tblStylePr>
  </w:style>
  <w:style w:type="table" w:styleId="MediumGrid3-Accent5">
    <w:name w:val="Medium Grid 3 Accent 5"/>
    <w:basedOn w:val="TableNormal"/>
    <w:uiPriority w:val="69"/>
    <w:unhideWhenUsed/>
    <w:rsid w:val="006320FC"/>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unhideWhenUsed/>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GridTable5Dark-Accent52">
    <w:name w:val="Grid Table 5 Dark - Accent 52"/>
    <w:basedOn w:val="TableNormal"/>
    <w:uiPriority w:val="50"/>
    <w:rsid w:val="006320F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Grid3-Accent61">
    <w:name w:val="Medium Grid 3 - Accent 61"/>
    <w:basedOn w:val="TableNormal"/>
    <w:uiPriority w:val="69"/>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GridTable5Dark-Accent520">
    <w:name w:val="Grid Table 5 Dark - Accent 52"/>
    <w:basedOn w:val="TableNormal"/>
    <w:uiPriority w:val="50"/>
    <w:rsid w:val="006320FC"/>
    <w:rPr>
      <w:rFonts w:eastAsia="DengXian"/>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table" w:customStyle="1" w:styleId="MediumGrid3-Accent51">
    <w:name w:val="Medium Grid 3 - Accent 51"/>
    <w:basedOn w:val="TableNormal"/>
    <w:uiPriority w:val="69"/>
    <w:rsid w:val="006320F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52">
    <w:name w:val="Medium Grid 3 - Accent 52"/>
    <w:basedOn w:val="TableNormal"/>
    <w:uiPriority w:val="69"/>
    <w:rsid w:val="006320FC"/>
    <w:rPr>
      <w:sz w:val="24"/>
      <w:szCs w:val="24"/>
    </w:rPr>
    <w:tbl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4-Accent51">
    <w:name w:val="Grid Table 4 - Accent 51"/>
    <w:basedOn w:val="TableNormal"/>
    <w:uiPriority w:val="49"/>
    <w:rsid w:val="006320FC"/>
    <w:rPr>
      <w:sz w:val="24"/>
      <w:szCs w:val="24"/>
    </w:rPr>
    <w:tblPr/>
    <w:tblStylePr w:type="band1Horz">
      <w:tblPr/>
      <w:tcPr>
        <w:shd w:val="clear" w:color="auto" w:fill="DAEEF3"/>
      </w:tcPr>
    </w:tblStylePr>
  </w:style>
  <w:style w:type="table" w:customStyle="1" w:styleId="GridTable5Dark-Accent53">
    <w:name w:val="Grid Table 5 Dark - Accent 53"/>
    <w:basedOn w:val="TableNormal"/>
    <w:uiPriority w:val="50"/>
    <w:rsid w:val="006320FC"/>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style>
  <w:style w:type="character" w:customStyle="1" w:styleId="Heading7Char">
    <w:name w:val="Heading 7 Char"/>
    <w:link w:val="Heading7"/>
    <w:uiPriority w:val="9"/>
    <w:semiHidden/>
    <w:rsid w:val="00994105"/>
    <w:rPr>
      <w:rFonts w:ascii="Cambria" w:eastAsia="SimSun" w:hAnsi="Cambria"/>
      <w:i/>
      <w:iCs/>
      <w:color w:val="243F60"/>
      <w:sz w:val="22"/>
      <w:szCs w:val="22"/>
    </w:rPr>
  </w:style>
  <w:style w:type="paragraph" w:customStyle="1" w:styleId="TableParagraph">
    <w:name w:val="Table Paragraph"/>
    <w:basedOn w:val="Normal"/>
    <w:uiPriority w:val="1"/>
    <w:qFormat/>
    <w:rsid w:val="00994105"/>
    <w:pPr>
      <w:widowControl w:val="0"/>
      <w:autoSpaceDE w:val="0"/>
      <w:autoSpaceDN w:val="0"/>
      <w:bidi w:val="0"/>
      <w:spacing w:before="47"/>
      <w:ind w:left="51"/>
    </w:pPr>
    <w:rPr>
      <w:rFonts w:ascii="Myriad Pro" w:eastAsia="Myriad Pro" w:hAnsi="Myriad Pro" w:cs="Myriad Pro"/>
      <w:sz w:val="22"/>
      <w:szCs w:val="22"/>
    </w:rPr>
  </w:style>
  <w:style w:type="paragraph" w:styleId="EndnoteText">
    <w:name w:val="endnote text"/>
    <w:basedOn w:val="Normal"/>
    <w:link w:val="EndnoteTextChar"/>
    <w:uiPriority w:val="99"/>
    <w:unhideWhenUsed/>
    <w:rsid w:val="00994105"/>
    <w:rPr>
      <w:rFonts w:ascii="Calibri" w:eastAsia="Calibri" w:hAnsi="Calibri" w:cs="Arial"/>
      <w:sz w:val="20"/>
      <w:szCs w:val="20"/>
    </w:rPr>
  </w:style>
  <w:style w:type="character" w:customStyle="1" w:styleId="EndnoteTextChar">
    <w:name w:val="Endnote Text Char"/>
    <w:link w:val="EndnoteText"/>
    <w:uiPriority w:val="99"/>
    <w:rsid w:val="00994105"/>
    <w:rPr>
      <w:rFonts w:ascii="Calibri" w:eastAsia="Calibri" w:hAnsi="Calibri" w:cs="Arial"/>
    </w:rPr>
  </w:style>
  <w:style w:type="character" w:styleId="EndnoteReference">
    <w:name w:val="endnote reference"/>
    <w:uiPriority w:val="99"/>
    <w:unhideWhenUsed/>
    <w:rsid w:val="00994105"/>
    <w:rPr>
      <w:vertAlign w:val="superscript"/>
    </w:rPr>
  </w:style>
  <w:style w:type="table" w:customStyle="1" w:styleId="GridTable5Dark1">
    <w:name w:val="Grid Table 5 Dark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20">
    <w:name w:val="Grid Table 5 Dark - Accent 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ableofFigures">
    <w:name w:val="table of figures"/>
    <w:basedOn w:val="Normal"/>
    <w:next w:val="Normal"/>
    <w:uiPriority w:val="99"/>
    <w:unhideWhenUsed/>
    <w:rsid w:val="00994105"/>
    <w:pPr>
      <w:bidi w:val="0"/>
      <w:spacing w:before="120" w:after="120"/>
      <w:jc w:val="both"/>
    </w:pPr>
    <w:rPr>
      <w:rFonts w:eastAsia="Calibri" w:cs="Arial"/>
      <w:sz w:val="28"/>
      <w:szCs w:val="22"/>
    </w:rPr>
  </w:style>
  <w:style w:type="table" w:customStyle="1" w:styleId="GridTable2-Accent31">
    <w:name w:val="Grid Table 2 - Accent 31"/>
    <w:basedOn w:val="TableNormal"/>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Header-">
    <w:name w:val="Header -"/>
    <w:basedOn w:val="Title"/>
    <w:link w:val="Header-Char"/>
    <w:rsid w:val="00994105"/>
  </w:style>
  <w:style w:type="character" w:customStyle="1" w:styleId="Header-Char">
    <w:name w:val="Header - Char"/>
    <w:link w:val="Header-"/>
    <w:rsid w:val="00994105"/>
    <w:rPr>
      <w:rFonts w:ascii="Cambria" w:hAnsi="Cambria"/>
      <w:spacing w:val="-10"/>
      <w:kern w:val="28"/>
      <w:sz w:val="56"/>
      <w:szCs w:val="56"/>
    </w:rPr>
  </w:style>
  <w:style w:type="table" w:customStyle="1" w:styleId="GridTable4-Accent411">
    <w:name w:val="Grid Table 4 - Accent 411"/>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1">
    <w:name w:val="Grid Table 5 Dark1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1">
    <w:name w:val="Grid Table 5 Dark - Accent 12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11">
    <w:name w:val="Grid Table 6 Colorful - Accent 311"/>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1">
    <w:name w:val="Grid Table 2 - Accent 311"/>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1">
    <w:name w:val="Light Shading - Accent 111"/>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itation">
    <w:name w:val="citation"/>
    <w:basedOn w:val="DefaultParagraphFont"/>
    <w:rsid w:val="00994105"/>
  </w:style>
  <w:style w:type="table" w:customStyle="1" w:styleId="TableGrid2">
    <w:name w:val="Table Grid2"/>
    <w:basedOn w:val="TableNormal"/>
    <w:next w:val="TableGrid"/>
    <w:uiPriority w:val="59"/>
    <w:rsid w:val="0099410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2">
    <w:name w:val="Grid Table 4 - Accent 412"/>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2">
    <w:name w:val="Grid Table 5 Dark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2">
    <w:name w:val="Grid Table 5 Dark - Accent 112"/>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
    <w:name w:val="Grid Table 5 Dark - Accent 12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20">
    <w:name w:val="Grid Table 6 Colorful - Accent 32"/>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2">
    <w:name w:val="Grid Table 2 - Accent 32"/>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2">
    <w:name w:val="Light Shading - Accent 112"/>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10">
    <w:name w:val="h1"/>
    <w:basedOn w:val="DefaultParagraphFont"/>
    <w:rsid w:val="00994105"/>
  </w:style>
  <w:style w:type="character" w:customStyle="1" w:styleId="headingendmark">
    <w:name w:val="headingendmark"/>
    <w:basedOn w:val="DefaultParagraphFont"/>
    <w:rsid w:val="00994105"/>
  </w:style>
  <w:style w:type="paragraph" w:customStyle="1" w:styleId="headinganchor">
    <w:name w:val="headinganchor"/>
    <w:basedOn w:val="Normal"/>
    <w:rsid w:val="00994105"/>
    <w:pPr>
      <w:bidi w:val="0"/>
      <w:spacing w:before="100" w:beforeAutospacing="1" w:after="100" w:afterAutospacing="1"/>
    </w:pPr>
  </w:style>
  <w:style w:type="character" w:customStyle="1" w:styleId="h2">
    <w:name w:val="h2"/>
    <w:basedOn w:val="DefaultParagraphFont"/>
    <w:rsid w:val="00994105"/>
  </w:style>
  <w:style w:type="character" w:customStyle="1" w:styleId="nowrap">
    <w:name w:val="nowrap"/>
    <w:basedOn w:val="DefaultParagraphFont"/>
    <w:rsid w:val="00994105"/>
  </w:style>
  <w:style w:type="character" w:customStyle="1" w:styleId="h3">
    <w:name w:val="h3"/>
    <w:basedOn w:val="DefaultParagraphFont"/>
    <w:rsid w:val="00994105"/>
  </w:style>
  <w:style w:type="paragraph" w:customStyle="1" w:styleId="bulletindent1">
    <w:name w:val="bulletindent1"/>
    <w:basedOn w:val="Normal"/>
    <w:rsid w:val="00994105"/>
    <w:pPr>
      <w:bidi w:val="0"/>
      <w:spacing w:before="100" w:beforeAutospacing="1" w:after="100" w:afterAutospacing="1"/>
    </w:pPr>
  </w:style>
  <w:style w:type="character" w:customStyle="1" w:styleId="glyph">
    <w:name w:val="glyph"/>
    <w:basedOn w:val="DefaultParagraphFont"/>
    <w:rsid w:val="00994105"/>
  </w:style>
  <w:style w:type="character" w:customStyle="1" w:styleId="UnresolvedMention10">
    <w:name w:val="Unresolved Mention1"/>
    <w:uiPriority w:val="99"/>
    <w:semiHidden/>
    <w:unhideWhenUsed/>
    <w:rsid w:val="00994105"/>
    <w:rPr>
      <w:color w:val="605E5C"/>
      <w:shd w:val="clear" w:color="auto" w:fill="E1DFDD"/>
    </w:rPr>
  </w:style>
  <w:style w:type="paragraph" w:customStyle="1" w:styleId="Pa17">
    <w:name w:val="Pa17"/>
    <w:basedOn w:val="Normal"/>
    <w:next w:val="Normal"/>
    <w:uiPriority w:val="99"/>
    <w:rsid w:val="00994105"/>
    <w:pPr>
      <w:autoSpaceDE w:val="0"/>
      <w:autoSpaceDN w:val="0"/>
      <w:bidi w:val="0"/>
      <w:adjustRightInd w:val="0"/>
      <w:spacing w:line="161" w:lineRule="atLeast"/>
    </w:pPr>
    <w:rPr>
      <w:rFonts w:ascii="Helvetica 65 Medium" w:eastAsia="Calibri" w:hAnsi="Helvetica 65 Medium" w:cs="Arial"/>
    </w:rPr>
  </w:style>
  <w:style w:type="paragraph" w:customStyle="1" w:styleId="h">
    <w:name w:val="h"/>
    <w:basedOn w:val="Normal"/>
    <w:link w:val="hChar"/>
    <w:rsid w:val="00994105"/>
    <w:pPr>
      <w:widowControl w:val="0"/>
      <w:autoSpaceDE w:val="0"/>
      <w:autoSpaceDN w:val="0"/>
      <w:bidi w:val="0"/>
      <w:jc w:val="center"/>
    </w:pPr>
    <w:rPr>
      <w:rFonts w:ascii="Jokerman" w:hAnsi="Jokerman"/>
      <w:sz w:val="36"/>
      <w:szCs w:val="36"/>
    </w:rPr>
  </w:style>
  <w:style w:type="character" w:customStyle="1" w:styleId="hChar">
    <w:name w:val="h Char"/>
    <w:link w:val="h"/>
    <w:rsid w:val="00994105"/>
    <w:rPr>
      <w:rFonts w:ascii="Jokerman" w:hAnsi="Jokerman"/>
      <w:sz w:val="36"/>
      <w:szCs w:val="36"/>
    </w:rPr>
  </w:style>
  <w:style w:type="character" w:customStyle="1" w:styleId="smallcaps">
    <w:name w:val="smallcaps"/>
    <w:rsid w:val="00994105"/>
    <w:rPr>
      <w:rFonts w:cs="Times New Roman"/>
    </w:rPr>
  </w:style>
  <w:style w:type="character" w:customStyle="1" w:styleId="mw-editsection">
    <w:name w:val="mw-editsection"/>
    <w:rsid w:val="00994105"/>
    <w:rPr>
      <w:rFonts w:cs="Times New Roman"/>
    </w:rPr>
  </w:style>
  <w:style w:type="character" w:customStyle="1" w:styleId="mw-editsection-bracket">
    <w:name w:val="mw-editsection-bracket"/>
    <w:rsid w:val="00994105"/>
    <w:rPr>
      <w:rFonts w:cs="Times New Roman"/>
    </w:rPr>
  </w:style>
  <w:style w:type="paragraph" w:customStyle="1" w:styleId="Style1">
    <w:name w:val="Style1"/>
    <w:basedOn w:val="Normal"/>
    <w:rsid w:val="00994105"/>
    <w:pPr>
      <w:jc w:val="center"/>
    </w:pPr>
    <w:rPr>
      <w:rFonts w:ascii="Impact" w:eastAsia="SimSun" w:hAnsi="Impact" w:cs="Impact"/>
      <w:b/>
      <w:bCs/>
      <w:sz w:val="56"/>
      <w:szCs w:val="56"/>
      <w:lang w:eastAsia="zh-CN" w:bidi="ar-EG"/>
    </w:rPr>
  </w:style>
  <w:style w:type="character" w:styleId="BookTitle">
    <w:name w:val="Book Title"/>
    <w:uiPriority w:val="33"/>
    <w:rsid w:val="00994105"/>
    <w:rPr>
      <w:b/>
      <w:bCs/>
      <w:i/>
      <w:iCs/>
      <w:spacing w:val="5"/>
    </w:rPr>
  </w:style>
  <w:style w:type="character" w:customStyle="1" w:styleId="tlid-translationtranslation">
    <w:name w:val="tlid-translation translation"/>
    <w:basedOn w:val="DefaultParagraphFont"/>
    <w:rsid w:val="00994105"/>
  </w:style>
  <w:style w:type="character" w:customStyle="1" w:styleId="b">
    <w:name w:val="b"/>
    <w:basedOn w:val="DefaultParagraphFont"/>
    <w:rsid w:val="00994105"/>
  </w:style>
  <w:style w:type="character" w:customStyle="1" w:styleId="bi">
    <w:name w:val="bi"/>
    <w:basedOn w:val="DefaultParagraphFont"/>
    <w:rsid w:val="00994105"/>
  </w:style>
  <w:style w:type="paragraph" w:customStyle="1" w:styleId="alt">
    <w:name w:val="alt"/>
    <w:basedOn w:val="Normal"/>
    <w:rsid w:val="00994105"/>
    <w:pPr>
      <w:bidi w:val="0"/>
      <w:spacing w:before="100" w:beforeAutospacing="1" w:after="100" w:afterAutospacing="1"/>
    </w:pPr>
  </w:style>
  <w:style w:type="character" w:styleId="IntenseReference">
    <w:name w:val="Intense Reference"/>
    <w:uiPriority w:val="32"/>
    <w:rsid w:val="00994105"/>
    <w:rPr>
      <w:b/>
      <w:bCs/>
      <w:smallCaps/>
      <w:color w:val="C0504D"/>
      <w:spacing w:val="5"/>
      <w:u w:val="single"/>
    </w:rPr>
  </w:style>
  <w:style w:type="character" w:customStyle="1" w:styleId="A10">
    <w:name w:val="A10"/>
    <w:uiPriority w:val="99"/>
    <w:rsid w:val="00994105"/>
    <w:rPr>
      <w:rFonts w:ascii="Thieme Gulliver 2011" w:hAnsi="Thieme Gulliver 2011" w:cs="Thieme Gulliver 2011" w:hint="default"/>
      <w:color w:val="000000"/>
      <w:sz w:val="9"/>
      <w:szCs w:val="9"/>
    </w:rPr>
  </w:style>
  <w:style w:type="table" w:customStyle="1" w:styleId="TableGrid3">
    <w:name w:val="Table Grid3"/>
    <w:basedOn w:val="TableNormal"/>
    <w:next w:val="TableGrid"/>
    <w:uiPriority w:val="39"/>
    <w:rsid w:val="00994105"/>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994105"/>
    <w:rPr>
      <w:rFonts w:eastAsia="Calibri"/>
      <w:sz w:val="24"/>
      <w:szCs w:val="24"/>
    </w:rPr>
  </w:style>
  <w:style w:type="table" w:customStyle="1" w:styleId="TableGrid4">
    <w:name w:val="Table Grid4"/>
    <w:basedOn w:val="TableNormal"/>
    <w:next w:val="TableGrid"/>
    <w:uiPriority w:val="39"/>
    <w:rsid w:val="00994105"/>
    <w:rPr>
      <w:rFonts w:ascii="Calibri"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Heading22">
    <w:name w:val="Heading 22"/>
    <w:basedOn w:val="Heading2"/>
    <w:link w:val="Heading22Char"/>
    <w:rsid w:val="00994105"/>
    <w:pPr>
      <w:keepNext/>
      <w:keepLines/>
      <w:numPr>
        <w:ilvl w:val="0"/>
        <w:numId w:val="0"/>
      </w:numPr>
      <w:autoSpaceDE/>
      <w:autoSpaceDN/>
      <w:adjustRightInd/>
      <w:spacing w:line="360" w:lineRule="auto"/>
      <w:ind w:left="360"/>
      <w:jc w:val="left"/>
    </w:pPr>
    <w:rPr>
      <w:color w:val="auto"/>
      <w:sz w:val="32"/>
      <w:szCs w:val="32"/>
      <w:lang w:val="en-US" w:eastAsia="en-US"/>
    </w:rPr>
  </w:style>
  <w:style w:type="paragraph" w:customStyle="1" w:styleId="Heading33">
    <w:name w:val="Heading 33"/>
    <w:basedOn w:val="Heading22"/>
    <w:link w:val="Heading33Char"/>
    <w:rsid w:val="00994105"/>
    <w:pPr>
      <w:ind w:left="720"/>
    </w:pPr>
  </w:style>
  <w:style w:type="character" w:customStyle="1" w:styleId="Heading22Char">
    <w:name w:val="Heading 22 Char"/>
    <w:link w:val="Heading22"/>
    <w:rsid w:val="00994105"/>
    <w:rPr>
      <w:rFonts w:eastAsia="SimSun"/>
      <w:b/>
      <w:bCs/>
      <w:sz w:val="32"/>
      <w:szCs w:val="32"/>
      <w:lang w:bidi="ar-EG"/>
    </w:rPr>
  </w:style>
  <w:style w:type="character" w:customStyle="1" w:styleId="Heading33Char">
    <w:name w:val="Heading 33 Char"/>
    <w:link w:val="Heading33"/>
    <w:rsid w:val="00994105"/>
    <w:rPr>
      <w:rFonts w:eastAsia="SimSun"/>
      <w:b/>
      <w:bCs/>
      <w:sz w:val="32"/>
      <w:szCs w:val="32"/>
      <w:lang w:bidi="ar-EG"/>
    </w:rPr>
  </w:style>
  <w:style w:type="table" w:customStyle="1" w:styleId="GridTable5Dark-Accent13">
    <w:name w:val="Grid Table 5 Dark - Accent 13"/>
    <w:basedOn w:val="TableNormal"/>
    <w:next w:val="GridTable5Dark-Accent12"/>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aption-text">
    <w:name w:val="caption-text"/>
    <w:basedOn w:val="DefaultParagraphFont"/>
    <w:rsid w:val="00994105"/>
  </w:style>
  <w:style w:type="character" w:customStyle="1" w:styleId="drugh1">
    <w:name w:val="drugh1"/>
    <w:basedOn w:val="DefaultParagraphFont"/>
    <w:rsid w:val="00994105"/>
  </w:style>
  <w:style w:type="character" w:customStyle="1" w:styleId="apple-style-span">
    <w:name w:val="apple-style-span"/>
    <w:basedOn w:val="DefaultParagraphFont"/>
    <w:rsid w:val="00994105"/>
  </w:style>
  <w:style w:type="paragraph" w:customStyle="1" w:styleId="Title2">
    <w:name w:val="Title2"/>
    <w:basedOn w:val="Heading1"/>
    <w:autoRedefine/>
    <w:rsid w:val="00994105"/>
    <w:pPr>
      <w:keepNext/>
      <w:autoSpaceDE/>
      <w:autoSpaceDN/>
      <w:adjustRightInd/>
      <w:spacing w:line="300" w:lineRule="auto"/>
      <w:contextualSpacing w:val="0"/>
      <w:jc w:val="center"/>
    </w:pPr>
    <w:rPr>
      <w:color w:val="auto"/>
      <w:sz w:val="44"/>
      <w:szCs w:val="44"/>
    </w:rPr>
  </w:style>
  <w:style w:type="table" w:customStyle="1" w:styleId="ListTable4-Accent11">
    <w:name w:val="List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5">
    <w:name w:val="Table Grid5"/>
    <w:basedOn w:val="TableNormal"/>
    <w:next w:val="TableGrid"/>
    <w:uiPriority w:val="59"/>
    <w:rsid w:val="00994105"/>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basedOn w:val="Heading1"/>
    <w:link w:val="Title-Char"/>
    <w:qFormat/>
    <w:rsid w:val="0003645D"/>
    <w:pPr>
      <w:jc w:val="center"/>
    </w:pPr>
  </w:style>
  <w:style w:type="character" w:customStyle="1" w:styleId="Title-Char">
    <w:name w:val="Title- Char"/>
    <w:link w:val="Title-"/>
    <w:rsid w:val="0003645D"/>
    <w:rPr>
      <w:b/>
      <w:bCs/>
      <w:color w:val="000000"/>
      <w:sz w:val="28"/>
      <w:szCs w:val="28"/>
    </w:rPr>
  </w:style>
  <w:style w:type="table" w:customStyle="1" w:styleId="GridTable5Dark-Accent531">
    <w:name w:val="Grid Table 5 Dark - Accent 531"/>
    <w:basedOn w:val="TableNormal"/>
    <w:uiPriority w:val="50"/>
    <w:rsid w:val="00266396"/>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7">
    <w:name w:val="Grid Table 5 Dark - Accent 517"/>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8">
    <w:name w:val="Grid Table 5 Dark - Accent 518"/>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9">
    <w:name w:val="Grid Table 5 Dark - Accent 519"/>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0">
    <w:name w:val="Grid Table 5 Dark - Accent 5110"/>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1">
    <w:name w:val="Grid Table 5 Dark - Accent 5111"/>
    <w:basedOn w:val="TableNormal"/>
    <w:uiPriority w:val="50"/>
    <w:rsid w:val="00D24A1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2">
    <w:name w:val="Grid Table 5 Dark - Accent 5112"/>
    <w:basedOn w:val="TableNormal"/>
    <w:uiPriority w:val="50"/>
    <w:rsid w:val="0048538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3">
    <w:name w:val="Grid Table 5 Dark - Accent 5113"/>
    <w:basedOn w:val="TableNormal"/>
    <w:uiPriority w:val="50"/>
    <w:rsid w:val="00DD04E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4">
    <w:name w:val="Grid Table 5 Dark - Accent 5114"/>
    <w:basedOn w:val="TableNormal"/>
    <w:uiPriority w:val="50"/>
    <w:rsid w:val="005E196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5">
    <w:name w:val="Grid Table 5 Dark - Accent 5115"/>
    <w:basedOn w:val="TableNormal"/>
    <w:uiPriority w:val="50"/>
    <w:rsid w:val="005C783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6">
    <w:name w:val="Grid Table 5 Dark - Accent 5116"/>
    <w:basedOn w:val="TableNormal"/>
    <w:uiPriority w:val="50"/>
    <w:rsid w:val="00984137"/>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7">
    <w:name w:val="Grid Table 5 Dark - Accent 5117"/>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8">
    <w:name w:val="Grid Table 5 Dark - Accent 5118"/>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9">
    <w:name w:val="Grid Table 5 Dark - Accent 5119"/>
    <w:basedOn w:val="TableNormal"/>
    <w:uiPriority w:val="50"/>
    <w:rsid w:val="00955D04"/>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0">
    <w:name w:val="Grid Table 5 Dark - Accent 5120"/>
    <w:basedOn w:val="TableNormal"/>
    <w:uiPriority w:val="50"/>
    <w:rsid w:val="00A6298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ure0">
    <w:name w:val="figure"/>
    <w:basedOn w:val="Caption"/>
    <w:link w:val="figureChar0"/>
    <w:rsid w:val="002307A9"/>
    <w:pPr>
      <w:spacing w:after="240" w:line="336" w:lineRule="atLeast"/>
      <w:jc w:val="center"/>
    </w:pPr>
    <w:rPr>
      <w:rFonts w:eastAsia="SimSun" w:cs="Arial"/>
      <w:color w:val="auto"/>
      <w:szCs w:val="22"/>
      <w:lang w:val="en-US"/>
    </w:rPr>
  </w:style>
  <w:style w:type="character" w:customStyle="1" w:styleId="figureChar0">
    <w:name w:val="figure Char"/>
    <w:link w:val="figure0"/>
    <w:rsid w:val="002307A9"/>
    <w:rPr>
      <w:rFonts w:eastAsia="SimSun" w:cs="Arial"/>
      <w:b/>
      <w:bCs/>
      <w:sz w:val="24"/>
      <w:szCs w:val="22"/>
    </w:rPr>
  </w:style>
  <w:style w:type="table" w:customStyle="1" w:styleId="TableGrid6">
    <w:name w:val="Table Grid6"/>
    <w:basedOn w:val="TableNormal"/>
    <w:next w:val="TableGrid"/>
    <w:uiPriority w:val="59"/>
    <w:rsid w:val="00FC7A7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5518DD"/>
    <w:pPr>
      <w:spacing w:after="120" w:line="276" w:lineRule="auto"/>
    </w:pPr>
    <w:rPr>
      <w:rFonts w:ascii="Calibri" w:eastAsia="Calibri" w:hAnsi="Calibri" w:cs="Arial"/>
      <w:sz w:val="16"/>
      <w:szCs w:val="16"/>
    </w:rPr>
  </w:style>
  <w:style w:type="character" w:customStyle="1" w:styleId="BodyText3Char">
    <w:name w:val="Body Text 3 Char"/>
    <w:link w:val="BodyText3"/>
    <w:uiPriority w:val="99"/>
    <w:rsid w:val="005518DD"/>
    <w:rPr>
      <w:rFonts w:ascii="Calibri" w:eastAsia="Calibri" w:hAnsi="Calibri" w:cs="Arial"/>
      <w:sz w:val="16"/>
      <w:szCs w:val="16"/>
    </w:rPr>
  </w:style>
  <w:style w:type="table" w:customStyle="1" w:styleId="GridTable4-Accent12">
    <w:name w:val="Grid Table 4 - Accent 12"/>
    <w:basedOn w:val="TableNormal"/>
    <w:uiPriority w:val="49"/>
    <w:rsid w:val="00526557"/>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30">
    <w:name w:val="Pa30"/>
    <w:basedOn w:val="Normal"/>
    <w:next w:val="Normal"/>
    <w:uiPriority w:val="99"/>
    <w:rsid w:val="00AC011E"/>
    <w:pPr>
      <w:autoSpaceDE w:val="0"/>
      <w:autoSpaceDN w:val="0"/>
      <w:bidi w:val="0"/>
      <w:adjustRightInd w:val="0"/>
      <w:spacing w:line="200" w:lineRule="atLeast"/>
    </w:pPr>
    <w:rPr>
      <w:rFonts w:ascii="Myriad Pro" w:hAnsi="Myriad Pro" w:cs="Arial"/>
    </w:rPr>
  </w:style>
  <w:style w:type="table" w:styleId="MediumGrid1-Accent2">
    <w:name w:val="Medium Grid 1 Accent 2"/>
    <w:basedOn w:val="TableNormal"/>
    <w:uiPriority w:val="67"/>
    <w:rsid w:val="0069568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LightGrid-Accent2">
    <w:name w:val="Light Grid Accent 2"/>
    <w:basedOn w:val="TableNormal"/>
    <w:uiPriority w:val="62"/>
    <w:rsid w:val="0069568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4-Accent110">
    <w:name w:val="Grid Table 4 - Accent 11"/>
    <w:basedOn w:val="TableNormal"/>
    <w:next w:val="GridTable4-Accent11"/>
    <w:uiPriority w:val="49"/>
    <w:rsid w:val="003B55B2"/>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1"/>
    <w:uiPriority w:val="49"/>
    <w:rsid w:val="00E6370B"/>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1">
    <w:name w:val="normal1"/>
    <w:rsid w:val="00815991"/>
    <w:rPr>
      <w:rFonts w:ascii="Arial" w:hAnsi="Arial" w:cs="Arial" w:hint="default"/>
      <w:color w:val="000000"/>
      <w:sz w:val="20"/>
      <w:szCs w:val="20"/>
    </w:rPr>
  </w:style>
  <w:style w:type="character" w:customStyle="1" w:styleId="result">
    <w:name w:val="result"/>
    <w:rsid w:val="00815991"/>
    <w:rPr>
      <w:color w:val="000080"/>
    </w:rPr>
  </w:style>
  <w:style w:type="paragraph" w:styleId="BlockText">
    <w:name w:val="Block Text"/>
    <w:basedOn w:val="Normal"/>
    <w:rsid w:val="00603077"/>
    <w:pPr>
      <w:tabs>
        <w:tab w:val="left" w:pos="1080"/>
      </w:tabs>
      <w:bidi w:val="0"/>
      <w:ind w:left="540" w:right="180" w:hanging="1080"/>
      <w:jc w:val="right"/>
    </w:pPr>
    <w:rPr>
      <w:sz w:val="28"/>
      <w:szCs w:val="28"/>
    </w:rPr>
  </w:style>
  <w:style w:type="paragraph" w:styleId="BodyTextIndent3">
    <w:name w:val="Body Text Indent 3"/>
    <w:basedOn w:val="Normal"/>
    <w:link w:val="BodyTextIndent3Char"/>
    <w:rsid w:val="00F56E79"/>
    <w:pPr>
      <w:spacing w:after="120"/>
      <w:ind w:left="283"/>
    </w:pPr>
    <w:rPr>
      <w:sz w:val="16"/>
      <w:szCs w:val="16"/>
    </w:rPr>
  </w:style>
  <w:style w:type="character" w:customStyle="1" w:styleId="BodyTextIndent3Char">
    <w:name w:val="Body Text Indent 3 Char"/>
    <w:basedOn w:val="DefaultParagraphFont"/>
    <w:link w:val="BodyTextIndent3"/>
    <w:rsid w:val="00F56E79"/>
    <w:rPr>
      <w:sz w:val="16"/>
      <w:szCs w:val="16"/>
    </w:rPr>
  </w:style>
  <w:style w:type="character" w:customStyle="1" w:styleId="author1">
    <w:name w:val="author1"/>
    <w:basedOn w:val="DefaultParagraphFont"/>
    <w:rsid w:val="00504BA6"/>
  </w:style>
  <w:style w:type="table" w:customStyle="1" w:styleId="TableGrid0">
    <w:name w:val="TableGrid"/>
    <w:rsid w:val="006710B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1">
    <w:name w:val="TableGrid1"/>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Grid3"/>
    <w:rsid w:val="0003472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Grid4"/>
    <w:rsid w:val="004578BC"/>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7">
    <w:name w:val="Table Grid7"/>
    <w:basedOn w:val="TableNormal"/>
    <w:next w:val="TableGrid"/>
    <w:uiPriority w:val="59"/>
    <w:rsid w:val="00E668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E668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2FC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ername">
    <w:name w:val="auther name"/>
    <w:basedOn w:val="Normal"/>
    <w:link w:val="authernameChar"/>
    <w:qFormat/>
    <w:rsid w:val="00BE6C08"/>
    <w:pPr>
      <w:bidi w:val="0"/>
      <w:spacing w:line="360" w:lineRule="auto"/>
      <w:jc w:val="center"/>
    </w:pPr>
    <w:rPr>
      <w:b/>
      <w:bCs/>
      <w:iCs/>
      <w:color w:val="000000"/>
    </w:rPr>
  </w:style>
  <w:style w:type="character" w:customStyle="1" w:styleId="authernameChar">
    <w:name w:val="auther name Char"/>
    <w:basedOn w:val="DefaultParagraphFont"/>
    <w:link w:val="authername"/>
    <w:rsid w:val="00BE6C08"/>
    <w:rPr>
      <w:b/>
      <w:bCs/>
      <w:iCs/>
      <w:color w:val="000000"/>
      <w:sz w:val="24"/>
      <w:szCs w:val="24"/>
    </w:rPr>
  </w:style>
  <w:style w:type="paragraph" w:customStyle="1" w:styleId="H20">
    <w:name w:val="H2"/>
    <w:basedOn w:val="P"/>
    <w:link w:val="H2Char"/>
    <w:qFormat/>
    <w:rsid w:val="00B66769"/>
    <w:rPr>
      <w:b/>
      <w:bCs/>
    </w:rPr>
  </w:style>
  <w:style w:type="character" w:customStyle="1" w:styleId="H2Char">
    <w:name w:val="H2 Char"/>
    <w:basedOn w:val="PChar"/>
    <w:link w:val="H20"/>
    <w:rsid w:val="00B66769"/>
    <w:rPr>
      <w:rFonts w:eastAsia="SimSun"/>
      <w:b/>
      <w:bCs/>
      <w:color w:val="000000"/>
      <w:sz w:val="24"/>
      <w:szCs w:val="24"/>
      <w:lang w:val="en-GB" w:eastAsia="zh-CN"/>
    </w:rPr>
  </w:style>
  <w:style w:type="paragraph" w:styleId="Revision">
    <w:name w:val="Revision"/>
    <w:hidden/>
    <w:uiPriority w:val="99"/>
    <w:semiHidden/>
    <w:rsid w:val="00BE5A07"/>
    <w:rPr>
      <w:sz w:val="24"/>
      <w:szCs w:val="24"/>
    </w:rPr>
  </w:style>
  <w:style w:type="table" w:customStyle="1" w:styleId="GridTable1Light-Accent61">
    <w:name w:val="Grid Table 1 Light - Accent 61"/>
    <w:basedOn w:val="TableNormal"/>
    <w:uiPriority w:val="46"/>
    <w:rsid w:val="009C3D27"/>
    <w:rPr>
      <w:rFonts w:asciiTheme="minorHAnsi" w:eastAsia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A2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51">
      <w:bodyDiv w:val="1"/>
      <w:marLeft w:val="0"/>
      <w:marRight w:val="0"/>
      <w:marTop w:val="0"/>
      <w:marBottom w:val="0"/>
      <w:divBdr>
        <w:top w:val="none" w:sz="0" w:space="0" w:color="auto"/>
        <w:left w:val="none" w:sz="0" w:space="0" w:color="auto"/>
        <w:bottom w:val="none" w:sz="0" w:space="0" w:color="auto"/>
        <w:right w:val="none" w:sz="0" w:space="0" w:color="auto"/>
      </w:divBdr>
    </w:div>
    <w:div w:id="13926347">
      <w:bodyDiv w:val="1"/>
      <w:marLeft w:val="0"/>
      <w:marRight w:val="0"/>
      <w:marTop w:val="0"/>
      <w:marBottom w:val="0"/>
      <w:divBdr>
        <w:top w:val="none" w:sz="0" w:space="0" w:color="auto"/>
        <w:left w:val="none" w:sz="0" w:space="0" w:color="auto"/>
        <w:bottom w:val="none" w:sz="0" w:space="0" w:color="auto"/>
        <w:right w:val="none" w:sz="0" w:space="0" w:color="auto"/>
      </w:divBdr>
    </w:div>
    <w:div w:id="18940169">
      <w:bodyDiv w:val="1"/>
      <w:marLeft w:val="0"/>
      <w:marRight w:val="0"/>
      <w:marTop w:val="0"/>
      <w:marBottom w:val="0"/>
      <w:divBdr>
        <w:top w:val="none" w:sz="0" w:space="0" w:color="auto"/>
        <w:left w:val="none" w:sz="0" w:space="0" w:color="auto"/>
        <w:bottom w:val="none" w:sz="0" w:space="0" w:color="auto"/>
        <w:right w:val="none" w:sz="0" w:space="0" w:color="auto"/>
      </w:divBdr>
    </w:div>
    <w:div w:id="21175595">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71006181">
      <w:bodyDiv w:val="1"/>
      <w:marLeft w:val="0"/>
      <w:marRight w:val="0"/>
      <w:marTop w:val="0"/>
      <w:marBottom w:val="0"/>
      <w:divBdr>
        <w:top w:val="none" w:sz="0" w:space="0" w:color="auto"/>
        <w:left w:val="none" w:sz="0" w:space="0" w:color="auto"/>
        <w:bottom w:val="none" w:sz="0" w:space="0" w:color="auto"/>
        <w:right w:val="none" w:sz="0" w:space="0" w:color="auto"/>
      </w:divBdr>
    </w:div>
    <w:div w:id="76171132">
      <w:bodyDiv w:val="1"/>
      <w:marLeft w:val="0"/>
      <w:marRight w:val="0"/>
      <w:marTop w:val="0"/>
      <w:marBottom w:val="0"/>
      <w:divBdr>
        <w:top w:val="none" w:sz="0" w:space="0" w:color="auto"/>
        <w:left w:val="none" w:sz="0" w:space="0" w:color="auto"/>
        <w:bottom w:val="none" w:sz="0" w:space="0" w:color="auto"/>
        <w:right w:val="none" w:sz="0" w:space="0" w:color="auto"/>
      </w:divBdr>
    </w:div>
    <w:div w:id="80109569">
      <w:bodyDiv w:val="1"/>
      <w:marLeft w:val="0"/>
      <w:marRight w:val="0"/>
      <w:marTop w:val="0"/>
      <w:marBottom w:val="0"/>
      <w:divBdr>
        <w:top w:val="none" w:sz="0" w:space="0" w:color="auto"/>
        <w:left w:val="none" w:sz="0" w:space="0" w:color="auto"/>
        <w:bottom w:val="none" w:sz="0" w:space="0" w:color="auto"/>
        <w:right w:val="none" w:sz="0" w:space="0" w:color="auto"/>
      </w:divBdr>
    </w:div>
    <w:div w:id="84888028">
      <w:bodyDiv w:val="1"/>
      <w:marLeft w:val="0"/>
      <w:marRight w:val="0"/>
      <w:marTop w:val="0"/>
      <w:marBottom w:val="0"/>
      <w:divBdr>
        <w:top w:val="none" w:sz="0" w:space="0" w:color="auto"/>
        <w:left w:val="none" w:sz="0" w:space="0" w:color="auto"/>
        <w:bottom w:val="none" w:sz="0" w:space="0" w:color="auto"/>
        <w:right w:val="none" w:sz="0" w:space="0" w:color="auto"/>
      </w:divBdr>
    </w:div>
    <w:div w:id="100077187">
      <w:bodyDiv w:val="1"/>
      <w:marLeft w:val="0"/>
      <w:marRight w:val="0"/>
      <w:marTop w:val="0"/>
      <w:marBottom w:val="0"/>
      <w:divBdr>
        <w:top w:val="none" w:sz="0" w:space="0" w:color="auto"/>
        <w:left w:val="none" w:sz="0" w:space="0" w:color="auto"/>
        <w:bottom w:val="none" w:sz="0" w:space="0" w:color="auto"/>
        <w:right w:val="none" w:sz="0" w:space="0" w:color="auto"/>
      </w:divBdr>
    </w:div>
    <w:div w:id="118452820">
      <w:bodyDiv w:val="1"/>
      <w:marLeft w:val="0"/>
      <w:marRight w:val="0"/>
      <w:marTop w:val="0"/>
      <w:marBottom w:val="0"/>
      <w:divBdr>
        <w:top w:val="none" w:sz="0" w:space="0" w:color="auto"/>
        <w:left w:val="none" w:sz="0" w:space="0" w:color="auto"/>
        <w:bottom w:val="none" w:sz="0" w:space="0" w:color="auto"/>
        <w:right w:val="none" w:sz="0" w:space="0" w:color="auto"/>
      </w:divBdr>
    </w:div>
    <w:div w:id="118837968">
      <w:bodyDiv w:val="1"/>
      <w:marLeft w:val="0"/>
      <w:marRight w:val="0"/>
      <w:marTop w:val="0"/>
      <w:marBottom w:val="0"/>
      <w:divBdr>
        <w:top w:val="none" w:sz="0" w:space="0" w:color="auto"/>
        <w:left w:val="none" w:sz="0" w:space="0" w:color="auto"/>
        <w:bottom w:val="none" w:sz="0" w:space="0" w:color="auto"/>
        <w:right w:val="none" w:sz="0" w:space="0" w:color="auto"/>
      </w:divBdr>
    </w:div>
    <w:div w:id="125122689">
      <w:bodyDiv w:val="1"/>
      <w:marLeft w:val="0"/>
      <w:marRight w:val="0"/>
      <w:marTop w:val="0"/>
      <w:marBottom w:val="0"/>
      <w:divBdr>
        <w:top w:val="none" w:sz="0" w:space="0" w:color="auto"/>
        <w:left w:val="none" w:sz="0" w:space="0" w:color="auto"/>
        <w:bottom w:val="none" w:sz="0" w:space="0" w:color="auto"/>
        <w:right w:val="none" w:sz="0" w:space="0" w:color="auto"/>
      </w:divBdr>
    </w:div>
    <w:div w:id="144207226">
      <w:bodyDiv w:val="1"/>
      <w:marLeft w:val="0"/>
      <w:marRight w:val="0"/>
      <w:marTop w:val="0"/>
      <w:marBottom w:val="0"/>
      <w:divBdr>
        <w:top w:val="none" w:sz="0" w:space="0" w:color="auto"/>
        <w:left w:val="none" w:sz="0" w:space="0" w:color="auto"/>
        <w:bottom w:val="none" w:sz="0" w:space="0" w:color="auto"/>
        <w:right w:val="none" w:sz="0" w:space="0" w:color="auto"/>
      </w:divBdr>
    </w:div>
    <w:div w:id="151068924">
      <w:bodyDiv w:val="1"/>
      <w:marLeft w:val="0"/>
      <w:marRight w:val="0"/>
      <w:marTop w:val="0"/>
      <w:marBottom w:val="0"/>
      <w:divBdr>
        <w:top w:val="none" w:sz="0" w:space="0" w:color="auto"/>
        <w:left w:val="none" w:sz="0" w:space="0" w:color="auto"/>
        <w:bottom w:val="none" w:sz="0" w:space="0" w:color="auto"/>
        <w:right w:val="none" w:sz="0" w:space="0" w:color="auto"/>
      </w:divBdr>
    </w:div>
    <w:div w:id="157812624">
      <w:bodyDiv w:val="1"/>
      <w:marLeft w:val="0"/>
      <w:marRight w:val="0"/>
      <w:marTop w:val="0"/>
      <w:marBottom w:val="0"/>
      <w:divBdr>
        <w:top w:val="none" w:sz="0" w:space="0" w:color="auto"/>
        <w:left w:val="none" w:sz="0" w:space="0" w:color="auto"/>
        <w:bottom w:val="none" w:sz="0" w:space="0" w:color="auto"/>
        <w:right w:val="none" w:sz="0" w:space="0" w:color="auto"/>
      </w:divBdr>
    </w:div>
    <w:div w:id="162283869">
      <w:bodyDiv w:val="1"/>
      <w:marLeft w:val="0"/>
      <w:marRight w:val="0"/>
      <w:marTop w:val="0"/>
      <w:marBottom w:val="0"/>
      <w:divBdr>
        <w:top w:val="none" w:sz="0" w:space="0" w:color="auto"/>
        <w:left w:val="none" w:sz="0" w:space="0" w:color="auto"/>
        <w:bottom w:val="none" w:sz="0" w:space="0" w:color="auto"/>
        <w:right w:val="none" w:sz="0" w:space="0" w:color="auto"/>
      </w:divBdr>
    </w:div>
    <w:div w:id="163323333">
      <w:bodyDiv w:val="1"/>
      <w:marLeft w:val="0"/>
      <w:marRight w:val="0"/>
      <w:marTop w:val="0"/>
      <w:marBottom w:val="0"/>
      <w:divBdr>
        <w:top w:val="none" w:sz="0" w:space="0" w:color="auto"/>
        <w:left w:val="none" w:sz="0" w:space="0" w:color="auto"/>
        <w:bottom w:val="none" w:sz="0" w:space="0" w:color="auto"/>
        <w:right w:val="none" w:sz="0" w:space="0" w:color="auto"/>
      </w:divBdr>
    </w:div>
    <w:div w:id="164564234">
      <w:bodyDiv w:val="1"/>
      <w:marLeft w:val="0"/>
      <w:marRight w:val="0"/>
      <w:marTop w:val="0"/>
      <w:marBottom w:val="0"/>
      <w:divBdr>
        <w:top w:val="none" w:sz="0" w:space="0" w:color="auto"/>
        <w:left w:val="none" w:sz="0" w:space="0" w:color="auto"/>
        <w:bottom w:val="none" w:sz="0" w:space="0" w:color="auto"/>
        <w:right w:val="none" w:sz="0" w:space="0" w:color="auto"/>
      </w:divBdr>
    </w:div>
    <w:div w:id="171575387">
      <w:bodyDiv w:val="1"/>
      <w:marLeft w:val="0"/>
      <w:marRight w:val="0"/>
      <w:marTop w:val="0"/>
      <w:marBottom w:val="0"/>
      <w:divBdr>
        <w:top w:val="none" w:sz="0" w:space="0" w:color="auto"/>
        <w:left w:val="none" w:sz="0" w:space="0" w:color="auto"/>
        <w:bottom w:val="none" w:sz="0" w:space="0" w:color="auto"/>
        <w:right w:val="none" w:sz="0" w:space="0" w:color="auto"/>
      </w:divBdr>
    </w:div>
    <w:div w:id="183980105">
      <w:bodyDiv w:val="1"/>
      <w:marLeft w:val="0"/>
      <w:marRight w:val="0"/>
      <w:marTop w:val="0"/>
      <w:marBottom w:val="0"/>
      <w:divBdr>
        <w:top w:val="none" w:sz="0" w:space="0" w:color="auto"/>
        <w:left w:val="none" w:sz="0" w:space="0" w:color="auto"/>
        <w:bottom w:val="none" w:sz="0" w:space="0" w:color="auto"/>
        <w:right w:val="none" w:sz="0" w:space="0" w:color="auto"/>
      </w:divBdr>
    </w:div>
    <w:div w:id="188302459">
      <w:bodyDiv w:val="1"/>
      <w:marLeft w:val="0"/>
      <w:marRight w:val="0"/>
      <w:marTop w:val="0"/>
      <w:marBottom w:val="0"/>
      <w:divBdr>
        <w:top w:val="none" w:sz="0" w:space="0" w:color="auto"/>
        <w:left w:val="none" w:sz="0" w:space="0" w:color="auto"/>
        <w:bottom w:val="none" w:sz="0" w:space="0" w:color="auto"/>
        <w:right w:val="none" w:sz="0" w:space="0" w:color="auto"/>
      </w:divBdr>
    </w:div>
    <w:div w:id="204878011">
      <w:bodyDiv w:val="1"/>
      <w:marLeft w:val="0"/>
      <w:marRight w:val="0"/>
      <w:marTop w:val="0"/>
      <w:marBottom w:val="0"/>
      <w:divBdr>
        <w:top w:val="none" w:sz="0" w:space="0" w:color="auto"/>
        <w:left w:val="none" w:sz="0" w:space="0" w:color="auto"/>
        <w:bottom w:val="none" w:sz="0" w:space="0" w:color="auto"/>
        <w:right w:val="none" w:sz="0" w:space="0" w:color="auto"/>
      </w:divBdr>
    </w:div>
    <w:div w:id="210384052">
      <w:bodyDiv w:val="1"/>
      <w:marLeft w:val="0"/>
      <w:marRight w:val="0"/>
      <w:marTop w:val="0"/>
      <w:marBottom w:val="0"/>
      <w:divBdr>
        <w:top w:val="none" w:sz="0" w:space="0" w:color="auto"/>
        <w:left w:val="none" w:sz="0" w:space="0" w:color="auto"/>
        <w:bottom w:val="none" w:sz="0" w:space="0" w:color="auto"/>
        <w:right w:val="none" w:sz="0" w:space="0" w:color="auto"/>
      </w:divBdr>
    </w:div>
    <w:div w:id="226690128">
      <w:bodyDiv w:val="1"/>
      <w:marLeft w:val="0"/>
      <w:marRight w:val="0"/>
      <w:marTop w:val="0"/>
      <w:marBottom w:val="0"/>
      <w:divBdr>
        <w:top w:val="none" w:sz="0" w:space="0" w:color="auto"/>
        <w:left w:val="none" w:sz="0" w:space="0" w:color="auto"/>
        <w:bottom w:val="none" w:sz="0" w:space="0" w:color="auto"/>
        <w:right w:val="none" w:sz="0" w:space="0" w:color="auto"/>
      </w:divBdr>
    </w:div>
    <w:div w:id="233978022">
      <w:bodyDiv w:val="1"/>
      <w:marLeft w:val="0"/>
      <w:marRight w:val="0"/>
      <w:marTop w:val="0"/>
      <w:marBottom w:val="0"/>
      <w:divBdr>
        <w:top w:val="none" w:sz="0" w:space="0" w:color="auto"/>
        <w:left w:val="none" w:sz="0" w:space="0" w:color="auto"/>
        <w:bottom w:val="none" w:sz="0" w:space="0" w:color="auto"/>
        <w:right w:val="none" w:sz="0" w:space="0" w:color="auto"/>
      </w:divBdr>
    </w:div>
    <w:div w:id="235939013">
      <w:bodyDiv w:val="1"/>
      <w:marLeft w:val="0"/>
      <w:marRight w:val="0"/>
      <w:marTop w:val="0"/>
      <w:marBottom w:val="0"/>
      <w:divBdr>
        <w:top w:val="none" w:sz="0" w:space="0" w:color="auto"/>
        <w:left w:val="none" w:sz="0" w:space="0" w:color="auto"/>
        <w:bottom w:val="none" w:sz="0" w:space="0" w:color="auto"/>
        <w:right w:val="none" w:sz="0" w:space="0" w:color="auto"/>
      </w:divBdr>
    </w:div>
    <w:div w:id="236287602">
      <w:bodyDiv w:val="1"/>
      <w:marLeft w:val="0"/>
      <w:marRight w:val="0"/>
      <w:marTop w:val="0"/>
      <w:marBottom w:val="0"/>
      <w:divBdr>
        <w:top w:val="none" w:sz="0" w:space="0" w:color="auto"/>
        <w:left w:val="none" w:sz="0" w:space="0" w:color="auto"/>
        <w:bottom w:val="none" w:sz="0" w:space="0" w:color="auto"/>
        <w:right w:val="none" w:sz="0" w:space="0" w:color="auto"/>
      </w:divBdr>
    </w:div>
    <w:div w:id="256910583">
      <w:bodyDiv w:val="1"/>
      <w:marLeft w:val="0"/>
      <w:marRight w:val="0"/>
      <w:marTop w:val="0"/>
      <w:marBottom w:val="0"/>
      <w:divBdr>
        <w:top w:val="none" w:sz="0" w:space="0" w:color="auto"/>
        <w:left w:val="none" w:sz="0" w:space="0" w:color="auto"/>
        <w:bottom w:val="none" w:sz="0" w:space="0" w:color="auto"/>
        <w:right w:val="none" w:sz="0" w:space="0" w:color="auto"/>
      </w:divBdr>
    </w:div>
    <w:div w:id="258223503">
      <w:bodyDiv w:val="1"/>
      <w:marLeft w:val="0"/>
      <w:marRight w:val="0"/>
      <w:marTop w:val="0"/>
      <w:marBottom w:val="0"/>
      <w:divBdr>
        <w:top w:val="none" w:sz="0" w:space="0" w:color="auto"/>
        <w:left w:val="none" w:sz="0" w:space="0" w:color="auto"/>
        <w:bottom w:val="none" w:sz="0" w:space="0" w:color="auto"/>
        <w:right w:val="none" w:sz="0" w:space="0" w:color="auto"/>
      </w:divBdr>
    </w:div>
    <w:div w:id="263540441">
      <w:bodyDiv w:val="1"/>
      <w:marLeft w:val="0"/>
      <w:marRight w:val="0"/>
      <w:marTop w:val="0"/>
      <w:marBottom w:val="0"/>
      <w:divBdr>
        <w:top w:val="none" w:sz="0" w:space="0" w:color="auto"/>
        <w:left w:val="none" w:sz="0" w:space="0" w:color="auto"/>
        <w:bottom w:val="none" w:sz="0" w:space="0" w:color="auto"/>
        <w:right w:val="none" w:sz="0" w:space="0" w:color="auto"/>
      </w:divBdr>
    </w:div>
    <w:div w:id="272135696">
      <w:bodyDiv w:val="1"/>
      <w:marLeft w:val="0"/>
      <w:marRight w:val="0"/>
      <w:marTop w:val="0"/>
      <w:marBottom w:val="0"/>
      <w:divBdr>
        <w:top w:val="none" w:sz="0" w:space="0" w:color="auto"/>
        <w:left w:val="none" w:sz="0" w:space="0" w:color="auto"/>
        <w:bottom w:val="none" w:sz="0" w:space="0" w:color="auto"/>
        <w:right w:val="none" w:sz="0" w:space="0" w:color="auto"/>
      </w:divBdr>
    </w:div>
    <w:div w:id="288241888">
      <w:bodyDiv w:val="1"/>
      <w:marLeft w:val="0"/>
      <w:marRight w:val="0"/>
      <w:marTop w:val="0"/>
      <w:marBottom w:val="0"/>
      <w:divBdr>
        <w:top w:val="none" w:sz="0" w:space="0" w:color="auto"/>
        <w:left w:val="none" w:sz="0" w:space="0" w:color="auto"/>
        <w:bottom w:val="none" w:sz="0" w:space="0" w:color="auto"/>
        <w:right w:val="none" w:sz="0" w:space="0" w:color="auto"/>
      </w:divBdr>
    </w:div>
    <w:div w:id="294064453">
      <w:bodyDiv w:val="1"/>
      <w:marLeft w:val="0"/>
      <w:marRight w:val="0"/>
      <w:marTop w:val="0"/>
      <w:marBottom w:val="0"/>
      <w:divBdr>
        <w:top w:val="none" w:sz="0" w:space="0" w:color="auto"/>
        <w:left w:val="none" w:sz="0" w:space="0" w:color="auto"/>
        <w:bottom w:val="none" w:sz="0" w:space="0" w:color="auto"/>
        <w:right w:val="none" w:sz="0" w:space="0" w:color="auto"/>
      </w:divBdr>
    </w:div>
    <w:div w:id="364596686">
      <w:bodyDiv w:val="1"/>
      <w:marLeft w:val="0"/>
      <w:marRight w:val="0"/>
      <w:marTop w:val="0"/>
      <w:marBottom w:val="0"/>
      <w:divBdr>
        <w:top w:val="none" w:sz="0" w:space="0" w:color="auto"/>
        <w:left w:val="none" w:sz="0" w:space="0" w:color="auto"/>
        <w:bottom w:val="none" w:sz="0" w:space="0" w:color="auto"/>
        <w:right w:val="none" w:sz="0" w:space="0" w:color="auto"/>
      </w:divBdr>
    </w:div>
    <w:div w:id="366418573">
      <w:bodyDiv w:val="1"/>
      <w:marLeft w:val="0"/>
      <w:marRight w:val="0"/>
      <w:marTop w:val="0"/>
      <w:marBottom w:val="0"/>
      <w:divBdr>
        <w:top w:val="none" w:sz="0" w:space="0" w:color="auto"/>
        <w:left w:val="none" w:sz="0" w:space="0" w:color="auto"/>
        <w:bottom w:val="none" w:sz="0" w:space="0" w:color="auto"/>
        <w:right w:val="none" w:sz="0" w:space="0" w:color="auto"/>
      </w:divBdr>
    </w:div>
    <w:div w:id="376702226">
      <w:bodyDiv w:val="1"/>
      <w:marLeft w:val="0"/>
      <w:marRight w:val="0"/>
      <w:marTop w:val="0"/>
      <w:marBottom w:val="0"/>
      <w:divBdr>
        <w:top w:val="none" w:sz="0" w:space="0" w:color="auto"/>
        <w:left w:val="none" w:sz="0" w:space="0" w:color="auto"/>
        <w:bottom w:val="none" w:sz="0" w:space="0" w:color="auto"/>
        <w:right w:val="none" w:sz="0" w:space="0" w:color="auto"/>
      </w:divBdr>
    </w:div>
    <w:div w:id="377248013">
      <w:bodyDiv w:val="1"/>
      <w:marLeft w:val="0"/>
      <w:marRight w:val="0"/>
      <w:marTop w:val="0"/>
      <w:marBottom w:val="0"/>
      <w:divBdr>
        <w:top w:val="none" w:sz="0" w:space="0" w:color="auto"/>
        <w:left w:val="none" w:sz="0" w:space="0" w:color="auto"/>
        <w:bottom w:val="none" w:sz="0" w:space="0" w:color="auto"/>
        <w:right w:val="none" w:sz="0" w:space="0" w:color="auto"/>
      </w:divBdr>
    </w:div>
    <w:div w:id="379986186">
      <w:bodyDiv w:val="1"/>
      <w:marLeft w:val="0"/>
      <w:marRight w:val="0"/>
      <w:marTop w:val="0"/>
      <w:marBottom w:val="0"/>
      <w:divBdr>
        <w:top w:val="none" w:sz="0" w:space="0" w:color="auto"/>
        <w:left w:val="none" w:sz="0" w:space="0" w:color="auto"/>
        <w:bottom w:val="none" w:sz="0" w:space="0" w:color="auto"/>
        <w:right w:val="none" w:sz="0" w:space="0" w:color="auto"/>
      </w:divBdr>
    </w:div>
    <w:div w:id="386952316">
      <w:bodyDiv w:val="1"/>
      <w:marLeft w:val="0"/>
      <w:marRight w:val="0"/>
      <w:marTop w:val="0"/>
      <w:marBottom w:val="0"/>
      <w:divBdr>
        <w:top w:val="none" w:sz="0" w:space="0" w:color="auto"/>
        <w:left w:val="none" w:sz="0" w:space="0" w:color="auto"/>
        <w:bottom w:val="none" w:sz="0" w:space="0" w:color="auto"/>
        <w:right w:val="none" w:sz="0" w:space="0" w:color="auto"/>
      </w:divBdr>
    </w:div>
    <w:div w:id="402071496">
      <w:bodyDiv w:val="1"/>
      <w:marLeft w:val="0"/>
      <w:marRight w:val="0"/>
      <w:marTop w:val="0"/>
      <w:marBottom w:val="0"/>
      <w:divBdr>
        <w:top w:val="none" w:sz="0" w:space="0" w:color="auto"/>
        <w:left w:val="none" w:sz="0" w:space="0" w:color="auto"/>
        <w:bottom w:val="none" w:sz="0" w:space="0" w:color="auto"/>
        <w:right w:val="none" w:sz="0" w:space="0" w:color="auto"/>
      </w:divBdr>
    </w:div>
    <w:div w:id="406197868">
      <w:bodyDiv w:val="1"/>
      <w:marLeft w:val="0"/>
      <w:marRight w:val="0"/>
      <w:marTop w:val="0"/>
      <w:marBottom w:val="0"/>
      <w:divBdr>
        <w:top w:val="none" w:sz="0" w:space="0" w:color="auto"/>
        <w:left w:val="none" w:sz="0" w:space="0" w:color="auto"/>
        <w:bottom w:val="none" w:sz="0" w:space="0" w:color="auto"/>
        <w:right w:val="none" w:sz="0" w:space="0" w:color="auto"/>
      </w:divBdr>
    </w:div>
    <w:div w:id="407265182">
      <w:bodyDiv w:val="1"/>
      <w:marLeft w:val="0"/>
      <w:marRight w:val="0"/>
      <w:marTop w:val="0"/>
      <w:marBottom w:val="0"/>
      <w:divBdr>
        <w:top w:val="none" w:sz="0" w:space="0" w:color="auto"/>
        <w:left w:val="none" w:sz="0" w:space="0" w:color="auto"/>
        <w:bottom w:val="none" w:sz="0" w:space="0" w:color="auto"/>
        <w:right w:val="none" w:sz="0" w:space="0" w:color="auto"/>
      </w:divBdr>
    </w:div>
    <w:div w:id="419064520">
      <w:bodyDiv w:val="1"/>
      <w:marLeft w:val="0"/>
      <w:marRight w:val="0"/>
      <w:marTop w:val="0"/>
      <w:marBottom w:val="0"/>
      <w:divBdr>
        <w:top w:val="none" w:sz="0" w:space="0" w:color="auto"/>
        <w:left w:val="none" w:sz="0" w:space="0" w:color="auto"/>
        <w:bottom w:val="none" w:sz="0" w:space="0" w:color="auto"/>
        <w:right w:val="none" w:sz="0" w:space="0" w:color="auto"/>
      </w:divBdr>
    </w:div>
    <w:div w:id="438260666">
      <w:bodyDiv w:val="1"/>
      <w:marLeft w:val="0"/>
      <w:marRight w:val="0"/>
      <w:marTop w:val="0"/>
      <w:marBottom w:val="0"/>
      <w:divBdr>
        <w:top w:val="none" w:sz="0" w:space="0" w:color="auto"/>
        <w:left w:val="none" w:sz="0" w:space="0" w:color="auto"/>
        <w:bottom w:val="none" w:sz="0" w:space="0" w:color="auto"/>
        <w:right w:val="none" w:sz="0" w:space="0" w:color="auto"/>
      </w:divBdr>
    </w:div>
    <w:div w:id="440346334">
      <w:bodyDiv w:val="1"/>
      <w:marLeft w:val="0"/>
      <w:marRight w:val="0"/>
      <w:marTop w:val="0"/>
      <w:marBottom w:val="0"/>
      <w:divBdr>
        <w:top w:val="none" w:sz="0" w:space="0" w:color="auto"/>
        <w:left w:val="none" w:sz="0" w:space="0" w:color="auto"/>
        <w:bottom w:val="none" w:sz="0" w:space="0" w:color="auto"/>
        <w:right w:val="none" w:sz="0" w:space="0" w:color="auto"/>
      </w:divBdr>
    </w:div>
    <w:div w:id="446704411">
      <w:bodyDiv w:val="1"/>
      <w:marLeft w:val="0"/>
      <w:marRight w:val="0"/>
      <w:marTop w:val="0"/>
      <w:marBottom w:val="0"/>
      <w:divBdr>
        <w:top w:val="none" w:sz="0" w:space="0" w:color="auto"/>
        <w:left w:val="none" w:sz="0" w:space="0" w:color="auto"/>
        <w:bottom w:val="none" w:sz="0" w:space="0" w:color="auto"/>
        <w:right w:val="none" w:sz="0" w:space="0" w:color="auto"/>
      </w:divBdr>
    </w:div>
    <w:div w:id="462428241">
      <w:bodyDiv w:val="1"/>
      <w:marLeft w:val="0"/>
      <w:marRight w:val="0"/>
      <w:marTop w:val="0"/>
      <w:marBottom w:val="0"/>
      <w:divBdr>
        <w:top w:val="none" w:sz="0" w:space="0" w:color="auto"/>
        <w:left w:val="none" w:sz="0" w:space="0" w:color="auto"/>
        <w:bottom w:val="none" w:sz="0" w:space="0" w:color="auto"/>
        <w:right w:val="none" w:sz="0" w:space="0" w:color="auto"/>
      </w:divBdr>
    </w:div>
    <w:div w:id="466581565">
      <w:bodyDiv w:val="1"/>
      <w:marLeft w:val="0"/>
      <w:marRight w:val="0"/>
      <w:marTop w:val="0"/>
      <w:marBottom w:val="0"/>
      <w:divBdr>
        <w:top w:val="none" w:sz="0" w:space="0" w:color="auto"/>
        <w:left w:val="none" w:sz="0" w:space="0" w:color="auto"/>
        <w:bottom w:val="none" w:sz="0" w:space="0" w:color="auto"/>
        <w:right w:val="none" w:sz="0" w:space="0" w:color="auto"/>
      </w:divBdr>
    </w:div>
    <w:div w:id="469175584">
      <w:bodyDiv w:val="1"/>
      <w:marLeft w:val="0"/>
      <w:marRight w:val="0"/>
      <w:marTop w:val="0"/>
      <w:marBottom w:val="0"/>
      <w:divBdr>
        <w:top w:val="none" w:sz="0" w:space="0" w:color="auto"/>
        <w:left w:val="none" w:sz="0" w:space="0" w:color="auto"/>
        <w:bottom w:val="none" w:sz="0" w:space="0" w:color="auto"/>
        <w:right w:val="none" w:sz="0" w:space="0" w:color="auto"/>
      </w:divBdr>
    </w:div>
    <w:div w:id="470486844">
      <w:bodyDiv w:val="1"/>
      <w:marLeft w:val="0"/>
      <w:marRight w:val="0"/>
      <w:marTop w:val="0"/>
      <w:marBottom w:val="0"/>
      <w:divBdr>
        <w:top w:val="none" w:sz="0" w:space="0" w:color="auto"/>
        <w:left w:val="none" w:sz="0" w:space="0" w:color="auto"/>
        <w:bottom w:val="none" w:sz="0" w:space="0" w:color="auto"/>
        <w:right w:val="none" w:sz="0" w:space="0" w:color="auto"/>
      </w:divBdr>
    </w:div>
    <w:div w:id="475342370">
      <w:bodyDiv w:val="1"/>
      <w:marLeft w:val="0"/>
      <w:marRight w:val="0"/>
      <w:marTop w:val="0"/>
      <w:marBottom w:val="0"/>
      <w:divBdr>
        <w:top w:val="none" w:sz="0" w:space="0" w:color="auto"/>
        <w:left w:val="none" w:sz="0" w:space="0" w:color="auto"/>
        <w:bottom w:val="none" w:sz="0" w:space="0" w:color="auto"/>
        <w:right w:val="none" w:sz="0" w:space="0" w:color="auto"/>
      </w:divBdr>
    </w:div>
    <w:div w:id="488208440">
      <w:bodyDiv w:val="1"/>
      <w:marLeft w:val="0"/>
      <w:marRight w:val="0"/>
      <w:marTop w:val="0"/>
      <w:marBottom w:val="0"/>
      <w:divBdr>
        <w:top w:val="none" w:sz="0" w:space="0" w:color="auto"/>
        <w:left w:val="none" w:sz="0" w:space="0" w:color="auto"/>
        <w:bottom w:val="none" w:sz="0" w:space="0" w:color="auto"/>
        <w:right w:val="none" w:sz="0" w:space="0" w:color="auto"/>
      </w:divBdr>
    </w:div>
    <w:div w:id="498616737">
      <w:bodyDiv w:val="1"/>
      <w:marLeft w:val="0"/>
      <w:marRight w:val="0"/>
      <w:marTop w:val="0"/>
      <w:marBottom w:val="0"/>
      <w:divBdr>
        <w:top w:val="none" w:sz="0" w:space="0" w:color="auto"/>
        <w:left w:val="none" w:sz="0" w:space="0" w:color="auto"/>
        <w:bottom w:val="none" w:sz="0" w:space="0" w:color="auto"/>
        <w:right w:val="none" w:sz="0" w:space="0" w:color="auto"/>
      </w:divBdr>
    </w:div>
    <w:div w:id="503590316">
      <w:bodyDiv w:val="1"/>
      <w:marLeft w:val="0"/>
      <w:marRight w:val="0"/>
      <w:marTop w:val="0"/>
      <w:marBottom w:val="0"/>
      <w:divBdr>
        <w:top w:val="none" w:sz="0" w:space="0" w:color="auto"/>
        <w:left w:val="none" w:sz="0" w:space="0" w:color="auto"/>
        <w:bottom w:val="none" w:sz="0" w:space="0" w:color="auto"/>
        <w:right w:val="none" w:sz="0" w:space="0" w:color="auto"/>
      </w:divBdr>
      <w:divsChild>
        <w:div w:id="1893492123">
          <w:marLeft w:val="0"/>
          <w:marRight w:val="0"/>
          <w:marTop w:val="0"/>
          <w:marBottom w:val="0"/>
          <w:divBdr>
            <w:top w:val="none" w:sz="0" w:space="0" w:color="auto"/>
            <w:left w:val="none" w:sz="0" w:space="0" w:color="auto"/>
            <w:bottom w:val="none" w:sz="0" w:space="0" w:color="auto"/>
            <w:right w:val="none" w:sz="0" w:space="0" w:color="auto"/>
          </w:divBdr>
        </w:div>
      </w:divsChild>
    </w:div>
    <w:div w:id="523638717">
      <w:bodyDiv w:val="1"/>
      <w:marLeft w:val="0"/>
      <w:marRight w:val="0"/>
      <w:marTop w:val="0"/>
      <w:marBottom w:val="0"/>
      <w:divBdr>
        <w:top w:val="none" w:sz="0" w:space="0" w:color="auto"/>
        <w:left w:val="none" w:sz="0" w:space="0" w:color="auto"/>
        <w:bottom w:val="none" w:sz="0" w:space="0" w:color="auto"/>
        <w:right w:val="none" w:sz="0" w:space="0" w:color="auto"/>
      </w:divBdr>
    </w:div>
    <w:div w:id="531695973">
      <w:bodyDiv w:val="1"/>
      <w:marLeft w:val="0"/>
      <w:marRight w:val="0"/>
      <w:marTop w:val="0"/>
      <w:marBottom w:val="0"/>
      <w:divBdr>
        <w:top w:val="none" w:sz="0" w:space="0" w:color="auto"/>
        <w:left w:val="none" w:sz="0" w:space="0" w:color="auto"/>
        <w:bottom w:val="none" w:sz="0" w:space="0" w:color="auto"/>
        <w:right w:val="none" w:sz="0" w:space="0" w:color="auto"/>
      </w:divBdr>
    </w:div>
    <w:div w:id="536626460">
      <w:bodyDiv w:val="1"/>
      <w:marLeft w:val="0"/>
      <w:marRight w:val="0"/>
      <w:marTop w:val="0"/>
      <w:marBottom w:val="0"/>
      <w:divBdr>
        <w:top w:val="none" w:sz="0" w:space="0" w:color="auto"/>
        <w:left w:val="none" w:sz="0" w:space="0" w:color="auto"/>
        <w:bottom w:val="none" w:sz="0" w:space="0" w:color="auto"/>
        <w:right w:val="none" w:sz="0" w:space="0" w:color="auto"/>
      </w:divBdr>
    </w:div>
    <w:div w:id="538248552">
      <w:bodyDiv w:val="1"/>
      <w:marLeft w:val="0"/>
      <w:marRight w:val="0"/>
      <w:marTop w:val="0"/>
      <w:marBottom w:val="0"/>
      <w:divBdr>
        <w:top w:val="none" w:sz="0" w:space="0" w:color="auto"/>
        <w:left w:val="none" w:sz="0" w:space="0" w:color="auto"/>
        <w:bottom w:val="none" w:sz="0" w:space="0" w:color="auto"/>
        <w:right w:val="none" w:sz="0" w:space="0" w:color="auto"/>
      </w:divBdr>
    </w:div>
    <w:div w:id="542400358">
      <w:bodyDiv w:val="1"/>
      <w:marLeft w:val="0"/>
      <w:marRight w:val="0"/>
      <w:marTop w:val="0"/>
      <w:marBottom w:val="0"/>
      <w:divBdr>
        <w:top w:val="none" w:sz="0" w:space="0" w:color="auto"/>
        <w:left w:val="none" w:sz="0" w:space="0" w:color="auto"/>
        <w:bottom w:val="none" w:sz="0" w:space="0" w:color="auto"/>
        <w:right w:val="none" w:sz="0" w:space="0" w:color="auto"/>
      </w:divBdr>
    </w:div>
    <w:div w:id="542518196">
      <w:bodyDiv w:val="1"/>
      <w:marLeft w:val="0"/>
      <w:marRight w:val="0"/>
      <w:marTop w:val="0"/>
      <w:marBottom w:val="0"/>
      <w:divBdr>
        <w:top w:val="none" w:sz="0" w:space="0" w:color="auto"/>
        <w:left w:val="none" w:sz="0" w:space="0" w:color="auto"/>
        <w:bottom w:val="none" w:sz="0" w:space="0" w:color="auto"/>
        <w:right w:val="none" w:sz="0" w:space="0" w:color="auto"/>
      </w:divBdr>
    </w:div>
    <w:div w:id="547648104">
      <w:bodyDiv w:val="1"/>
      <w:marLeft w:val="0"/>
      <w:marRight w:val="0"/>
      <w:marTop w:val="0"/>
      <w:marBottom w:val="0"/>
      <w:divBdr>
        <w:top w:val="none" w:sz="0" w:space="0" w:color="auto"/>
        <w:left w:val="none" w:sz="0" w:space="0" w:color="auto"/>
        <w:bottom w:val="none" w:sz="0" w:space="0" w:color="auto"/>
        <w:right w:val="none" w:sz="0" w:space="0" w:color="auto"/>
      </w:divBdr>
    </w:div>
    <w:div w:id="548305456">
      <w:bodyDiv w:val="1"/>
      <w:marLeft w:val="0"/>
      <w:marRight w:val="0"/>
      <w:marTop w:val="0"/>
      <w:marBottom w:val="0"/>
      <w:divBdr>
        <w:top w:val="none" w:sz="0" w:space="0" w:color="auto"/>
        <w:left w:val="none" w:sz="0" w:space="0" w:color="auto"/>
        <w:bottom w:val="none" w:sz="0" w:space="0" w:color="auto"/>
        <w:right w:val="none" w:sz="0" w:space="0" w:color="auto"/>
      </w:divBdr>
    </w:div>
    <w:div w:id="552742413">
      <w:bodyDiv w:val="1"/>
      <w:marLeft w:val="0"/>
      <w:marRight w:val="0"/>
      <w:marTop w:val="0"/>
      <w:marBottom w:val="0"/>
      <w:divBdr>
        <w:top w:val="none" w:sz="0" w:space="0" w:color="auto"/>
        <w:left w:val="none" w:sz="0" w:space="0" w:color="auto"/>
        <w:bottom w:val="none" w:sz="0" w:space="0" w:color="auto"/>
        <w:right w:val="none" w:sz="0" w:space="0" w:color="auto"/>
      </w:divBdr>
    </w:div>
    <w:div w:id="555118660">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1529443">
      <w:bodyDiv w:val="1"/>
      <w:marLeft w:val="0"/>
      <w:marRight w:val="0"/>
      <w:marTop w:val="0"/>
      <w:marBottom w:val="0"/>
      <w:divBdr>
        <w:top w:val="none" w:sz="0" w:space="0" w:color="auto"/>
        <w:left w:val="none" w:sz="0" w:space="0" w:color="auto"/>
        <w:bottom w:val="none" w:sz="0" w:space="0" w:color="auto"/>
        <w:right w:val="none" w:sz="0" w:space="0" w:color="auto"/>
      </w:divBdr>
    </w:div>
    <w:div w:id="564532825">
      <w:bodyDiv w:val="1"/>
      <w:marLeft w:val="0"/>
      <w:marRight w:val="0"/>
      <w:marTop w:val="0"/>
      <w:marBottom w:val="0"/>
      <w:divBdr>
        <w:top w:val="none" w:sz="0" w:space="0" w:color="auto"/>
        <w:left w:val="none" w:sz="0" w:space="0" w:color="auto"/>
        <w:bottom w:val="none" w:sz="0" w:space="0" w:color="auto"/>
        <w:right w:val="none" w:sz="0" w:space="0" w:color="auto"/>
      </w:divBdr>
    </w:div>
    <w:div w:id="567421394">
      <w:bodyDiv w:val="1"/>
      <w:marLeft w:val="0"/>
      <w:marRight w:val="0"/>
      <w:marTop w:val="0"/>
      <w:marBottom w:val="0"/>
      <w:divBdr>
        <w:top w:val="none" w:sz="0" w:space="0" w:color="auto"/>
        <w:left w:val="none" w:sz="0" w:space="0" w:color="auto"/>
        <w:bottom w:val="none" w:sz="0" w:space="0" w:color="auto"/>
        <w:right w:val="none" w:sz="0" w:space="0" w:color="auto"/>
      </w:divBdr>
    </w:div>
    <w:div w:id="613101841">
      <w:bodyDiv w:val="1"/>
      <w:marLeft w:val="0"/>
      <w:marRight w:val="0"/>
      <w:marTop w:val="0"/>
      <w:marBottom w:val="0"/>
      <w:divBdr>
        <w:top w:val="none" w:sz="0" w:space="0" w:color="auto"/>
        <w:left w:val="none" w:sz="0" w:space="0" w:color="auto"/>
        <w:bottom w:val="none" w:sz="0" w:space="0" w:color="auto"/>
        <w:right w:val="none" w:sz="0" w:space="0" w:color="auto"/>
      </w:divBdr>
    </w:div>
    <w:div w:id="620499508">
      <w:bodyDiv w:val="1"/>
      <w:marLeft w:val="0"/>
      <w:marRight w:val="0"/>
      <w:marTop w:val="0"/>
      <w:marBottom w:val="0"/>
      <w:divBdr>
        <w:top w:val="none" w:sz="0" w:space="0" w:color="auto"/>
        <w:left w:val="none" w:sz="0" w:space="0" w:color="auto"/>
        <w:bottom w:val="none" w:sz="0" w:space="0" w:color="auto"/>
        <w:right w:val="none" w:sz="0" w:space="0" w:color="auto"/>
      </w:divBdr>
    </w:div>
    <w:div w:id="629477923">
      <w:bodyDiv w:val="1"/>
      <w:marLeft w:val="0"/>
      <w:marRight w:val="0"/>
      <w:marTop w:val="0"/>
      <w:marBottom w:val="0"/>
      <w:divBdr>
        <w:top w:val="none" w:sz="0" w:space="0" w:color="auto"/>
        <w:left w:val="none" w:sz="0" w:space="0" w:color="auto"/>
        <w:bottom w:val="none" w:sz="0" w:space="0" w:color="auto"/>
        <w:right w:val="none" w:sz="0" w:space="0" w:color="auto"/>
      </w:divBdr>
    </w:div>
    <w:div w:id="647979341">
      <w:bodyDiv w:val="1"/>
      <w:marLeft w:val="0"/>
      <w:marRight w:val="0"/>
      <w:marTop w:val="0"/>
      <w:marBottom w:val="0"/>
      <w:divBdr>
        <w:top w:val="none" w:sz="0" w:space="0" w:color="auto"/>
        <w:left w:val="none" w:sz="0" w:space="0" w:color="auto"/>
        <w:bottom w:val="none" w:sz="0" w:space="0" w:color="auto"/>
        <w:right w:val="none" w:sz="0" w:space="0" w:color="auto"/>
      </w:divBdr>
    </w:div>
    <w:div w:id="650134491">
      <w:bodyDiv w:val="1"/>
      <w:marLeft w:val="0"/>
      <w:marRight w:val="0"/>
      <w:marTop w:val="0"/>
      <w:marBottom w:val="0"/>
      <w:divBdr>
        <w:top w:val="none" w:sz="0" w:space="0" w:color="auto"/>
        <w:left w:val="none" w:sz="0" w:space="0" w:color="auto"/>
        <w:bottom w:val="none" w:sz="0" w:space="0" w:color="auto"/>
        <w:right w:val="none" w:sz="0" w:space="0" w:color="auto"/>
      </w:divBdr>
    </w:div>
    <w:div w:id="650255770">
      <w:bodyDiv w:val="1"/>
      <w:marLeft w:val="0"/>
      <w:marRight w:val="0"/>
      <w:marTop w:val="0"/>
      <w:marBottom w:val="0"/>
      <w:divBdr>
        <w:top w:val="none" w:sz="0" w:space="0" w:color="auto"/>
        <w:left w:val="none" w:sz="0" w:space="0" w:color="auto"/>
        <w:bottom w:val="none" w:sz="0" w:space="0" w:color="auto"/>
        <w:right w:val="none" w:sz="0" w:space="0" w:color="auto"/>
      </w:divBdr>
    </w:div>
    <w:div w:id="656568582">
      <w:bodyDiv w:val="1"/>
      <w:marLeft w:val="0"/>
      <w:marRight w:val="0"/>
      <w:marTop w:val="0"/>
      <w:marBottom w:val="0"/>
      <w:divBdr>
        <w:top w:val="none" w:sz="0" w:space="0" w:color="auto"/>
        <w:left w:val="none" w:sz="0" w:space="0" w:color="auto"/>
        <w:bottom w:val="none" w:sz="0" w:space="0" w:color="auto"/>
        <w:right w:val="none" w:sz="0" w:space="0" w:color="auto"/>
      </w:divBdr>
    </w:div>
    <w:div w:id="669069021">
      <w:bodyDiv w:val="1"/>
      <w:marLeft w:val="0"/>
      <w:marRight w:val="0"/>
      <w:marTop w:val="0"/>
      <w:marBottom w:val="0"/>
      <w:divBdr>
        <w:top w:val="none" w:sz="0" w:space="0" w:color="auto"/>
        <w:left w:val="none" w:sz="0" w:space="0" w:color="auto"/>
        <w:bottom w:val="none" w:sz="0" w:space="0" w:color="auto"/>
        <w:right w:val="none" w:sz="0" w:space="0" w:color="auto"/>
      </w:divBdr>
    </w:div>
    <w:div w:id="673991178">
      <w:bodyDiv w:val="1"/>
      <w:marLeft w:val="0"/>
      <w:marRight w:val="0"/>
      <w:marTop w:val="0"/>
      <w:marBottom w:val="0"/>
      <w:divBdr>
        <w:top w:val="none" w:sz="0" w:space="0" w:color="auto"/>
        <w:left w:val="none" w:sz="0" w:space="0" w:color="auto"/>
        <w:bottom w:val="none" w:sz="0" w:space="0" w:color="auto"/>
        <w:right w:val="none" w:sz="0" w:space="0" w:color="auto"/>
      </w:divBdr>
    </w:div>
    <w:div w:id="681980722">
      <w:bodyDiv w:val="1"/>
      <w:marLeft w:val="0"/>
      <w:marRight w:val="0"/>
      <w:marTop w:val="0"/>
      <w:marBottom w:val="0"/>
      <w:divBdr>
        <w:top w:val="none" w:sz="0" w:space="0" w:color="auto"/>
        <w:left w:val="none" w:sz="0" w:space="0" w:color="auto"/>
        <w:bottom w:val="none" w:sz="0" w:space="0" w:color="auto"/>
        <w:right w:val="none" w:sz="0" w:space="0" w:color="auto"/>
      </w:divBdr>
    </w:div>
    <w:div w:id="687676125">
      <w:bodyDiv w:val="1"/>
      <w:marLeft w:val="0"/>
      <w:marRight w:val="0"/>
      <w:marTop w:val="0"/>
      <w:marBottom w:val="0"/>
      <w:divBdr>
        <w:top w:val="none" w:sz="0" w:space="0" w:color="auto"/>
        <w:left w:val="none" w:sz="0" w:space="0" w:color="auto"/>
        <w:bottom w:val="none" w:sz="0" w:space="0" w:color="auto"/>
        <w:right w:val="none" w:sz="0" w:space="0" w:color="auto"/>
      </w:divBdr>
    </w:div>
    <w:div w:id="689798721">
      <w:bodyDiv w:val="1"/>
      <w:marLeft w:val="0"/>
      <w:marRight w:val="0"/>
      <w:marTop w:val="0"/>
      <w:marBottom w:val="0"/>
      <w:divBdr>
        <w:top w:val="none" w:sz="0" w:space="0" w:color="auto"/>
        <w:left w:val="none" w:sz="0" w:space="0" w:color="auto"/>
        <w:bottom w:val="none" w:sz="0" w:space="0" w:color="auto"/>
        <w:right w:val="none" w:sz="0" w:space="0" w:color="auto"/>
      </w:divBdr>
    </w:div>
    <w:div w:id="697007508">
      <w:bodyDiv w:val="1"/>
      <w:marLeft w:val="0"/>
      <w:marRight w:val="0"/>
      <w:marTop w:val="0"/>
      <w:marBottom w:val="0"/>
      <w:divBdr>
        <w:top w:val="none" w:sz="0" w:space="0" w:color="auto"/>
        <w:left w:val="none" w:sz="0" w:space="0" w:color="auto"/>
        <w:bottom w:val="none" w:sz="0" w:space="0" w:color="auto"/>
        <w:right w:val="none" w:sz="0" w:space="0" w:color="auto"/>
      </w:divBdr>
      <w:divsChild>
        <w:div w:id="125467070">
          <w:marLeft w:val="0"/>
          <w:marRight w:val="0"/>
          <w:marTop w:val="0"/>
          <w:marBottom w:val="0"/>
          <w:divBdr>
            <w:top w:val="none" w:sz="0" w:space="0" w:color="auto"/>
            <w:left w:val="none" w:sz="0" w:space="0" w:color="auto"/>
            <w:bottom w:val="none" w:sz="0" w:space="0" w:color="auto"/>
            <w:right w:val="none" w:sz="0" w:space="0" w:color="auto"/>
          </w:divBdr>
        </w:div>
        <w:div w:id="138965667">
          <w:marLeft w:val="0"/>
          <w:marRight w:val="0"/>
          <w:marTop w:val="0"/>
          <w:marBottom w:val="0"/>
          <w:divBdr>
            <w:top w:val="none" w:sz="0" w:space="0" w:color="auto"/>
            <w:left w:val="none" w:sz="0" w:space="0" w:color="auto"/>
            <w:bottom w:val="none" w:sz="0" w:space="0" w:color="auto"/>
            <w:right w:val="none" w:sz="0" w:space="0" w:color="auto"/>
          </w:divBdr>
        </w:div>
        <w:div w:id="278996095">
          <w:marLeft w:val="0"/>
          <w:marRight w:val="0"/>
          <w:marTop w:val="0"/>
          <w:marBottom w:val="0"/>
          <w:divBdr>
            <w:top w:val="none" w:sz="0" w:space="0" w:color="auto"/>
            <w:left w:val="none" w:sz="0" w:space="0" w:color="auto"/>
            <w:bottom w:val="none" w:sz="0" w:space="0" w:color="auto"/>
            <w:right w:val="none" w:sz="0" w:space="0" w:color="auto"/>
          </w:divBdr>
        </w:div>
        <w:div w:id="790786113">
          <w:marLeft w:val="0"/>
          <w:marRight w:val="0"/>
          <w:marTop w:val="0"/>
          <w:marBottom w:val="0"/>
          <w:divBdr>
            <w:top w:val="none" w:sz="0" w:space="0" w:color="auto"/>
            <w:left w:val="none" w:sz="0" w:space="0" w:color="auto"/>
            <w:bottom w:val="none" w:sz="0" w:space="0" w:color="auto"/>
            <w:right w:val="none" w:sz="0" w:space="0" w:color="auto"/>
          </w:divBdr>
        </w:div>
        <w:div w:id="1826361082">
          <w:marLeft w:val="0"/>
          <w:marRight w:val="0"/>
          <w:marTop w:val="0"/>
          <w:marBottom w:val="0"/>
          <w:divBdr>
            <w:top w:val="none" w:sz="0" w:space="0" w:color="auto"/>
            <w:left w:val="none" w:sz="0" w:space="0" w:color="auto"/>
            <w:bottom w:val="none" w:sz="0" w:space="0" w:color="auto"/>
            <w:right w:val="none" w:sz="0" w:space="0" w:color="auto"/>
          </w:divBdr>
        </w:div>
      </w:divsChild>
    </w:div>
    <w:div w:id="700085411">
      <w:bodyDiv w:val="1"/>
      <w:marLeft w:val="0"/>
      <w:marRight w:val="0"/>
      <w:marTop w:val="0"/>
      <w:marBottom w:val="0"/>
      <w:divBdr>
        <w:top w:val="none" w:sz="0" w:space="0" w:color="auto"/>
        <w:left w:val="none" w:sz="0" w:space="0" w:color="auto"/>
        <w:bottom w:val="none" w:sz="0" w:space="0" w:color="auto"/>
        <w:right w:val="none" w:sz="0" w:space="0" w:color="auto"/>
      </w:divBdr>
    </w:div>
    <w:div w:id="723065694">
      <w:bodyDiv w:val="1"/>
      <w:marLeft w:val="0"/>
      <w:marRight w:val="0"/>
      <w:marTop w:val="0"/>
      <w:marBottom w:val="0"/>
      <w:divBdr>
        <w:top w:val="none" w:sz="0" w:space="0" w:color="auto"/>
        <w:left w:val="none" w:sz="0" w:space="0" w:color="auto"/>
        <w:bottom w:val="none" w:sz="0" w:space="0" w:color="auto"/>
        <w:right w:val="none" w:sz="0" w:space="0" w:color="auto"/>
      </w:divBdr>
    </w:div>
    <w:div w:id="724063855">
      <w:bodyDiv w:val="1"/>
      <w:marLeft w:val="0"/>
      <w:marRight w:val="0"/>
      <w:marTop w:val="0"/>
      <w:marBottom w:val="0"/>
      <w:divBdr>
        <w:top w:val="none" w:sz="0" w:space="0" w:color="auto"/>
        <w:left w:val="none" w:sz="0" w:space="0" w:color="auto"/>
        <w:bottom w:val="none" w:sz="0" w:space="0" w:color="auto"/>
        <w:right w:val="none" w:sz="0" w:space="0" w:color="auto"/>
      </w:divBdr>
    </w:div>
    <w:div w:id="731588214">
      <w:bodyDiv w:val="1"/>
      <w:marLeft w:val="0"/>
      <w:marRight w:val="0"/>
      <w:marTop w:val="0"/>
      <w:marBottom w:val="0"/>
      <w:divBdr>
        <w:top w:val="none" w:sz="0" w:space="0" w:color="auto"/>
        <w:left w:val="none" w:sz="0" w:space="0" w:color="auto"/>
        <w:bottom w:val="none" w:sz="0" w:space="0" w:color="auto"/>
        <w:right w:val="none" w:sz="0" w:space="0" w:color="auto"/>
      </w:divBdr>
    </w:div>
    <w:div w:id="732897038">
      <w:bodyDiv w:val="1"/>
      <w:marLeft w:val="0"/>
      <w:marRight w:val="0"/>
      <w:marTop w:val="0"/>
      <w:marBottom w:val="0"/>
      <w:divBdr>
        <w:top w:val="none" w:sz="0" w:space="0" w:color="auto"/>
        <w:left w:val="none" w:sz="0" w:space="0" w:color="auto"/>
        <w:bottom w:val="none" w:sz="0" w:space="0" w:color="auto"/>
        <w:right w:val="none" w:sz="0" w:space="0" w:color="auto"/>
      </w:divBdr>
    </w:div>
    <w:div w:id="739135932">
      <w:bodyDiv w:val="1"/>
      <w:marLeft w:val="0"/>
      <w:marRight w:val="0"/>
      <w:marTop w:val="0"/>
      <w:marBottom w:val="0"/>
      <w:divBdr>
        <w:top w:val="none" w:sz="0" w:space="0" w:color="auto"/>
        <w:left w:val="none" w:sz="0" w:space="0" w:color="auto"/>
        <w:bottom w:val="none" w:sz="0" w:space="0" w:color="auto"/>
        <w:right w:val="none" w:sz="0" w:space="0" w:color="auto"/>
      </w:divBdr>
    </w:div>
    <w:div w:id="743722158">
      <w:bodyDiv w:val="1"/>
      <w:marLeft w:val="0"/>
      <w:marRight w:val="0"/>
      <w:marTop w:val="0"/>
      <w:marBottom w:val="0"/>
      <w:divBdr>
        <w:top w:val="none" w:sz="0" w:space="0" w:color="auto"/>
        <w:left w:val="none" w:sz="0" w:space="0" w:color="auto"/>
        <w:bottom w:val="none" w:sz="0" w:space="0" w:color="auto"/>
        <w:right w:val="none" w:sz="0" w:space="0" w:color="auto"/>
      </w:divBdr>
    </w:div>
    <w:div w:id="744840249">
      <w:bodyDiv w:val="1"/>
      <w:marLeft w:val="0"/>
      <w:marRight w:val="0"/>
      <w:marTop w:val="0"/>
      <w:marBottom w:val="0"/>
      <w:divBdr>
        <w:top w:val="none" w:sz="0" w:space="0" w:color="auto"/>
        <w:left w:val="none" w:sz="0" w:space="0" w:color="auto"/>
        <w:bottom w:val="none" w:sz="0" w:space="0" w:color="auto"/>
        <w:right w:val="none" w:sz="0" w:space="0" w:color="auto"/>
      </w:divBdr>
    </w:div>
    <w:div w:id="785539797">
      <w:bodyDiv w:val="1"/>
      <w:marLeft w:val="0"/>
      <w:marRight w:val="0"/>
      <w:marTop w:val="0"/>
      <w:marBottom w:val="0"/>
      <w:divBdr>
        <w:top w:val="none" w:sz="0" w:space="0" w:color="auto"/>
        <w:left w:val="none" w:sz="0" w:space="0" w:color="auto"/>
        <w:bottom w:val="none" w:sz="0" w:space="0" w:color="auto"/>
        <w:right w:val="none" w:sz="0" w:space="0" w:color="auto"/>
      </w:divBdr>
    </w:div>
    <w:div w:id="789739487">
      <w:bodyDiv w:val="1"/>
      <w:marLeft w:val="0"/>
      <w:marRight w:val="0"/>
      <w:marTop w:val="0"/>
      <w:marBottom w:val="0"/>
      <w:divBdr>
        <w:top w:val="none" w:sz="0" w:space="0" w:color="auto"/>
        <w:left w:val="none" w:sz="0" w:space="0" w:color="auto"/>
        <w:bottom w:val="none" w:sz="0" w:space="0" w:color="auto"/>
        <w:right w:val="none" w:sz="0" w:space="0" w:color="auto"/>
      </w:divBdr>
    </w:div>
    <w:div w:id="797265363">
      <w:bodyDiv w:val="1"/>
      <w:marLeft w:val="0"/>
      <w:marRight w:val="0"/>
      <w:marTop w:val="0"/>
      <w:marBottom w:val="0"/>
      <w:divBdr>
        <w:top w:val="none" w:sz="0" w:space="0" w:color="auto"/>
        <w:left w:val="none" w:sz="0" w:space="0" w:color="auto"/>
        <w:bottom w:val="none" w:sz="0" w:space="0" w:color="auto"/>
        <w:right w:val="none" w:sz="0" w:space="0" w:color="auto"/>
      </w:divBdr>
    </w:div>
    <w:div w:id="801927401">
      <w:bodyDiv w:val="1"/>
      <w:marLeft w:val="0"/>
      <w:marRight w:val="0"/>
      <w:marTop w:val="0"/>
      <w:marBottom w:val="0"/>
      <w:divBdr>
        <w:top w:val="none" w:sz="0" w:space="0" w:color="auto"/>
        <w:left w:val="none" w:sz="0" w:space="0" w:color="auto"/>
        <w:bottom w:val="none" w:sz="0" w:space="0" w:color="auto"/>
        <w:right w:val="none" w:sz="0" w:space="0" w:color="auto"/>
      </w:divBdr>
    </w:div>
    <w:div w:id="806584150">
      <w:bodyDiv w:val="1"/>
      <w:marLeft w:val="0"/>
      <w:marRight w:val="0"/>
      <w:marTop w:val="0"/>
      <w:marBottom w:val="0"/>
      <w:divBdr>
        <w:top w:val="none" w:sz="0" w:space="0" w:color="auto"/>
        <w:left w:val="none" w:sz="0" w:space="0" w:color="auto"/>
        <w:bottom w:val="none" w:sz="0" w:space="0" w:color="auto"/>
        <w:right w:val="none" w:sz="0" w:space="0" w:color="auto"/>
      </w:divBdr>
    </w:div>
    <w:div w:id="833495612">
      <w:bodyDiv w:val="1"/>
      <w:marLeft w:val="0"/>
      <w:marRight w:val="0"/>
      <w:marTop w:val="0"/>
      <w:marBottom w:val="0"/>
      <w:divBdr>
        <w:top w:val="none" w:sz="0" w:space="0" w:color="auto"/>
        <w:left w:val="none" w:sz="0" w:space="0" w:color="auto"/>
        <w:bottom w:val="none" w:sz="0" w:space="0" w:color="auto"/>
        <w:right w:val="none" w:sz="0" w:space="0" w:color="auto"/>
      </w:divBdr>
    </w:div>
    <w:div w:id="839810758">
      <w:bodyDiv w:val="1"/>
      <w:marLeft w:val="0"/>
      <w:marRight w:val="0"/>
      <w:marTop w:val="0"/>
      <w:marBottom w:val="0"/>
      <w:divBdr>
        <w:top w:val="none" w:sz="0" w:space="0" w:color="auto"/>
        <w:left w:val="none" w:sz="0" w:space="0" w:color="auto"/>
        <w:bottom w:val="none" w:sz="0" w:space="0" w:color="auto"/>
        <w:right w:val="none" w:sz="0" w:space="0" w:color="auto"/>
      </w:divBdr>
    </w:div>
    <w:div w:id="842357720">
      <w:bodyDiv w:val="1"/>
      <w:marLeft w:val="0"/>
      <w:marRight w:val="0"/>
      <w:marTop w:val="0"/>
      <w:marBottom w:val="0"/>
      <w:divBdr>
        <w:top w:val="none" w:sz="0" w:space="0" w:color="auto"/>
        <w:left w:val="none" w:sz="0" w:space="0" w:color="auto"/>
        <w:bottom w:val="none" w:sz="0" w:space="0" w:color="auto"/>
        <w:right w:val="none" w:sz="0" w:space="0" w:color="auto"/>
      </w:divBdr>
    </w:div>
    <w:div w:id="843783878">
      <w:bodyDiv w:val="1"/>
      <w:marLeft w:val="0"/>
      <w:marRight w:val="0"/>
      <w:marTop w:val="0"/>
      <w:marBottom w:val="0"/>
      <w:divBdr>
        <w:top w:val="none" w:sz="0" w:space="0" w:color="auto"/>
        <w:left w:val="none" w:sz="0" w:space="0" w:color="auto"/>
        <w:bottom w:val="none" w:sz="0" w:space="0" w:color="auto"/>
        <w:right w:val="none" w:sz="0" w:space="0" w:color="auto"/>
      </w:divBdr>
    </w:div>
    <w:div w:id="856577975">
      <w:bodyDiv w:val="1"/>
      <w:marLeft w:val="0"/>
      <w:marRight w:val="0"/>
      <w:marTop w:val="0"/>
      <w:marBottom w:val="0"/>
      <w:divBdr>
        <w:top w:val="none" w:sz="0" w:space="0" w:color="auto"/>
        <w:left w:val="none" w:sz="0" w:space="0" w:color="auto"/>
        <w:bottom w:val="none" w:sz="0" w:space="0" w:color="auto"/>
        <w:right w:val="none" w:sz="0" w:space="0" w:color="auto"/>
      </w:divBdr>
    </w:div>
    <w:div w:id="860775925">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862549984">
      <w:bodyDiv w:val="1"/>
      <w:marLeft w:val="0"/>
      <w:marRight w:val="0"/>
      <w:marTop w:val="0"/>
      <w:marBottom w:val="0"/>
      <w:divBdr>
        <w:top w:val="none" w:sz="0" w:space="0" w:color="auto"/>
        <w:left w:val="none" w:sz="0" w:space="0" w:color="auto"/>
        <w:bottom w:val="none" w:sz="0" w:space="0" w:color="auto"/>
        <w:right w:val="none" w:sz="0" w:space="0" w:color="auto"/>
      </w:divBdr>
    </w:div>
    <w:div w:id="878669027">
      <w:bodyDiv w:val="1"/>
      <w:marLeft w:val="0"/>
      <w:marRight w:val="0"/>
      <w:marTop w:val="0"/>
      <w:marBottom w:val="0"/>
      <w:divBdr>
        <w:top w:val="none" w:sz="0" w:space="0" w:color="auto"/>
        <w:left w:val="none" w:sz="0" w:space="0" w:color="auto"/>
        <w:bottom w:val="none" w:sz="0" w:space="0" w:color="auto"/>
        <w:right w:val="none" w:sz="0" w:space="0" w:color="auto"/>
      </w:divBdr>
    </w:div>
    <w:div w:id="882644052">
      <w:bodyDiv w:val="1"/>
      <w:marLeft w:val="0"/>
      <w:marRight w:val="0"/>
      <w:marTop w:val="0"/>
      <w:marBottom w:val="0"/>
      <w:divBdr>
        <w:top w:val="none" w:sz="0" w:space="0" w:color="auto"/>
        <w:left w:val="none" w:sz="0" w:space="0" w:color="auto"/>
        <w:bottom w:val="none" w:sz="0" w:space="0" w:color="auto"/>
        <w:right w:val="none" w:sz="0" w:space="0" w:color="auto"/>
      </w:divBdr>
    </w:div>
    <w:div w:id="886066678">
      <w:bodyDiv w:val="1"/>
      <w:marLeft w:val="0"/>
      <w:marRight w:val="0"/>
      <w:marTop w:val="0"/>
      <w:marBottom w:val="0"/>
      <w:divBdr>
        <w:top w:val="none" w:sz="0" w:space="0" w:color="auto"/>
        <w:left w:val="none" w:sz="0" w:space="0" w:color="auto"/>
        <w:bottom w:val="none" w:sz="0" w:space="0" w:color="auto"/>
        <w:right w:val="none" w:sz="0" w:space="0" w:color="auto"/>
      </w:divBdr>
    </w:div>
    <w:div w:id="893127318">
      <w:bodyDiv w:val="1"/>
      <w:marLeft w:val="0"/>
      <w:marRight w:val="0"/>
      <w:marTop w:val="0"/>
      <w:marBottom w:val="0"/>
      <w:divBdr>
        <w:top w:val="none" w:sz="0" w:space="0" w:color="auto"/>
        <w:left w:val="none" w:sz="0" w:space="0" w:color="auto"/>
        <w:bottom w:val="none" w:sz="0" w:space="0" w:color="auto"/>
        <w:right w:val="none" w:sz="0" w:space="0" w:color="auto"/>
      </w:divBdr>
    </w:div>
    <w:div w:id="895429042">
      <w:bodyDiv w:val="1"/>
      <w:marLeft w:val="0"/>
      <w:marRight w:val="0"/>
      <w:marTop w:val="0"/>
      <w:marBottom w:val="0"/>
      <w:divBdr>
        <w:top w:val="none" w:sz="0" w:space="0" w:color="auto"/>
        <w:left w:val="none" w:sz="0" w:space="0" w:color="auto"/>
        <w:bottom w:val="none" w:sz="0" w:space="0" w:color="auto"/>
        <w:right w:val="none" w:sz="0" w:space="0" w:color="auto"/>
      </w:divBdr>
    </w:div>
    <w:div w:id="899169960">
      <w:bodyDiv w:val="1"/>
      <w:marLeft w:val="0"/>
      <w:marRight w:val="0"/>
      <w:marTop w:val="0"/>
      <w:marBottom w:val="0"/>
      <w:divBdr>
        <w:top w:val="none" w:sz="0" w:space="0" w:color="auto"/>
        <w:left w:val="none" w:sz="0" w:space="0" w:color="auto"/>
        <w:bottom w:val="none" w:sz="0" w:space="0" w:color="auto"/>
        <w:right w:val="none" w:sz="0" w:space="0" w:color="auto"/>
      </w:divBdr>
    </w:div>
    <w:div w:id="900749581">
      <w:bodyDiv w:val="1"/>
      <w:marLeft w:val="0"/>
      <w:marRight w:val="0"/>
      <w:marTop w:val="0"/>
      <w:marBottom w:val="0"/>
      <w:divBdr>
        <w:top w:val="none" w:sz="0" w:space="0" w:color="auto"/>
        <w:left w:val="none" w:sz="0" w:space="0" w:color="auto"/>
        <w:bottom w:val="none" w:sz="0" w:space="0" w:color="auto"/>
        <w:right w:val="none" w:sz="0" w:space="0" w:color="auto"/>
      </w:divBdr>
    </w:div>
    <w:div w:id="905529942">
      <w:bodyDiv w:val="1"/>
      <w:marLeft w:val="0"/>
      <w:marRight w:val="0"/>
      <w:marTop w:val="0"/>
      <w:marBottom w:val="0"/>
      <w:divBdr>
        <w:top w:val="none" w:sz="0" w:space="0" w:color="auto"/>
        <w:left w:val="none" w:sz="0" w:space="0" w:color="auto"/>
        <w:bottom w:val="none" w:sz="0" w:space="0" w:color="auto"/>
        <w:right w:val="none" w:sz="0" w:space="0" w:color="auto"/>
      </w:divBdr>
    </w:div>
    <w:div w:id="920483328">
      <w:bodyDiv w:val="1"/>
      <w:marLeft w:val="0"/>
      <w:marRight w:val="0"/>
      <w:marTop w:val="0"/>
      <w:marBottom w:val="0"/>
      <w:divBdr>
        <w:top w:val="none" w:sz="0" w:space="0" w:color="auto"/>
        <w:left w:val="none" w:sz="0" w:space="0" w:color="auto"/>
        <w:bottom w:val="none" w:sz="0" w:space="0" w:color="auto"/>
        <w:right w:val="none" w:sz="0" w:space="0" w:color="auto"/>
      </w:divBdr>
    </w:div>
    <w:div w:id="923758532">
      <w:bodyDiv w:val="1"/>
      <w:marLeft w:val="0"/>
      <w:marRight w:val="0"/>
      <w:marTop w:val="0"/>
      <w:marBottom w:val="0"/>
      <w:divBdr>
        <w:top w:val="none" w:sz="0" w:space="0" w:color="auto"/>
        <w:left w:val="none" w:sz="0" w:space="0" w:color="auto"/>
        <w:bottom w:val="none" w:sz="0" w:space="0" w:color="auto"/>
        <w:right w:val="none" w:sz="0" w:space="0" w:color="auto"/>
      </w:divBdr>
    </w:div>
    <w:div w:id="925189366">
      <w:bodyDiv w:val="1"/>
      <w:marLeft w:val="0"/>
      <w:marRight w:val="0"/>
      <w:marTop w:val="0"/>
      <w:marBottom w:val="0"/>
      <w:divBdr>
        <w:top w:val="none" w:sz="0" w:space="0" w:color="auto"/>
        <w:left w:val="none" w:sz="0" w:space="0" w:color="auto"/>
        <w:bottom w:val="none" w:sz="0" w:space="0" w:color="auto"/>
        <w:right w:val="none" w:sz="0" w:space="0" w:color="auto"/>
      </w:divBdr>
    </w:div>
    <w:div w:id="928585836">
      <w:bodyDiv w:val="1"/>
      <w:marLeft w:val="0"/>
      <w:marRight w:val="0"/>
      <w:marTop w:val="0"/>
      <w:marBottom w:val="0"/>
      <w:divBdr>
        <w:top w:val="none" w:sz="0" w:space="0" w:color="auto"/>
        <w:left w:val="none" w:sz="0" w:space="0" w:color="auto"/>
        <w:bottom w:val="none" w:sz="0" w:space="0" w:color="auto"/>
        <w:right w:val="none" w:sz="0" w:space="0" w:color="auto"/>
      </w:divBdr>
    </w:div>
    <w:div w:id="938679133">
      <w:bodyDiv w:val="1"/>
      <w:marLeft w:val="0"/>
      <w:marRight w:val="0"/>
      <w:marTop w:val="0"/>
      <w:marBottom w:val="0"/>
      <w:divBdr>
        <w:top w:val="none" w:sz="0" w:space="0" w:color="auto"/>
        <w:left w:val="none" w:sz="0" w:space="0" w:color="auto"/>
        <w:bottom w:val="none" w:sz="0" w:space="0" w:color="auto"/>
        <w:right w:val="none" w:sz="0" w:space="0" w:color="auto"/>
      </w:divBdr>
    </w:div>
    <w:div w:id="940408259">
      <w:bodyDiv w:val="1"/>
      <w:marLeft w:val="0"/>
      <w:marRight w:val="0"/>
      <w:marTop w:val="0"/>
      <w:marBottom w:val="0"/>
      <w:divBdr>
        <w:top w:val="none" w:sz="0" w:space="0" w:color="auto"/>
        <w:left w:val="none" w:sz="0" w:space="0" w:color="auto"/>
        <w:bottom w:val="none" w:sz="0" w:space="0" w:color="auto"/>
        <w:right w:val="none" w:sz="0" w:space="0" w:color="auto"/>
      </w:divBdr>
    </w:div>
    <w:div w:id="949432808">
      <w:bodyDiv w:val="1"/>
      <w:marLeft w:val="0"/>
      <w:marRight w:val="0"/>
      <w:marTop w:val="0"/>
      <w:marBottom w:val="0"/>
      <w:divBdr>
        <w:top w:val="none" w:sz="0" w:space="0" w:color="auto"/>
        <w:left w:val="none" w:sz="0" w:space="0" w:color="auto"/>
        <w:bottom w:val="none" w:sz="0" w:space="0" w:color="auto"/>
        <w:right w:val="none" w:sz="0" w:space="0" w:color="auto"/>
      </w:divBdr>
    </w:div>
    <w:div w:id="957370407">
      <w:bodyDiv w:val="1"/>
      <w:marLeft w:val="0"/>
      <w:marRight w:val="0"/>
      <w:marTop w:val="0"/>
      <w:marBottom w:val="0"/>
      <w:divBdr>
        <w:top w:val="none" w:sz="0" w:space="0" w:color="auto"/>
        <w:left w:val="none" w:sz="0" w:space="0" w:color="auto"/>
        <w:bottom w:val="none" w:sz="0" w:space="0" w:color="auto"/>
        <w:right w:val="none" w:sz="0" w:space="0" w:color="auto"/>
      </w:divBdr>
    </w:div>
    <w:div w:id="963660904">
      <w:bodyDiv w:val="1"/>
      <w:marLeft w:val="0"/>
      <w:marRight w:val="0"/>
      <w:marTop w:val="0"/>
      <w:marBottom w:val="0"/>
      <w:divBdr>
        <w:top w:val="none" w:sz="0" w:space="0" w:color="auto"/>
        <w:left w:val="none" w:sz="0" w:space="0" w:color="auto"/>
        <w:bottom w:val="none" w:sz="0" w:space="0" w:color="auto"/>
        <w:right w:val="none" w:sz="0" w:space="0" w:color="auto"/>
      </w:divBdr>
    </w:div>
    <w:div w:id="967857702">
      <w:bodyDiv w:val="1"/>
      <w:marLeft w:val="0"/>
      <w:marRight w:val="0"/>
      <w:marTop w:val="0"/>
      <w:marBottom w:val="0"/>
      <w:divBdr>
        <w:top w:val="none" w:sz="0" w:space="0" w:color="auto"/>
        <w:left w:val="none" w:sz="0" w:space="0" w:color="auto"/>
        <w:bottom w:val="none" w:sz="0" w:space="0" w:color="auto"/>
        <w:right w:val="none" w:sz="0" w:space="0" w:color="auto"/>
      </w:divBdr>
    </w:div>
    <w:div w:id="970743957">
      <w:bodyDiv w:val="1"/>
      <w:marLeft w:val="0"/>
      <w:marRight w:val="0"/>
      <w:marTop w:val="0"/>
      <w:marBottom w:val="0"/>
      <w:divBdr>
        <w:top w:val="none" w:sz="0" w:space="0" w:color="auto"/>
        <w:left w:val="none" w:sz="0" w:space="0" w:color="auto"/>
        <w:bottom w:val="none" w:sz="0" w:space="0" w:color="auto"/>
        <w:right w:val="none" w:sz="0" w:space="0" w:color="auto"/>
      </w:divBdr>
    </w:div>
    <w:div w:id="977805503">
      <w:bodyDiv w:val="1"/>
      <w:marLeft w:val="0"/>
      <w:marRight w:val="0"/>
      <w:marTop w:val="0"/>
      <w:marBottom w:val="0"/>
      <w:divBdr>
        <w:top w:val="none" w:sz="0" w:space="0" w:color="auto"/>
        <w:left w:val="none" w:sz="0" w:space="0" w:color="auto"/>
        <w:bottom w:val="none" w:sz="0" w:space="0" w:color="auto"/>
        <w:right w:val="none" w:sz="0" w:space="0" w:color="auto"/>
      </w:divBdr>
    </w:div>
    <w:div w:id="987635305">
      <w:bodyDiv w:val="1"/>
      <w:marLeft w:val="0"/>
      <w:marRight w:val="0"/>
      <w:marTop w:val="0"/>
      <w:marBottom w:val="0"/>
      <w:divBdr>
        <w:top w:val="none" w:sz="0" w:space="0" w:color="auto"/>
        <w:left w:val="none" w:sz="0" w:space="0" w:color="auto"/>
        <w:bottom w:val="none" w:sz="0" w:space="0" w:color="auto"/>
        <w:right w:val="none" w:sz="0" w:space="0" w:color="auto"/>
      </w:divBdr>
    </w:div>
    <w:div w:id="989138412">
      <w:bodyDiv w:val="1"/>
      <w:marLeft w:val="0"/>
      <w:marRight w:val="0"/>
      <w:marTop w:val="0"/>
      <w:marBottom w:val="0"/>
      <w:divBdr>
        <w:top w:val="none" w:sz="0" w:space="0" w:color="auto"/>
        <w:left w:val="none" w:sz="0" w:space="0" w:color="auto"/>
        <w:bottom w:val="none" w:sz="0" w:space="0" w:color="auto"/>
        <w:right w:val="none" w:sz="0" w:space="0" w:color="auto"/>
      </w:divBdr>
    </w:div>
    <w:div w:id="991517783">
      <w:bodyDiv w:val="1"/>
      <w:marLeft w:val="0"/>
      <w:marRight w:val="0"/>
      <w:marTop w:val="0"/>
      <w:marBottom w:val="0"/>
      <w:divBdr>
        <w:top w:val="none" w:sz="0" w:space="0" w:color="auto"/>
        <w:left w:val="none" w:sz="0" w:space="0" w:color="auto"/>
        <w:bottom w:val="none" w:sz="0" w:space="0" w:color="auto"/>
        <w:right w:val="none" w:sz="0" w:space="0" w:color="auto"/>
      </w:divBdr>
    </w:div>
    <w:div w:id="1012419841">
      <w:bodyDiv w:val="1"/>
      <w:marLeft w:val="0"/>
      <w:marRight w:val="0"/>
      <w:marTop w:val="0"/>
      <w:marBottom w:val="0"/>
      <w:divBdr>
        <w:top w:val="none" w:sz="0" w:space="0" w:color="auto"/>
        <w:left w:val="none" w:sz="0" w:space="0" w:color="auto"/>
        <w:bottom w:val="none" w:sz="0" w:space="0" w:color="auto"/>
        <w:right w:val="none" w:sz="0" w:space="0" w:color="auto"/>
      </w:divBdr>
    </w:div>
    <w:div w:id="1024358174">
      <w:bodyDiv w:val="1"/>
      <w:marLeft w:val="0"/>
      <w:marRight w:val="0"/>
      <w:marTop w:val="0"/>
      <w:marBottom w:val="0"/>
      <w:divBdr>
        <w:top w:val="none" w:sz="0" w:space="0" w:color="auto"/>
        <w:left w:val="none" w:sz="0" w:space="0" w:color="auto"/>
        <w:bottom w:val="none" w:sz="0" w:space="0" w:color="auto"/>
        <w:right w:val="none" w:sz="0" w:space="0" w:color="auto"/>
      </w:divBdr>
    </w:div>
    <w:div w:id="1040858622">
      <w:bodyDiv w:val="1"/>
      <w:marLeft w:val="0"/>
      <w:marRight w:val="0"/>
      <w:marTop w:val="0"/>
      <w:marBottom w:val="0"/>
      <w:divBdr>
        <w:top w:val="none" w:sz="0" w:space="0" w:color="auto"/>
        <w:left w:val="none" w:sz="0" w:space="0" w:color="auto"/>
        <w:bottom w:val="none" w:sz="0" w:space="0" w:color="auto"/>
        <w:right w:val="none" w:sz="0" w:space="0" w:color="auto"/>
      </w:divBdr>
    </w:div>
    <w:div w:id="1041636652">
      <w:bodyDiv w:val="1"/>
      <w:marLeft w:val="0"/>
      <w:marRight w:val="0"/>
      <w:marTop w:val="0"/>
      <w:marBottom w:val="0"/>
      <w:divBdr>
        <w:top w:val="none" w:sz="0" w:space="0" w:color="auto"/>
        <w:left w:val="none" w:sz="0" w:space="0" w:color="auto"/>
        <w:bottom w:val="none" w:sz="0" w:space="0" w:color="auto"/>
        <w:right w:val="none" w:sz="0" w:space="0" w:color="auto"/>
      </w:divBdr>
    </w:div>
    <w:div w:id="1053232257">
      <w:bodyDiv w:val="1"/>
      <w:marLeft w:val="0"/>
      <w:marRight w:val="0"/>
      <w:marTop w:val="0"/>
      <w:marBottom w:val="0"/>
      <w:divBdr>
        <w:top w:val="none" w:sz="0" w:space="0" w:color="auto"/>
        <w:left w:val="none" w:sz="0" w:space="0" w:color="auto"/>
        <w:bottom w:val="none" w:sz="0" w:space="0" w:color="auto"/>
        <w:right w:val="none" w:sz="0" w:space="0" w:color="auto"/>
      </w:divBdr>
    </w:div>
    <w:div w:id="1057820932">
      <w:bodyDiv w:val="1"/>
      <w:marLeft w:val="0"/>
      <w:marRight w:val="0"/>
      <w:marTop w:val="0"/>
      <w:marBottom w:val="0"/>
      <w:divBdr>
        <w:top w:val="none" w:sz="0" w:space="0" w:color="auto"/>
        <w:left w:val="none" w:sz="0" w:space="0" w:color="auto"/>
        <w:bottom w:val="none" w:sz="0" w:space="0" w:color="auto"/>
        <w:right w:val="none" w:sz="0" w:space="0" w:color="auto"/>
      </w:divBdr>
    </w:div>
    <w:div w:id="1068647549">
      <w:bodyDiv w:val="1"/>
      <w:marLeft w:val="0"/>
      <w:marRight w:val="0"/>
      <w:marTop w:val="0"/>
      <w:marBottom w:val="0"/>
      <w:divBdr>
        <w:top w:val="none" w:sz="0" w:space="0" w:color="auto"/>
        <w:left w:val="none" w:sz="0" w:space="0" w:color="auto"/>
        <w:bottom w:val="none" w:sz="0" w:space="0" w:color="auto"/>
        <w:right w:val="none" w:sz="0" w:space="0" w:color="auto"/>
      </w:divBdr>
    </w:div>
    <w:div w:id="1074350023">
      <w:bodyDiv w:val="1"/>
      <w:marLeft w:val="0"/>
      <w:marRight w:val="0"/>
      <w:marTop w:val="0"/>
      <w:marBottom w:val="0"/>
      <w:divBdr>
        <w:top w:val="none" w:sz="0" w:space="0" w:color="auto"/>
        <w:left w:val="none" w:sz="0" w:space="0" w:color="auto"/>
        <w:bottom w:val="none" w:sz="0" w:space="0" w:color="auto"/>
        <w:right w:val="none" w:sz="0" w:space="0" w:color="auto"/>
      </w:divBdr>
    </w:div>
    <w:div w:id="1093623375">
      <w:bodyDiv w:val="1"/>
      <w:marLeft w:val="0"/>
      <w:marRight w:val="0"/>
      <w:marTop w:val="0"/>
      <w:marBottom w:val="0"/>
      <w:divBdr>
        <w:top w:val="none" w:sz="0" w:space="0" w:color="auto"/>
        <w:left w:val="none" w:sz="0" w:space="0" w:color="auto"/>
        <w:bottom w:val="none" w:sz="0" w:space="0" w:color="auto"/>
        <w:right w:val="none" w:sz="0" w:space="0" w:color="auto"/>
      </w:divBdr>
    </w:div>
    <w:div w:id="1093861994">
      <w:bodyDiv w:val="1"/>
      <w:marLeft w:val="0"/>
      <w:marRight w:val="0"/>
      <w:marTop w:val="0"/>
      <w:marBottom w:val="0"/>
      <w:divBdr>
        <w:top w:val="none" w:sz="0" w:space="0" w:color="auto"/>
        <w:left w:val="none" w:sz="0" w:space="0" w:color="auto"/>
        <w:bottom w:val="none" w:sz="0" w:space="0" w:color="auto"/>
        <w:right w:val="none" w:sz="0" w:space="0" w:color="auto"/>
      </w:divBdr>
    </w:div>
    <w:div w:id="1098676614">
      <w:bodyDiv w:val="1"/>
      <w:marLeft w:val="0"/>
      <w:marRight w:val="0"/>
      <w:marTop w:val="0"/>
      <w:marBottom w:val="0"/>
      <w:divBdr>
        <w:top w:val="none" w:sz="0" w:space="0" w:color="auto"/>
        <w:left w:val="none" w:sz="0" w:space="0" w:color="auto"/>
        <w:bottom w:val="none" w:sz="0" w:space="0" w:color="auto"/>
        <w:right w:val="none" w:sz="0" w:space="0" w:color="auto"/>
      </w:divBdr>
      <w:divsChild>
        <w:div w:id="1907302154">
          <w:marLeft w:val="0"/>
          <w:marRight w:val="0"/>
          <w:marTop w:val="0"/>
          <w:marBottom w:val="0"/>
          <w:divBdr>
            <w:top w:val="none" w:sz="0" w:space="0" w:color="auto"/>
            <w:left w:val="none" w:sz="0" w:space="0" w:color="auto"/>
            <w:bottom w:val="none" w:sz="0" w:space="0" w:color="auto"/>
            <w:right w:val="none" w:sz="0" w:space="0" w:color="auto"/>
          </w:divBdr>
        </w:div>
      </w:divsChild>
    </w:div>
    <w:div w:id="1102725440">
      <w:bodyDiv w:val="1"/>
      <w:marLeft w:val="0"/>
      <w:marRight w:val="0"/>
      <w:marTop w:val="0"/>
      <w:marBottom w:val="0"/>
      <w:divBdr>
        <w:top w:val="none" w:sz="0" w:space="0" w:color="auto"/>
        <w:left w:val="none" w:sz="0" w:space="0" w:color="auto"/>
        <w:bottom w:val="none" w:sz="0" w:space="0" w:color="auto"/>
        <w:right w:val="none" w:sz="0" w:space="0" w:color="auto"/>
      </w:divBdr>
    </w:div>
    <w:div w:id="1104107678">
      <w:bodyDiv w:val="1"/>
      <w:marLeft w:val="0"/>
      <w:marRight w:val="0"/>
      <w:marTop w:val="0"/>
      <w:marBottom w:val="0"/>
      <w:divBdr>
        <w:top w:val="none" w:sz="0" w:space="0" w:color="auto"/>
        <w:left w:val="none" w:sz="0" w:space="0" w:color="auto"/>
        <w:bottom w:val="none" w:sz="0" w:space="0" w:color="auto"/>
        <w:right w:val="none" w:sz="0" w:space="0" w:color="auto"/>
      </w:divBdr>
    </w:div>
    <w:div w:id="1109088198">
      <w:bodyDiv w:val="1"/>
      <w:marLeft w:val="0"/>
      <w:marRight w:val="0"/>
      <w:marTop w:val="0"/>
      <w:marBottom w:val="0"/>
      <w:divBdr>
        <w:top w:val="none" w:sz="0" w:space="0" w:color="auto"/>
        <w:left w:val="none" w:sz="0" w:space="0" w:color="auto"/>
        <w:bottom w:val="none" w:sz="0" w:space="0" w:color="auto"/>
        <w:right w:val="none" w:sz="0" w:space="0" w:color="auto"/>
      </w:divBdr>
    </w:div>
    <w:div w:id="1139493700">
      <w:bodyDiv w:val="1"/>
      <w:marLeft w:val="0"/>
      <w:marRight w:val="0"/>
      <w:marTop w:val="0"/>
      <w:marBottom w:val="0"/>
      <w:divBdr>
        <w:top w:val="none" w:sz="0" w:space="0" w:color="auto"/>
        <w:left w:val="none" w:sz="0" w:space="0" w:color="auto"/>
        <w:bottom w:val="none" w:sz="0" w:space="0" w:color="auto"/>
        <w:right w:val="none" w:sz="0" w:space="0" w:color="auto"/>
      </w:divBdr>
    </w:div>
    <w:div w:id="1143037506">
      <w:bodyDiv w:val="1"/>
      <w:marLeft w:val="0"/>
      <w:marRight w:val="0"/>
      <w:marTop w:val="0"/>
      <w:marBottom w:val="0"/>
      <w:divBdr>
        <w:top w:val="none" w:sz="0" w:space="0" w:color="auto"/>
        <w:left w:val="none" w:sz="0" w:space="0" w:color="auto"/>
        <w:bottom w:val="none" w:sz="0" w:space="0" w:color="auto"/>
        <w:right w:val="none" w:sz="0" w:space="0" w:color="auto"/>
      </w:divBdr>
    </w:div>
    <w:div w:id="1147940704">
      <w:bodyDiv w:val="1"/>
      <w:marLeft w:val="0"/>
      <w:marRight w:val="0"/>
      <w:marTop w:val="0"/>
      <w:marBottom w:val="0"/>
      <w:divBdr>
        <w:top w:val="none" w:sz="0" w:space="0" w:color="auto"/>
        <w:left w:val="none" w:sz="0" w:space="0" w:color="auto"/>
        <w:bottom w:val="none" w:sz="0" w:space="0" w:color="auto"/>
        <w:right w:val="none" w:sz="0" w:space="0" w:color="auto"/>
      </w:divBdr>
    </w:div>
    <w:div w:id="1152983071">
      <w:bodyDiv w:val="1"/>
      <w:marLeft w:val="0"/>
      <w:marRight w:val="0"/>
      <w:marTop w:val="0"/>
      <w:marBottom w:val="0"/>
      <w:divBdr>
        <w:top w:val="none" w:sz="0" w:space="0" w:color="auto"/>
        <w:left w:val="none" w:sz="0" w:space="0" w:color="auto"/>
        <w:bottom w:val="none" w:sz="0" w:space="0" w:color="auto"/>
        <w:right w:val="none" w:sz="0" w:space="0" w:color="auto"/>
      </w:divBdr>
    </w:div>
    <w:div w:id="1173374170">
      <w:bodyDiv w:val="1"/>
      <w:marLeft w:val="0"/>
      <w:marRight w:val="0"/>
      <w:marTop w:val="0"/>
      <w:marBottom w:val="0"/>
      <w:divBdr>
        <w:top w:val="none" w:sz="0" w:space="0" w:color="auto"/>
        <w:left w:val="none" w:sz="0" w:space="0" w:color="auto"/>
        <w:bottom w:val="none" w:sz="0" w:space="0" w:color="auto"/>
        <w:right w:val="none" w:sz="0" w:space="0" w:color="auto"/>
      </w:divBdr>
    </w:div>
    <w:div w:id="1181430385">
      <w:bodyDiv w:val="1"/>
      <w:marLeft w:val="0"/>
      <w:marRight w:val="0"/>
      <w:marTop w:val="0"/>
      <w:marBottom w:val="0"/>
      <w:divBdr>
        <w:top w:val="none" w:sz="0" w:space="0" w:color="auto"/>
        <w:left w:val="none" w:sz="0" w:space="0" w:color="auto"/>
        <w:bottom w:val="none" w:sz="0" w:space="0" w:color="auto"/>
        <w:right w:val="none" w:sz="0" w:space="0" w:color="auto"/>
      </w:divBdr>
    </w:div>
    <w:div w:id="1201668329">
      <w:bodyDiv w:val="1"/>
      <w:marLeft w:val="0"/>
      <w:marRight w:val="0"/>
      <w:marTop w:val="0"/>
      <w:marBottom w:val="0"/>
      <w:divBdr>
        <w:top w:val="none" w:sz="0" w:space="0" w:color="auto"/>
        <w:left w:val="none" w:sz="0" w:space="0" w:color="auto"/>
        <w:bottom w:val="none" w:sz="0" w:space="0" w:color="auto"/>
        <w:right w:val="none" w:sz="0" w:space="0" w:color="auto"/>
      </w:divBdr>
    </w:div>
    <w:div w:id="1203785233">
      <w:bodyDiv w:val="1"/>
      <w:marLeft w:val="0"/>
      <w:marRight w:val="0"/>
      <w:marTop w:val="0"/>
      <w:marBottom w:val="0"/>
      <w:divBdr>
        <w:top w:val="none" w:sz="0" w:space="0" w:color="auto"/>
        <w:left w:val="none" w:sz="0" w:space="0" w:color="auto"/>
        <w:bottom w:val="none" w:sz="0" w:space="0" w:color="auto"/>
        <w:right w:val="none" w:sz="0" w:space="0" w:color="auto"/>
      </w:divBdr>
    </w:div>
    <w:div w:id="1224950477">
      <w:bodyDiv w:val="1"/>
      <w:marLeft w:val="0"/>
      <w:marRight w:val="0"/>
      <w:marTop w:val="0"/>
      <w:marBottom w:val="0"/>
      <w:divBdr>
        <w:top w:val="none" w:sz="0" w:space="0" w:color="auto"/>
        <w:left w:val="none" w:sz="0" w:space="0" w:color="auto"/>
        <w:bottom w:val="none" w:sz="0" w:space="0" w:color="auto"/>
        <w:right w:val="none" w:sz="0" w:space="0" w:color="auto"/>
      </w:divBdr>
    </w:div>
    <w:div w:id="1225796638">
      <w:bodyDiv w:val="1"/>
      <w:marLeft w:val="0"/>
      <w:marRight w:val="0"/>
      <w:marTop w:val="0"/>
      <w:marBottom w:val="0"/>
      <w:divBdr>
        <w:top w:val="none" w:sz="0" w:space="0" w:color="auto"/>
        <w:left w:val="none" w:sz="0" w:space="0" w:color="auto"/>
        <w:bottom w:val="none" w:sz="0" w:space="0" w:color="auto"/>
        <w:right w:val="none" w:sz="0" w:space="0" w:color="auto"/>
      </w:divBdr>
    </w:div>
    <w:div w:id="1230531543">
      <w:bodyDiv w:val="1"/>
      <w:marLeft w:val="0"/>
      <w:marRight w:val="0"/>
      <w:marTop w:val="0"/>
      <w:marBottom w:val="0"/>
      <w:divBdr>
        <w:top w:val="none" w:sz="0" w:space="0" w:color="auto"/>
        <w:left w:val="none" w:sz="0" w:space="0" w:color="auto"/>
        <w:bottom w:val="none" w:sz="0" w:space="0" w:color="auto"/>
        <w:right w:val="none" w:sz="0" w:space="0" w:color="auto"/>
      </w:divBdr>
    </w:div>
    <w:div w:id="1231574084">
      <w:bodyDiv w:val="1"/>
      <w:marLeft w:val="0"/>
      <w:marRight w:val="0"/>
      <w:marTop w:val="0"/>
      <w:marBottom w:val="0"/>
      <w:divBdr>
        <w:top w:val="none" w:sz="0" w:space="0" w:color="auto"/>
        <w:left w:val="none" w:sz="0" w:space="0" w:color="auto"/>
        <w:bottom w:val="none" w:sz="0" w:space="0" w:color="auto"/>
        <w:right w:val="none" w:sz="0" w:space="0" w:color="auto"/>
      </w:divBdr>
    </w:div>
    <w:div w:id="1242638688">
      <w:bodyDiv w:val="1"/>
      <w:marLeft w:val="0"/>
      <w:marRight w:val="0"/>
      <w:marTop w:val="0"/>
      <w:marBottom w:val="0"/>
      <w:divBdr>
        <w:top w:val="none" w:sz="0" w:space="0" w:color="auto"/>
        <w:left w:val="none" w:sz="0" w:space="0" w:color="auto"/>
        <w:bottom w:val="none" w:sz="0" w:space="0" w:color="auto"/>
        <w:right w:val="none" w:sz="0" w:space="0" w:color="auto"/>
      </w:divBdr>
    </w:div>
    <w:div w:id="1248660267">
      <w:bodyDiv w:val="1"/>
      <w:marLeft w:val="0"/>
      <w:marRight w:val="0"/>
      <w:marTop w:val="0"/>
      <w:marBottom w:val="0"/>
      <w:divBdr>
        <w:top w:val="none" w:sz="0" w:space="0" w:color="auto"/>
        <w:left w:val="none" w:sz="0" w:space="0" w:color="auto"/>
        <w:bottom w:val="none" w:sz="0" w:space="0" w:color="auto"/>
        <w:right w:val="none" w:sz="0" w:space="0" w:color="auto"/>
      </w:divBdr>
      <w:divsChild>
        <w:div w:id="2015917540">
          <w:marLeft w:val="0"/>
          <w:marRight w:val="0"/>
          <w:marTop w:val="0"/>
          <w:marBottom w:val="0"/>
          <w:divBdr>
            <w:top w:val="none" w:sz="0" w:space="0" w:color="auto"/>
            <w:left w:val="none" w:sz="0" w:space="0" w:color="auto"/>
            <w:bottom w:val="none" w:sz="0" w:space="0" w:color="auto"/>
            <w:right w:val="none" w:sz="0" w:space="0" w:color="auto"/>
          </w:divBdr>
          <w:divsChild>
            <w:div w:id="866454906">
              <w:marLeft w:val="0"/>
              <w:marRight w:val="0"/>
              <w:marTop w:val="0"/>
              <w:marBottom w:val="0"/>
              <w:divBdr>
                <w:top w:val="none" w:sz="0" w:space="0" w:color="auto"/>
                <w:left w:val="none" w:sz="0" w:space="0" w:color="auto"/>
                <w:bottom w:val="none" w:sz="0" w:space="0" w:color="auto"/>
                <w:right w:val="none" w:sz="0" w:space="0" w:color="auto"/>
              </w:divBdr>
            </w:div>
            <w:div w:id="1288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0729">
      <w:bodyDiv w:val="1"/>
      <w:marLeft w:val="0"/>
      <w:marRight w:val="0"/>
      <w:marTop w:val="0"/>
      <w:marBottom w:val="0"/>
      <w:divBdr>
        <w:top w:val="none" w:sz="0" w:space="0" w:color="auto"/>
        <w:left w:val="none" w:sz="0" w:space="0" w:color="auto"/>
        <w:bottom w:val="none" w:sz="0" w:space="0" w:color="auto"/>
        <w:right w:val="none" w:sz="0" w:space="0" w:color="auto"/>
      </w:divBdr>
    </w:div>
    <w:div w:id="1258752718">
      <w:bodyDiv w:val="1"/>
      <w:marLeft w:val="0"/>
      <w:marRight w:val="0"/>
      <w:marTop w:val="0"/>
      <w:marBottom w:val="0"/>
      <w:divBdr>
        <w:top w:val="none" w:sz="0" w:space="0" w:color="auto"/>
        <w:left w:val="none" w:sz="0" w:space="0" w:color="auto"/>
        <w:bottom w:val="none" w:sz="0" w:space="0" w:color="auto"/>
        <w:right w:val="none" w:sz="0" w:space="0" w:color="auto"/>
      </w:divBdr>
    </w:div>
    <w:div w:id="1261374883">
      <w:bodyDiv w:val="1"/>
      <w:marLeft w:val="0"/>
      <w:marRight w:val="0"/>
      <w:marTop w:val="0"/>
      <w:marBottom w:val="0"/>
      <w:divBdr>
        <w:top w:val="none" w:sz="0" w:space="0" w:color="auto"/>
        <w:left w:val="none" w:sz="0" w:space="0" w:color="auto"/>
        <w:bottom w:val="none" w:sz="0" w:space="0" w:color="auto"/>
        <w:right w:val="none" w:sz="0" w:space="0" w:color="auto"/>
      </w:divBdr>
    </w:div>
    <w:div w:id="1263682546">
      <w:bodyDiv w:val="1"/>
      <w:marLeft w:val="0"/>
      <w:marRight w:val="0"/>
      <w:marTop w:val="0"/>
      <w:marBottom w:val="0"/>
      <w:divBdr>
        <w:top w:val="none" w:sz="0" w:space="0" w:color="auto"/>
        <w:left w:val="none" w:sz="0" w:space="0" w:color="auto"/>
        <w:bottom w:val="none" w:sz="0" w:space="0" w:color="auto"/>
        <w:right w:val="none" w:sz="0" w:space="0" w:color="auto"/>
      </w:divBdr>
    </w:div>
    <w:div w:id="1280181435">
      <w:bodyDiv w:val="1"/>
      <w:marLeft w:val="0"/>
      <w:marRight w:val="0"/>
      <w:marTop w:val="0"/>
      <w:marBottom w:val="0"/>
      <w:divBdr>
        <w:top w:val="none" w:sz="0" w:space="0" w:color="auto"/>
        <w:left w:val="none" w:sz="0" w:space="0" w:color="auto"/>
        <w:bottom w:val="none" w:sz="0" w:space="0" w:color="auto"/>
        <w:right w:val="none" w:sz="0" w:space="0" w:color="auto"/>
      </w:divBdr>
    </w:div>
    <w:div w:id="1288974030">
      <w:bodyDiv w:val="1"/>
      <w:marLeft w:val="0"/>
      <w:marRight w:val="0"/>
      <w:marTop w:val="0"/>
      <w:marBottom w:val="0"/>
      <w:divBdr>
        <w:top w:val="none" w:sz="0" w:space="0" w:color="auto"/>
        <w:left w:val="none" w:sz="0" w:space="0" w:color="auto"/>
        <w:bottom w:val="none" w:sz="0" w:space="0" w:color="auto"/>
        <w:right w:val="none" w:sz="0" w:space="0" w:color="auto"/>
      </w:divBdr>
    </w:div>
    <w:div w:id="1305693904">
      <w:bodyDiv w:val="1"/>
      <w:marLeft w:val="0"/>
      <w:marRight w:val="0"/>
      <w:marTop w:val="0"/>
      <w:marBottom w:val="0"/>
      <w:divBdr>
        <w:top w:val="none" w:sz="0" w:space="0" w:color="auto"/>
        <w:left w:val="none" w:sz="0" w:space="0" w:color="auto"/>
        <w:bottom w:val="none" w:sz="0" w:space="0" w:color="auto"/>
        <w:right w:val="none" w:sz="0" w:space="0" w:color="auto"/>
      </w:divBdr>
    </w:div>
    <w:div w:id="1305818483">
      <w:bodyDiv w:val="1"/>
      <w:marLeft w:val="0"/>
      <w:marRight w:val="0"/>
      <w:marTop w:val="0"/>
      <w:marBottom w:val="0"/>
      <w:divBdr>
        <w:top w:val="none" w:sz="0" w:space="0" w:color="auto"/>
        <w:left w:val="none" w:sz="0" w:space="0" w:color="auto"/>
        <w:bottom w:val="none" w:sz="0" w:space="0" w:color="auto"/>
        <w:right w:val="none" w:sz="0" w:space="0" w:color="auto"/>
      </w:divBdr>
    </w:div>
    <w:div w:id="1308708515">
      <w:bodyDiv w:val="1"/>
      <w:marLeft w:val="0"/>
      <w:marRight w:val="0"/>
      <w:marTop w:val="0"/>
      <w:marBottom w:val="0"/>
      <w:divBdr>
        <w:top w:val="none" w:sz="0" w:space="0" w:color="auto"/>
        <w:left w:val="none" w:sz="0" w:space="0" w:color="auto"/>
        <w:bottom w:val="none" w:sz="0" w:space="0" w:color="auto"/>
        <w:right w:val="none" w:sz="0" w:space="0" w:color="auto"/>
      </w:divBdr>
    </w:div>
    <w:div w:id="1309819797">
      <w:bodyDiv w:val="1"/>
      <w:marLeft w:val="0"/>
      <w:marRight w:val="0"/>
      <w:marTop w:val="0"/>
      <w:marBottom w:val="0"/>
      <w:divBdr>
        <w:top w:val="none" w:sz="0" w:space="0" w:color="auto"/>
        <w:left w:val="none" w:sz="0" w:space="0" w:color="auto"/>
        <w:bottom w:val="none" w:sz="0" w:space="0" w:color="auto"/>
        <w:right w:val="none" w:sz="0" w:space="0" w:color="auto"/>
      </w:divBdr>
    </w:div>
    <w:div w:id="1310553467">
      <w:bodyDiv w:val="1"/>
      <w:marLeft w:val="0"/>
      <w:marRight w:val="0"/>
      <w:marTop w:val="0"/>
      <w:marBottom w:val="0"/>
      <w:divBdr>
        <w:top w:val="none" w:sz="0" w:space="0" w:color="auto"/>
        <w:left w:val="none" w:sz="0" w:space="0" w:color="auto"/>
        <w:bottom w:val="none" w:sz="0" w:space="0" w:color="auto"/>
        <w:right w:val="none" w:sz="0" w:space="0" w:color="auto"/>
      </w:divBdr>
    </w:div>
    <w:div w:id="1311902372">
      <w:bodyDiv w:val="1"/>
      <w:marLeft w:val="0"/>
      <w:marRight w:val="0"/>
      <w:marTop w:val="0"/>
      <w:marBottom w:val="0"/>
      <w:divBdr>
        <w:top w:val="none" w:sz="0" w:space="0" w:color="auto"/>
        <w:left w:val="none" w:sz="0" w:space="0" w:color="auto"/>
        <w:bottom w:val="none" w:sz="0" w:space="0" w:color="auto"/>
        <w:right w:val="none" w:sz="0" w:space="0" w:color="auto"/>
      </w:divBdr>
    </w:div>
    <w:div w:id="1326977585">
      <w:bodyDiv w:val="1"/>
      <w:marLeft w:val="0"/>
      <w:marRight w:val="0"/>
      <w:marTop w:val="0"/>
      <w:marBottom w:val="0"/>
      <w:divBdr>
        <w:top w:val="none" w:sz="0" w:space="0" w:color="auto"/>
        <w:left w:val="none" w:sz="0" w:space="0" w:color="auto"/>
        <w:bottom w:val="none" w:sz="0" w:space="0" w:color="auto"/>
        <w:right w:val="none" w:sz="0" w:space="0" w:color="auto"/>
      </w:divBdr>
    </w:div>
    <w:div w:id="1340153450">
      <w:bodyDiv w:val="1"/>
      <w:marLeft w:val="0"/>
      <w:marRight w:val="0"/>
      <w:marTop w:val="0"/>
      <w:marBottom w:val="0"/>
      <w:divBdr>
        <w:top w:val="none" w:sz="0" w:space="0" w:color="auto"/>
        <w:left w:val="none" w:sz="0" w:space="0" w:color="auto"/>
        <w:bottom w:val="none" w:sz="0" w:space="0" w:color="auto"/>
        <w:right w:val="none" w:sz="0" w:space="0" w:color="auto"/>
      </w:divBdr>
    </w:div>
    <w:div w:id="1344208995">
      <w:bodyDiv w:val="1"/>
      <w:marLeft w:val="0"/>
      <w:marRight w:val="0"/>
      <w:marTop w:val="0"/>
      <w:marBottom w:val="0"/>
      <w:divBdr>
        <w:top w:val="none" w:sz="0" w:space="0" w:color="auto"/>
        <w:left w:val="none" w:sz="0" w:space="0" w:color="auto"/>
        <w:bottom w:val="none" w:sz="0" w:space="0" w:color="auto"/>
        <w:right w:val="none" w:sz="0" w:space="0" w:color="auto"/>
      </w:divBdr>
    </w:div>
    <w:div w:id="1349987638">
      <w:bodyDiv w:val="1"/>
      <w:marLeft w:val="0"/>
      <w:marRight w:val="0"/>
      <w:marTop w:val="0"/>
      <w:marBottom w:val="0"/>
      <w:divBdr>
        <w:top w:val="none" w:sz="0" w:space="0" w:color="auto"/>
        <w:left w:val="none" w:sz="0" w:space="0" w:color="auto"/>
        <w:bottom w:val="none" w:sz="0" w:space="0" w:color="auto"/>
        <w:right w:val="none" w:sz="0" w:space="0" w:color="auto"/>
      </w:divBdr>
    </w:div>
    <w:div w:id="1358040835">
      <w:bodyDiv w:val="1"/>
      <w:marLeft w:val="0"/>
      <w:marRight w:val="0"/>
      <w:marTop w:val="0"/>
      <w:marBottom w:val="0"/>
      <w:divBdr>
        <w:top w:val="none" w:sz="0" w:space="0" w:color="auto"/>
        <w:left w:val="none" w:sz="0" w:space="0" w:color="auto"/>
        <w:bottom w:val="none" w:sz="0" w:space="0" w:color="auto"/>
        <w:right w:val="none" w:sz="0" w:space="0" w:color="auto"/>
      </w:divBdr>
    </w:div>
    <w:div w:id="1361786802">
      <w:bodyDiv w:val="1"/>
      <w:marLeft w:val="0"/>
      <w:marRight w:val="0"/>
      <w:marTop w:val="0"/>
      <w:marBottom w:val="0"/>
      <w:divBdr>
        <w:top w:val="none" w:sz="0" w:space="0" w:color="auto"/>
        <w:left w:val="none" w:sz="0" w:space="0" w:color="auto"/>
        <w:bottom w:val="none" w:sz="0" w:space="0" w:color="auto"/>
        <w:right w:val="none" w:sz="0" w:space="0" w:color="auto"/>
      </w:divBdr>
    </w:div>
    <w:div w:id="1362322109">
      <w:bodyDiv w:val="1"/>
      <w:marLeft w:val="0"/>
      <w:marRight w:val="0"/>
      <w:marTop w:val="0"/>
      <w:marBottom w:val="0"/>
      <w:divBdr>
        <w:top w:val="none" w:sz="0" w:space="0" w:color="auto"/>
        <w:left w:val="none" w:sz="0" w:space="0" w:color="auto"/>
        <w:bottom w:val="none" w:sz="0" w:space="0" w:color="auto"/>
        <w:right w:val="none" w:sz="0" w:space="0" w:color="auto"/>
      </w:divBdr>
    </w:div>
    <w:div w:id="1371494676">
      <w:bodyDiv w:val="1"/>
      <w:marLeft w:val="0"/>
      <w:marRight w:val="0"/>
      <w:marTop w:val="0"/>
      <w:marBottom w:val="0"/>
      <w:divBdr>
        <w:top w:val="none" w:sz="0" w:space="0" w:color="auto"/>
        <w:left w:val="none" w:sz="0" w:space="0" w:color="auto"/>
        <w:bottom w:val="none" w:sz="0" w:space="0" w:color="auto"/>
        <w:right w:val="none" w:sz="0" w:space="0" w:color="auto"/>
      </w:divBdr>
    </w:div>
    <w:div w:id="1381788731">
      <w:bodyDiv w:val="1"/>
      <w:marLeft w:val="0"/>
      <w:marRight w:val="0"/>
      <w:marTop w:val="0"/>
      <w:marBottom w:val="0"/>
      <w:divBdr>
        <w:top w:val="none" w:sz="0" w:space="0" w:color="auto"/>
        <w:left w:val="none" w:sz="0" w:space="0" w:color="auto"/>
        <w:bottom w:val="none" w:sz="0" w:space="0" w:color="auto"/>
        <w:right w:val="none" w:sz="0" w:space="0" w:color="auto"/>
      </w:divBdr>
    </w:div>
    <w:div w:id="1383945818">
      <w:bodyDiv w:val="1"/>
      <w:marLeft w:val="0"/>
      <w:marRight w:val="0"/>
      <w:marTop w:val="0"/>
      <w:marBottom w:val="0"/>
      <w:divBdr>
        <w:top w:val="none" w:sz="0" w:space="0" w:color="auto"/>
        <w:left w:val="none" w:sz="0" w:space="0" w:color="auto"/>
        <w:bottom w:val="none" w:sz="0" w:space="0" w:color="auto"/>
        <w:right w:val="none" w:sz="0" w:space="0" w:color="auto"/>
      </w:divBdr>
    </w:div>
    <w:div w:id="1397050301">
      <w:bodyDiv w:val="1"/>
      <w:marLeft w:val="0"/>
      <w:marRight w:val="0"/>
      <w:marTop w:val="0"/>
      <w:marBottom w:val="0"/>
      <w:divBdr>
        <w:top w:val="none" w:sz="0" w:space="0" w:color="auto"/>
        <w:left w:val="none" w:sz="0" w:space="0" w:color="auto"/>
        <w:bottom w:val="none" w:sz="0" w:space="0" w:color="auto"/>
        <w:right w:val="none" w:sz="0" w:space="0" w:color="auto"/>
      </w:divBdr>
    </w:div>
    <w:div w:id="1399672750">
      <w:bodyDiv w:val="1"/>
      <w:marLeft w:val="0"/>
      <w:marRight w:val="0"/>
      <w:marTop w:val="0"/>
      <w:marBottom w:val="0"/>
      <w:divBdr>
        <w:top w:val="none" w:sz="0" w:space="0" w:color="auto"/>
        <w:left w:val="none" w:sz="0" w:space="0" w:color="auto"/>
        <w:bottom w:val="none" w:sz="0" w:space="0" w:color="auto"/>
        <w:right w:val="none" w:sz="0" w:space="0" w:color="auto"/>
      </w:divBdr>
    </w:div>
    <w:div w:id="1403985152">
      <w:bodyDiv w:val="1"/>
      <w:marLeft w:val="0"/>
      <w:marRight w:val="0"/>
      <w:marTop w:val="0"/>
      <w:marBottom w:val="0"/>
      <w:divBdr>
        <w:top w:val="none" w:sz="0" w:space="0" w:color="auto"/>
        <w:left w:val="none" w:sz="0" w:space="0" w:color="auto"/>
        <w:bottom w:val="none" w:sz="0" w:space="0" w:color="auto"/>
        <w:right w:val="none" w:sz="0" w:space="0" w:color="auto"/>
      </w:divBdr>
    </w:div>
    <w:div w:id="1415979707">
      <w:bodyDiv w:val="1"/>
      <w:marLeft w:val="0"/>
      <w:marRight w:val="0"/>
      <w:marTop w:val="0"/>
      <w:marBottom w:val="0"/>
      <w:divBdr>
        <w:top w:val="none" w:sz="0" w:space="0" w:color="auto"/>
        <w:left w:val="none" w:sz="0" w:space="0" w:color="auto"/>
        <w:bottom w:val="none" w:sz="0" w:space="0" w:color="auto"/>
        <w:right w:val="none" w:sz="0" w:space="0" w:color="auto"/>
      </w:divBdr>
    </w:div>
    <w:div w:id="1417745469">
      <w:bodyDiv w:val="1"/>
      <w:marLeft w:val="0"/>
      <w:marRight w:val="0"/>
      <w:marTop w:val="0"/>
      <w:marBottom w:val="0"/>
      <w:divBdr>
        <w:top w:val="none" w:sz="0" w:space="0" w:color="auto"/>
        <w:left w:val="none" w:sz="0" w:space="0" w:color="auto"/>
        <w:bottom w:val="none" w:sz="0" w:space="0" w:color="auto"/>
        <w:right w:val="none" w:sz="0" w:space="0" w:color="auto"/>
      </w:divBdr>
    </w:div>
    <w:div w:id="1418599644">
      <w:bodyDiv w:val="1"/>
      <w:marLeft w:val="0"/>
      <w:marRight w:val="0"/>
      <w:marTop w:val="0"/>
      <w:marBottom w:val="0"/>
      <w:divBdr>
        <w:top w:val="none" w:sz="0" w:space="0" w:color="auto"/>
        <w:left w:val="none" w:sz="0" w:space="0" w:color="auto"/>
        <w:bottom w:val="none" w:sz="0" w:space="0" w:color="auto"/>
        <w:right w:val="none" w:sz="0" w:space="0" w:color="auto"/>
      </w:divBdr>
    </w:div>
    <w:div w:id="1423069319">
      <w:bodyDiv w:val="1"/>
      <w:marLeft w:val="0"/>
      <w:marRight w:val="0"/>
      <w:marTop w:val="0"/>
      <w:marBottom w:val="0"/>
      <w:divBdr>
        <w:top w:val="none" w:sz="0" w:space="0" w:color="auto"/>
        <w:left w:val="none" w:sz="0" w:space="0" w:color="auto"/>
        <w:bottom w:val="none" w:sz="0" w:space="0" w:color="auto"/>
        <w:right w:val="none" w:sz="0" w:space="0" w:color="auto"/>
      </w:divBdr>
    </w:div>
    <w:div w:id="1429429080">
      <w:bodyDiv w:val="1"/>
      <w:marLeft w:val="0"/>
      <w:marRight w:val="0"/>
      <w:marTop w:val="0"/>
      <w:marBottom w:val="0"/>
      <w:divBdr>
        <w:top w:val="none" w:sz="0" w:space="0" w:color="auto"/>
        <w:left w:val="none" w:sz="0" w:space="0" w:color="auto"/>
        <w:bottom w:val="none" w:sz="0" w:space="0" w:color="auto"/>
        <w:right w:val="none" w:sz="0" w:space="0" w:color="auto"/>
      </w:divBdr>
    </w:div>
    <w:div w:id="1430738733">
      <w:bodyDiv w:val="1"/>
      <w:marLeft w:val="0"/>
      <w:marRight w:val="0"/>
      <w:marTop w:val="0"/>
      <w:marBottom w:val="0"/>
      <w:divBdr>
        <w:top w:val="none" w:sz="0" w:space="0" w:color="auto"/>
        <w:left w:val="none" w:sz="0" w:space="0" w:color="auto"/>
        <w:bottom w:val="none" w:sz="0" w:space="0" w:color="auto"/>
        <w:right w:val="none" w:sz="0" w:space="0" w:color="auto"/>
      </w:divBdr>
    </w:div>
    <w:div w:id="1432775404">
      <w:bodyDiv w:val="1"/>
      <w:marLeft w:val="0"/>
      <w:marRight w:val="0"/>
      <w:marTop w:val="0"/>
      <w:marBottom w:val="0"/>
      <w:divBdr>
        <w:top w:val="none" w:sz="0" w:space="0" w:color="auto"/>
        <w:left w:val="none" w:sz="0" w:space="0" w:color="auto"/>
        <w:bottom w:val="none" w:sz="0" w:space="0" w:color="auto"/>
        <w:right w:val="none" w:sz="0" w:space="0" w:color="auto"/>
      </w:divBdr>
    </w:div>
    <w:div w:id="1438719806">
      <w:bodyDiv w:val="1"/>
      <w:marLeft w:val="0"/>
      <w:marRight w:val="0"/>
      <w:marTop w:val="0"/>
      <w:marBottom w:val="0"/>
      <w:divBdr>
        <w:top w:val="none" w:sz="0" w:space="0" w:color="auto"/>
        <w:left w:val="none" w:sz="0" w:space="0" w:color="auto"/>
        <w:bottom w:val="none" w:sz="0" w:space="0" w:color="auto"/>
        <w:right w:val="none" w:sz="0" w:space="0" w:color="auto"/>
      </w:divBdr>
    </w:div>
    <w:div w:id="1444111321">
      <w:bodyDiv w:val="1"/>
      <w:marLeft w:val="0"/>
      <w:marRight w:val="0"/>
      <w:marTop w:val="0"/>
      <w:marBottom w:val="0"/>
      <w:divBdr>
        <w:top w:val="none" w:sz="0" w:space="0" w:color="auto"/>
        <w:left w:val="none" w:sz="0" w:space="0" w:color="auto"/>
        <w:bottom w:val="none" w:sz="0" w:space="0" w:color="auto"/>
        <w:right w:val="none" w:sz="0" w:space="0" w:color="auto"/>
      </w:divBdr>
    </w:div>
    <w:div w:id="1447699035">
      <w:bodyDiv w:val="1"/>
      <w:marLeft w:val="0"/>
      <w:marRight w:val="0"/>
      <w:marTop w:val="0"/>
      <w:marBottom w:val="0"/>
      <w:divBdr>
        <w:top w:val="none" w:sz="0" w:space="0" w:color="auto"/>
        <w:left w:val="none" w:sz="0" w:space="0" w:color="auto"/>
        <w:bottom w:val="none" w:sz="0" w:space="0" w:color="auto"/>
        <w:right w:val="none" w:sz="0" w:space="0" w:color="auto"/>
      </w:divBdr>
    </w:div>
    <w:div w:id="1459493244">
      <w:bodyDiv w:val="1"/>
      <w:marLeft w:val="0"/>
      <w:marRight w:val="0"/>
      <w:marTop w:val="0"/>
      <w:marBottom w:val="0"/>
      <w:divBdr>
        <w:top w:val="none" w:sz="0" w:space="0" w:color="auto"/>
        <w:left w:val="none" w:sz="0" w:space="0" w:color="auto"/>
        <w:bottom w:val="none" w:sz="0" w:space="0" w:color="auto"/>
        <w:right w:val="none" w:sz="0" w:space="0" w:color="auto"/>
      </w:divBdr>
    </w:div>
    <w:div w:id="1464812227">
      <w:bodyDiv w:val="1"/>
      <w:marLeft w:val="0"/>
      <w:marRight w:val="0"/>
      <w:marTop w:val="0"/>
      <w:marBottom w:val="0"/>
      <w:divBdr>
        <w:top w:val="none" w:sz="0" w:space="0" w:color="auto"/>
        <w:left w:val="none" w:sz="0" w:space="0" w:color="auto"/>
        <w:bottom w:val="none" w:sz="0" w:space="0" w:color="auto"/>
        <w:right w:val="none" w:sz="0" w:space="0" w:color="auto"/>
      </w:divBdr>
    </w:div>
    <w:div w:id="1477800472">
      <w:bodyDiv w:val="1"/>
      <w:marLeft w:val="0"/>
      <w:marRight w:val="0"/>
      <w:marTop w:val="0"/>
      <w:marBottom w:val="0"/>
      <w:divBdr>
        <w:top w:val="none" w:sz="0" w:space="0" w:color="auto"/>
        <w:left w:val="none" w:sz="0" w:space="0" w:color="auto"/>
        <w:bottom w:val="none" w:sz="0" w:space="0" w:color="auto"/>
        <w:right w:val="none" w:sz="0" w:space="0" w:color="auto"/>
      </w:divBdr>
    </w:div>
    <w:div w:id="1478719721">
      <w:bodyDiv w:val="1"/>
      <w:marLeft w:val="0"/>
      <w:marRight w:val="0"/>
      <w:marTop w:val="0"/>
      <w:marBottom w:val="0"/>
      <w:divBdr>
        <w:top w:val="none" w:sz="0" w:space="0" w:color="auto"/>
        <w:left w:val="none" w:sz="0" w:space="0" w:color="auto"/>
        <w:bottom w:val="none" w:sz="0" w:space="0" w:color="auto"/>
        <w:right w:val="none" w:sz="0" w:space="0" w:color="auto"/>
      </w:divBdr>
    </w:div>
    <w:div w:id="1500922391">
      <w:bodyDiv w:val="1"/>
      <w:marLeft w:val="0"/>
      <w:marRight w:val="0"/>
      <w:marTop w:val="0"/>
      <w:marBottom w:val="0"/>
      <w:divBdr>
        <w:top w:val="none" w:sz="0" w:space="0" w:color="auto"/>
        <w:left w:val="none" w:sz="0" w:space="0" w:color="auto"/>
        <w:bottom w:val="none" w:sz="0" w:space="0" w:color="auto"/>
        <w:right w:val="none" w:sz="0" w:space="0" w:color="auto"/>
      </w:divBdr>
    </w:div>
    <w:div w:id="1505046066">
      <w:bodyDiv w:val="1"/>
      <w:marLeft w:val="0"/>
      <w:marRight w:val="0"/>
      <w:marTop w:val="0"/>
      <w:marBottom w:val="0"/>
      <w:divBdr>
        <w:top w:val="none" w:sz="0" w:space="0" w:color="auto"/>
        <w:left w:val="none" w:sz="0" w:space="0" w:color="auto"/>
        <w:bottom w:val="none" w:sz="0" w:space="0" w:color="auto"/>
        <w:right w:val="none" w:sz="0" w:space="0" w:color="auto"/>
      </w:divBdr>
    </w:div>
    <w:div w:id="1505970273">
      <w:bodyDiv w:val="1"/>
      <w:marLeft w:val="0"/>
      <w:marRight w:val="0"/>
      <w:marTop w:val="0"/>
      <w:marBottom w:val="0"/>
      <w:divBdr>
        <w:top w:val="none" w:sz="0" w:space="0" w:color="auto"/>
        <w:left w:val="none" w:sz="0" w:space="0" w:color="auto"/>
        <w:bottom w:val="none" w:sz="0" w:space="0" w:color="auto"/>
        <w:right w:val="none" w:sz="0" w:space="0" w:color="auto"/>
      </w:divBdr>
    </w:div>
    <w:div w:id="1510488746">
      <w:bodyDiv w:val="1"/>
      <w:marLeft w:val="0"/>
      <w:marRight w:val="0"/>
      <w:marTop w:val="0"/>
      <w:marBottom w:val="0"/>
      <w:divBdr>
        <w:top w:val="none" w:sz="0" w:space="0" w:color="auto"/>
        <w:left w:val="none" w:sz="0" w:space="0" w:color="auto"/>
        <w:bottom w:val="none" w:sz="0" w:space="0" w:color="auto"/>
        <w:right w:val="none" w:sz="0" w:space="0" w:color="auto"/>
      </w:divBdr>
    </w:div>
    <w:div w:id="1511523951">
      <w:bodyDiv w:val="1"/>
      <w:marLeft w:val="0"/>
      <w:marRight w:val="0"/>
      <w:marTop w:val="0"/>
      <w:marBottom w:val="0"/>
      <w:divBdr>
        <w:top w:val="none" w:sz="0" w:space="0" w:color="auto"/>
        <w:left w:val="none" w:sz="0" w:space="0" w:color="auto"/>
        <w:bottom w:val="none" w:sz="0" w:space="0" w:color="auto"/>
        <w:right w:val="none" w:sz="0" w:space="0" w:color="auto"/>
      </w:divBdr>
    </w:div>
    <w:div w:id="1518731308">
      <w:bodyDiv w:val="1"/>
      <w:marLeft w:val="0"/>
      <w:marRight w:val="0"/>
      <w:marTop w:val="0"/>
      <w:marBottom w:val="0"/>
      <w:divBdr>
        <w:top w:val="none" w:sz="0" w:space="0" w:color="auto"/>
        <w:left w:val="none" w:sz="0" w:space="0" w:color="auto"/>
        <w:bottom w:val="none" w:sz="0" w:space="0" w:color="auto"/>
        <w:right w:val="none" w:sz="0" w:space="0" w:color="auto"/>
      </w:divBdr>
    </w:div>
    <w:div w:id="1528831916">
      <w:bodyDiv w:val="1"/>
      <w:marLeft w:val="0"/>
      <w:marRight w:val="0"/>
      <w:marTop w:val="0"/>
      <w:marBottom w:val="0"/>
      <w:divBdr>
        <w:top w:val="none" w:sz="0" w:space="0" w:color="auto"/>
        <w:left w:val="none" w:sz="0" w:space="0" w:color="auto"/>
        <w:bottom w:val="none" w:sz="0" w:space="0" w:color="auto"/>
        <w:right w:val="none" w:sz="0" w:space="0" w:color="auto"/>
      </w:divBdr>
    </w:div>
    <w:div w:id="1529103848">
      <w:bodyDiv w:val="1"/>
      <w:marLeft w:val="0"/>
      <w:marRight w:val="0"/>
      <w:marTop w:val="0"/>
      <w:marBottom w:val="0"/>
      <w:divBdr>
        <w:top w:val="none" w:sz="0" w:space="0" w:color="auto"/>
        <w:left w:val="none" w:sz="0" w:space="0" w:color="auto"/>
        <w:bottom w:val="none" w:sz="0" w:space="0" w:color="auto"/>
        <w:right w:val="none" w:sz="0" w:space="0" w:color="auto"/>
      </w:divBdr>
    </w:div>
    <w:div w:id="1549028002">
      <w:bodyDiv w:val="1"/>
      <w:marLeft w:val="0"/>
      <w:marRight w:val="0"/>
      <w:marTop w:val="0"/>
      <w:marBottom w:val="0"/>
      <w:divBdr>
        <w:top w:val="none" w:sz="0" w:space="0" w:color="auto"/>
        <w:left w:val="none" w:sz="0" w:space="0" w:color="auto"/>
        <w:bottom w:val="none" w:sz="0" w:space="0" w:color="auto"/>
        <w:right w:val="none" w:sz="0" w:space="0" w:color="auto"/>
      </w:divBdr>
    </w:div>
    <w:div w:id="1563517222">
      <w:bodyDiv w:val="1"/>
      <w:marLeft w:val="0"/>
      <w:marRight w:val="0"/>
      <w:marTop w:val="0"/>
      <w:marBottom w:val="0"/>
      <w:divBdr>
        <w:top w:val="none" w:sz="0" w:space="0" w:color="auto"/>
        <w:left w:val="none" w:sz="0" w:space="0" w:color="auto"/>
        <w:bottom w:val="none" w:sz="0" w:space="0" w:color="auto"/>
        <w:right w:val="none" w:sz="0" w:space="0" w:color="auto"/>
      </w:divBdr>
    </w:div>
    <w:div w:id="1591620417">
      <w:bodyDiv w:val="1"/>
      <w:marLeft w:val="0"/>
      <w:marRight w:val="0"/>
      <w:marTop w:val="0"/>
      <w:marBottom w:val="0"/>
      <w:divBdr>
        <w:top w:val="none" w:sz="0" w:space="0" w:color="auto"/>
        <w:left w:val="none" w:sz="0" w:space="0" w:color="auto"/>
        <w:bottom w:val="none" w:sz="0" w:space="0" w:color="auto"/>
        <w:right w:val="none" w:sz="0" w:space="0" w:color="auto"/>
      </w:divBdr>
    </w:div>
    <w:div w:id="1595164454">
      <w:bodyDiv w:val="1"/>
      <w:marLeft w:val="0"/>
      <w:marRight w:val="0"/>
      <w:marTop w:val="0"/>
      <w:marBottom w:val="0"/>
      <w:divBdr>
        <w:top w:val="none" w:sz="0" w:space="0" w:color="auto"/>
        <w:left w:val="none" w:sz="0" w:space="0" w:color="auto"/>
        <w:bottom w:val="none" w:sz="0" w:space="0" w:color="auto"/>
        <w:right w:val="none" w:sz="0" w:space="0" w:color="auto"/>
      </w:divBdr>
    </w:div>
    <w:div w:id="1600211305">
      <w:bodyDiv w:val="1"/>
      <w:marLeft w:val="0"/>
      <w:marRight w:val="0"/>
      <w:marTop w:val="0"/>
      <w:marBottom w:val="0"/>
      <w:divBdr>
        <w:top w:val="none" w:sz="0" w:space="0" w:color="auto"/>
        <w:left w:val="none" w:sz="0" w:space="0" w:color="auto"/>
        <w:bottom w:val="none" w:sz="0" w:space="0" w:color="auto"/>
        <w:right w:val="none" w:sz="0" w:space="0" w:color="auto"/>
      </w:divBdr>
    </w:div>
    <w:div w:id="1608734047">
      <w:bodyDiv w:val="1"/>
      <w:marLeft w:val="0"/>
      <w:marRight w:val="0"/>
      <w:marTop w:val="0"/>
      <w:marBottom w:val="0"/>
      <w:divBdr>
        <w:top w:val="none" w:sz="0" w:space="0" w:color="auto"/>
        <w:left w:val="none" w:sz="0" w:space="0" w:color="auto"/>
        <w:bottom w:val="none" w:sz="0" w:space="0" w:color="auto"/>
        <w:right w:val="none" w:sz="0" w:space="0" w:color="auto"/>
      </w:divBdr>
    </w:div>
    <w:div w:id="1609240662">
      <w:bodyDiv w:val="1"/>
      <w:marLeft w:val="0"/>
      <w:marRight w:val="0"/>
      <w:marTop w:val="0"/>
      <w:marBottom w:val="0"/>
      <w:divBdr>
        <w:top w:val="none" w:sz="0" w:space="0" w:color="auto"/>
        <w:left w:val="none" w:sz="0" w:space="0" w:color="auto"/>
        <w:bottom w:val="none" w:sz="0" w:space="0" w:color="auto"/>
        <w:right w:val="none" w:sz="0" w:space="0" w:color="auto"/>
      </w:divBdr>
    </w:div>
    <w:div w:id="1619097409">
      <w:bodyDiv w:val="1"/>
      <w:marLeft w:val="0"/>
      <w:marRight w:val="0"/>
      <w:marTop w:val="0"/>
      <w:marBottom w:val="0"/>
      <w:divBdr>
        <w:top w:val="none" w:sz="0" w:space="0" w:color="auto"/>
        <w:left w:val="none" w:sz="0" w:space="0" w:color="auto"/>
        <w:bottom w:val="none" w:sz="0" w:space="0" w:color="auto"/>
        <w:right w:val="none" w:sz="0" w:space="0" w:color="auto"/>
      </w:divBdr>
    </w:div>
    <w:div w:id="1625427359">
      <w:bodyDiv w:val="1"/>
      <w:marLeft w:val="0"/>
      <w:marRight w:val="0"/>
      <w:marTop w:val="0"/>
      <w:marBottom w:val="0"/>
      <w:divBdr>
        <w:top w:val="none" w:sz="0" w:space="0" w:color="auto"/>
        <w:left w:val="none" w:sz="0" w:space="0" w:color="auto"/>
        <w:bottom w:val="none" w:sz="0" w:space="0" w:color="auto"/>
        <w:right w:val="none" w:sz="0" w:space="0" w:color="auto"/>
      </w:divBdr>
    </w:div>
    <w:div w:id="1628125458">
      <w:bodyDiv w:val="1"/>
      <w:marLeft w:val="0"/>
      <w:marRight w:val="0"/>
      <w:marTop w:val="0"/>
      <w:marBottom w:val="0"/>
      <w:divBdr>
        <w:top w:val="none" w:sz="0" w:space="0" w:color="auto"/>
        <w:left w:val="none" w:sz="0" w:space="0" w:color="auto"/>
        <w:bottom w:val="none" w:sz="0" w:space="0" w:color="auto"/>
        <w:right w:val="none" w:sz="0" w:space="0" w:color="auto"/>
      </w:divBdr>
    </w:div>
    <w:div w:id="1637418864">
      <w:bodyDiv w:val="1"/>
      <w:marLeft w:val="0"/>
      <w:marRight w:val="0"/>
      <w:marTop w:val="0"/>
      <w:marBottom w:val="0"/>
      <w:divBdr>
        <w:top w:val="none" w:sz="0" w:space="0" w:color="auto"/>
        <w:left w:val="none" w:sz="0" w:space="0" w:color="auto"/>
        <w:bottom w:val="none" w:sz="0" w:space="0" w:color="auto"/>
        <w:right w:val="none" w:sz="0" w:space="0" w:color="auto"/>
      </w:divBdr>
    </w:div>
    <w:div w:id="1658074497">
      <w:bodyDiv w:val="1"/>
      <w:marLeft w:val="0"/>
      <w:marRight w:val="0"/>
      <w:marTop w:val="0"/>
      <w:marBottom w:val="0"/>
      <w:divBdr>
        <w:top w:val="none" w:sz="0" w:space="0" w:color="auto"/>
        <w:left w:val="none" w:sz="0" w:space="0" w:color="auto"/>
        <w:bottom w:val="none" w:sz="0" w:space="0" w:color="auto"/>
        <w:right w:val="none" w:sz="0" w:space="0" w:color="auto"/>
      </w:divBdr>
    </w:div>
    <w:div w:id="1666468243">
      <w:bodyDiv w:val="1"/>
      <w:marLeft w:val="0"/>
      <w:marRight w:val="0"/>
      <w:marTop w:val="0"/>
      <w:marBottom w:val="0"/>
      <w:divBdr>
        <w:top w:val="none" w:sz="0" w:space="0" w:color="auto"/>
        <w:left w:val="none" w:sz="0" w:space="0" w:color="auto"/>
        <w:bottom w:val="none" w:sz="0" w:space="0" w:color="auto"/>
        <w:right w:val="none" w:sz="0" w:space="0" w:color="auto"/>
      </w:divBdr>
    </w:div>
    <w:div w:id="1668360529">
      <w:bodyDiv w:val="1"/>
      <w:marLeft w:val="0"/>
      <w:marRight w:val="0"/>
      <w:marTop w:val="0"/>
      <w:marBottom w:val="0"/>
      <w:divBdr>
        <w:top w:val="none" w:sz="0" w:space="0" w:color="auto"/>
        <w:left w:val="none" w:sz="0" w:space="0" w:color="auto"/>
        <w:bottom w:val="none" w:sz="0" w:space="0" w:color="auto"/>
        <w:right w:val="none" w:sz="0" w:space="0" w:color="auto"/>
      </w:divBdr>
    </w:div>
    <w:div w:id="1675304791">
      <w:bodyDiv w:val="1"/>
      <w:marLeft w:val="0"/>
      <w:marRight w:val="0"/>
      <w:marTop w:val="0"/>
      <w:marBottom w:val="0"/>
      <w:divBdr>
        <w:top w:val="none" w:sz="0" w:space="0" w:color="auto"/>
        <w:left w:val="none" w:sz="0" w:space="0" w:color="auto"/>
        <w:bottom w:val="none" w:sz="0" w:space="0" w:color="auto"/>
        <w:right w:val="none" w:sz="0" w:space="0" w:color="auto"/>
      </w:divBdr>
    </w:div>
    <w:div w:id="1679233024">
      <w:bodyDiv w:val="1"/>
      <w:marLeft w:val="0"/>
      <w:marRight w:val="0"/>
      <w:marTop w:val="0"/>
      <w:marBottom w:val="0"/>
      <w:divBdr>
        <w:top w:val="none" w:sz="0" w:space="0" w:color="auto"/>
        <w:left w:val="none" w:sz="0" w:space="0" w:color="auto"/>
        <w:bottom w:val="none" w:sz="0" w:space="0" w:color="auto"/>
        <w:right w:val="none" w:sz="0" w:space="0" w:color="auto"/>
      </w:divBdr>
    </w:div>
    <w:div w:id="1688289568">
      <w:bodyDiv w:val="1"/>
      <w:marLeft w:val="0"/>
      <w:marRight w:val="0"/>
      <w:marTop w:val="0"/>
      <w:marBottom w:val="0"/>
      <w:divBdr>
        <w:top w:val="none" w:sz="0" w:space="0" w:color="auto"/>
        <w:left w:val="none" w:sz="0" w:space="0" w:color="auto"/>
        <w:bottom w:val="none" w:sz="0" w:space="0" w:color="auto"/>
        <w:right w:val="none" w:sz="0" w:space="0" w:color="auto"/>
      </w:divBdr>
      <w:divsChild>
        <w:div w:id="615676329">
          <w:marLeft w:val="-90"/>
          <w:marRight w:val="90"/>
          <w:marTop w:val="0"/>
          <w:marBottom w:val="0"/>
          <w:divBdr>
            <w:top w:val="none" w:sz="0" w:space="0" w:color="auto"/>
            <w:left w:val="none" w:sz="0" w:space="0" w:color="auto"/>
            <w:bottom w:val="none" w:sz="0" w:space="0" w:color="auto"/>
            <w:right w:val="none" w:sz="0" w:space="0" w:color="auto"/>
          </w:divBdr>
          <w:divsChild>
            <w:div w:id="1882553290">
              <w:marLeft w:val="-60"/>
              <w:marRight w:val="-60"/>
              <w:marTop w:val="0"/>
              <w:marBottom w:val="0"/>
              <w:divBdr>
                <w:top w:val="none" w:sz="0" w:space="0" w:color="auto"/>
                <w:left w:val="none" w:sz="0" w:space="0" w:color="auto"/>
                <w:bottom w:val="none" w:sz="0" w:space="0" w:color="auto"/>
                <w:right w:val="none" w:sz="0" w:space="0" w:color="auto"/>
              </w:divBdr>
              <w:divsChild>
                <w:div w:id="586959256">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101220695">
          <w:marLeft w:val="0"/>
          <w:marRight w:val="0"/>
          <w:marTop w:val="0"/>
          <w:marBottom w:val="0"/>
          <w:divBdr>
            <w:top w:val="none" w:sz="0" w:space="0" w:color="auto"/>
            <w:left w:val="none" w:sz="0" w:space="0" w:color="auto"/>
            <w:bottom w:val="none" w:sz="0" w:space="0" w:color="auto"/>
            <w:right w:val="none" w:sz="0" w:space="0" w:color="auto"/>
          </w:divBdr>
          <w:divsChild>
            <w:div w:id="560559274">
              <w:marLeft w:val="0"/>
              <w:marRight w:val="0"/>
              <w:marTop w:val="0"/>
              <w:marBottom w:val="0"/>
              <w:divBdr>
                <w:top w:val="none" w:sz="0" w:space="0" w:color="auto"/>
                <w:left w:val="none" w:sz="0" w:space="0" w:color="auto"/>
                <w:bottom w:val="none" w:sz="0" w:space="0" w:color="auto"/>
                <w:right w:val="none" w:sz="0" w:space="0" w:color="auto"/>
              </w:divBdr>
              <w:divsChild>
                <w:div w:id="17799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5801">
      <w:bodyDiv w:val="1"/>
      <w:marLeft w:val="0"/>
      <w:marRight w:val="0"/>
      <w:marTop w:val="0"/>
      <w:marBottom w:val="0"/>
      <w:divBdr>
        <w:top w:val="none" w:sz="0" w:space="0" w:color="auto"/>
        <w:left w:val="none" w:sz="0" w:space="0" w:color="auto"/>
        <w:bottom w:val="none" w:sz="0" w:space="0" w:color="auto"/>
        <w:right w:val="none" w:sz="0" w:space="0" w:color="auto"/>
      </w:divBdr>
    </w:div>
    <w:div w:id="1691294575">
      <w:bodyDiv w:val="1"/>
      <w:marLeft w:val="0"/>
      <w:marRight w:val="0"/>
      <w:marTop w:val="0"/>
      <w:marBottom w:val="0"/>
      <w:divBdr>
        <w:top w:val="none" w:sz="0" w:space="0" w:color="auto"/>
        <w:left w:val="none" w:sz="0" w:space="0" w:color="auto"/>
        <w:bottom w:val="none" w:sz="0" w:space="0" w:color="auto"/>
        <w:right w:val="none" w:sz="0" w:space="0" w:color="auto"/>
      </w:divBdr>
    </w:div>
    <w:div w:id="1694771178">
      <w:bodyDiv w:val="1"/>
      <w:marLeft w:val="0"/>
      <w:marRight w:val="0"/>
      <w:marTop w:val="0"/>
      <w:marBottom w:val="0"/>
      <w:divBdr>
        <w:top w:val="none" w:sz="0" w:space="0" w:color="auto"/>
        <w:left w:val="none" w:sz="0" w:space="0" w:color="auto"/>
        <w:bottom w:val="none" w:sz="0" w:space="0" w:color="auto"/>
        <w:right w:val="none" w:sz="0" w:space="0" w:color="auto"/>
      </w:divBdr>
    </w:div>
    <w:div w:id="1696538389">
      <w:bodyDiv w:val="1"/>
      <w:marLeft w:val="0"/>
      <w:marRight w:val="0"/>
      <w:marTop w:val="0"/>
      <w:marBottom w:val="0"/>
      <w:divBdr>
        <w:top w:val="none" w:sz="0" w:space="0" w:color="auto"/>
        <w:left w:val="none" w:sz="0" w:space="0" w:color="auto"/>
        <w:bottom w:val="none" w:sz="0" w:space="0" w:color="auto"/>
        <w:right w:val="none" w:sz="0" w:space="0" w:color="auto"/>
      </w:divBdr>
      <w:divsChild>
        <w:div w:id="18162854">
          <w:marLeft w:val="0"/>
          <w:marRight w:val="0"/>
          <w:marTop w:val="0"/>
          <w:marBottom w:val="0"/>
          <w:divBdr>
            <w:top w:val="none" w:sz="0" w:space="0" w:color="auto"/>
            <w:left w:val="none" w:sz="0" w:space="0" w:color="auto"/>
            <w:bottom w:val="none" w:sz="0" w:space="0" w:color="auto"/>
            <w:right w:val="none" w:sz="0" w:space="0" w:color="auto"/>
          </w:divBdr>
        </w:div>
        <w:div w:id="91976166">
          <w:marLeft w:val="0"/>
          <w:marRight w:val="0"/>
          <w:marTop w:val="0"/>
          <w:marBottom w:val="0"/>
          <w:divBdr>
            <w:top w:val="none" w:sz="0" w:space="0" w:color="auto"/>
            <w:left w:val="none" w:sz="0" w:space="0" w:color="auto"/>
            <w:bottom w:val="none" w:sz="0" w:space="0" w:color="auto"/>
            <w:right w:val="none" w:sz="0" w:space="0" w:color="auto"/>
          </w:divBdr>
        </w:div>
        <w:div w:id="139424227">
          <w:marLeft w:val="0"/>
          <w:marRight w:val="0"/>
          <w:marTop w:val="0"/>
          <w:marBottom w:val="0"/>
          <w:divBdr>
            <w:top w:val="none" w:sz="0" w:space="0" w:color="auto"/>
            <w:left w:val="none" w:sz="0" w:space="0" w:color="auto"/>
            <w:bottom w:val="none" w:sz="0" w:space="0" w:color="auto"/>
            <w:right w:val="none" w:sz="0" w:space="0" w:color="auto"/>
          </w:divBdr>
        </w:div>
        <w:div w:id="142431855">
          <w:marLeft w:val="0"/>
          <w:marRight w:val="0"/>
          <w:marTop w:val="0"/>
          <w:marBottom w:val="0"/>
          <w:divBdr>
            <w:top w:val="none" w:sz="0" w:space="0" w:color="auto"/>
            <w:left w:val="none" w:sz="0" w:space="0" w:color="auto"/>
            <w:bottom w:val="none" w:sz="0" w:space="0" w:color="auto"/>
            <w:right w:val="none" w:sz="0" w:space="0" w:color="auto"/>
          </w:divBdr>
        </w:div>
        <w:div w:id="166022272">
          <w:marLeft w:val="0"/>
          <w:marRight w:val="0"/>
          <w:marTop w:val="0"/>
          <w:marBottom w:val="0"/>
          <w:divBdr>
            <w:top w:val="none" w:sz="0" w:space="0" w:color="auto"/>
            <w:left w:val="none" w:sz="0" w:space="0" w:color="auto"/>
            <w:bottom w:val="none" w:sz="0" w:space="0" w:color="auto"/>
            <w:right w:val="none" w:sz="0" w:space="0" w:color="auto"/>
          </w:divBdr>
        </w:div>
        <w:div w:id="226959902">
          <w:marLeft w:val="0"/>
          <w:marRight w:val="0"/>
          <w:marTop w:val="0"/>
          <w:marBottom w:val="0"/>
          <w:divBdr>
            <w:top w:val="none" w:sz="0" w:space="0" w:color="auto"/>
            <w:left w:val="none" w:sz="0" w:space="0" w:color="auto"/>
            <w:bottom w:val="none" w:sz="0" w:space="0" w:color="auto"/>
            <w:right w:val="none" w:sz="0" w:space="0" w:color="auto"/>
          </w:divBdr>
        </w:div>
        <w:div w:id="249118123">
          <w:marLeft w:val="0"/>
          <w:marRight w:val="0"/>
          <w:marTop w:val="0"/>
          <w:marBottom w:val="0"/>
          <w:divBdr>
            <w:top w:val="none" w:sz="0" w:space="0" w:color="auto"/>
            <w:left w:val="none" w:sz="0" w:space="0" w:color="auto"/>
            <w:bottom w:val="none" w:sz="0" w:space="0" w:color="auto"/>
            <w:right w:val="none" w:sz="0" w:space="0" w:color="auto"/>
          </w:divBdr>
        </w:div>
        <w:div w:id="251202498">
          <w:marLeft w:val="0"/>
          <w:marRight w:val="0"/>
          <w:marTop w:val="0"/>
          <w:marBottom w:val="0"/>
          <w:divBdr>
            <w:top w:val="none" w:sz="0" w:space="0" w:color="auto"/>
            <w:left w:val="none" w:sz="0" w:space="0" w:color="auto"/>
            <w:bottom w:val="none" w:sz="0" w:space="0" w:color="auto"/>
            <w:right w:val="none" w:sz="0" w:space="0" w:color="auto"/>
          </w:divBdr>
        </w:div>
        <w:div w:id="281035115">
          <w:marLeft w:val="0"/>
          <w:marRight w:val="0"/>
          <w:marTop w:val="0"/>
          <w:marBottom w:val="0"/>
          <w:divBdr>
            <w:top w:val="none" w:sz="0" w:space="0" w:color="auto"/>
            <w:left w:val="none" w:sz="0" w:space="0" w:color="auto"/>
            <w:bottom w:val="none" w:sz="0" w:space="0" w:color="auto"/>
            <w:right w:val="none" w:sz="0" w:space="0" w:color="auto"/>
          </w:divBdr>
        </w:div>
        <w:div w:id="292367976">
          <w:marLeft w:val="0"/>
          <w:marRight w:val="0"/>
          <w:marTop w:val="0"/>
          <w:marBottom w:val="0"/>
          <w:divBdr>
            <w:top w:val="none" w:sz="0" w:space="0" w:color="auto"/>
            <w:left w:val="none" w:sz="0" w:space="0" w:color="auto"/>
            <w:bottom w:val="none" w:sz="0" w:space="0" w:color="auto"/>
            <w:right w:val="none" w:sz="0" w:space="0" w:color="auto"/>
          </w:divBdr>
        </w:div>
        <w:div w:id="311449233">
          <w:marLeft w:val="0"/>
          <w:marRight w:val="0"/>
          <w:marTop w:val="0"/>
          <w:marBottom w:val="0"/>
          <w:divBdr>
            <w:top w:val="none" w:sz="0" w:space="0" w:color="auto"/>
            <w:left w:val="none" w:sz="0" w:space="0" w:color="auto"/>
            <w:bottom w:val="none" w:sz="0" w:space="0" w:color="auto"/>
            <w:right w:val="none" w:sz="0" w:space="0" w:color="auto"/>
          </w:divBdr>
        </w:div>
        <w:div w:id="367681423">
          <w:marLeft w:val="0"/>
          <w:marRight w:val="0"/>
          <w:marTop w:val="0"/>
          <w:marBottom w:val="0"/>
          <w:divBdr>
            <w:top w:val="none" w:sz="0" w:space="0" w:color="auto"/>
            <w:left w:val="none" w:sz="0" w:space="0" w:color="auto"/>
            <w:bottom w:val="none" w:sz="0" w:space="0" w:color="auto"/>
            <w:right w:val="none" w:sz="0" w:space="0" w:color="auto"/>
          </w:divBdr>
        </w:div>
        <w:div w:id="370614347">
          <w:marLeft w:val="0"/>
          <w:marRight w:val="0"/>
          <w:marTop w:val="0"/>
          <w:marBottom w:val="0"/>
          <w:divBdr>
            <w:top w:val="none" w:sz="0" w:space="0" w:color="auto"/>
            <w:left w:val="none" w:sz="0" w:space="0" w:color="auto"/>
            <w:bottom w:val="none" w:sz="0" w:space="0" w:color="auto"/>
            <w:right w:val="none" w:sz="0" w:space="0" w:color="auto"/>
          </w:divBdr>
        </w:div>
        <w:div w:id="372269927">
          <w:marLeft w:val="0"/>
          <w:marRight w:val="0"/>
          <w:marTop w:val="0"/>
          <w:marBottom w:val="0"/>
          <w:divBdr>
            <w:top w:val="none" w:sz="0" w:space="0" w:color="auto"/>
            <w:left w:val="none" w:sz="0" w:space="0" w:color="auto"/>
            <w:bottom w:val="none" w:sz="0" w:space="0" w:color="auto"/>
            <w:right w:val="none" w:sz="0" w:space="0" w:color="auto"/>
          </w:divBdr>
        </w:div>
        <w:div w:id="416942373">
          <w:marLeft w:val="0"/>
          <w:marRight w:val="0"/>
          <w:marTop w:val="0"/>
          <w:marBottom w:val="0"/>
          <w:divBdr>
            <w:top w:val="none" w:sz="0" w:space="0" w:color="auto"/>
            <w:left w:val="none" w:sz="0" w:space="0" w:color="auto"/>
            <w:bottom w:val="none" w:sz="0" w:space="0" w:color="auto"/>
            <w:right w:val="none" w:sz="0" w:space="0" w:color="auto"/>
          </w:divBdr>
        </w:div>
        <w:div w:id="419373097">
          <w:marLeft w:val="0"/>
          <w:marRight w:val="0"/>
          <w:marTop w:val="0"/>
          <w:marBottom w:val="0"/>
          <w:divBdr>
            <w:top w:val="none" w:sz="0" w:space="0" w:color="auto"/>
            <w:left w:val="none" w:sz="0" w:space="0" w:color="auto"/>
            <w:bottom w:val="none" w:sz="0" w:space="0" w:color="auto"/>
            <w:right w:val="none" w:sz="0" w:space="0" w:color="auto"/>
          </w:divBdr>
        </w:div>
        <w:div w:id="422146834">
          <w:marLeft w:val="0"/>
          <w:marRight w:val="0"/>
          <w:marTop w:val="0"/>
          <w:marBottom w:val="0"/>
          <w:divBdr>
            <w:top w:val="none" w:sz="0" w:space="0" w:color="auto"/>
            <w:left w:val="none" w:sz="0" w:space="0" w:color="auto"/>
            <w:bottom w:val="none" w:sz="0" w:space="0" w:color="auto"/>
            <w:right w:val="none" w:sz="0" w:space="0" w:color="auto"/>
          </w:divBdr>
        </w:div>
        <w:div w:id="452476780">
          <w:marLeft w:val="0"/>
          <w:marRight w:val="0"/>
          <w:marTop w:val="0"/>
          <w:marBottom w:val="0"/>
          <w:divBdr>
            <w:top w:val="none" w:sz="0" w:space="0" w:color="auto"/>
            <w:left w:val="none" w:sz="0" w:space="0" w:color="auto"/>
            <w:bottom w:val="none" w:sz="0" w:space="0" w:color="auto"/>
            <w:right w:val="none" w:sz="0" w:space="0" w:color="auto"/>
          </w:divBdr>
        </w:div>
        <w:div w:id="454250968">
          <w:marLeft w:val="0"/>
          <w:marRight w:val="0"/>
          <w:marTop w:val="0"/>
          <w:marBottom w:val="0"/>
          <w:divBdr>
            <w:top w:val="none" w:sz="0" w:space="0" w:color="auto"/>
            <w:left w:val="none" w:sz="0" w:space="0" w:color="auto"/>
            <w:bottom w:val="none" w:sz="0" w:space="0" w:color="auto"/>
            <w:right w:val="none" w:sz="0" w:space="0" w:color="auto"/>
          </w:divBdr>
        </w:div>
        <w:div w:id="454493320">
          <w:marLeft w:val="0"/>
          <w:marRight w:val="0"/>
          <w:marTop w:val="0"/>
          <w:marBottom w:val="0"/>
          <w:divBdr>
            <w:top w:val="none" w:sz="0" w:space="0" w:color="auto"/>
            <w:left w:val="none" w:sz="0" w:space="0" w:color="auto"/>
            <w:bottom w:val="none" w:sz="0" w:space="0" w:color="auto"/>
            <w:right w:val="none" w:sz="0" w:space="0" w:color="auto"/>
          </w:divBdr>
        </w:div>
        <w:div w:id="455298779">
          <w:marLeft w:val="0"/>
          <w:marRight w:val="0"/>
          <w:marTop w:val="0"/>
          <w:marBottom w:val="0"/>
          <w:divBdr>
            <w:top w:val="none" w:sz="0" w:space="0" w:color="auto"/>
            <w:left w:val="none" w:sz="0" w:space="0" w:color="auto"/>
            <w:bottom w:val="none" w:sz="0" w:space="0" w:color="auto"/>
            <w:right w:val="none" w:sz="0" w:space="0" w:color="auto"/>
          </w:divBdr>
        </w:div>
        <w:div w:id="455756881">
          <w:marLeft w:val="0"/>
          <w:marRight w:val="0"/>
          <w:marTop w:val="0"/>
          <w:marBottom w:val="0"/>
          <w:divBdr>
            <w:top w:val="none" w:sz="0" w:space="0" w:color="auto"/>
            <w:left w:val="none" w:sz="0" w:space="0" w:color="auto"/>
            <w:bottom w:val="none" w:sz="0" w:space="0" w:color="auto"/>
            <w:right w:val="none" w:sz="0" w:space="0" w:color="auto"/>
          </w:divBdr>
        </w:div>
        <w:div w:id="480776099">
          <w:marLeft w:val="0"/>
          <w:marRight w:val="0"/>
          <w:marTop w:val="0"/>
          <w:marBottom w:val="0"/>
          <w:divBdr>
            <w:top w:val="none" w:sz="0" w:space="0" w:color="auto"/>
            <w:left w:val="none" w:sz="0" w:space="0" w:color="auto"/>
            <w:bottom w:val="none" w:sz="0" w:space="0" w:color="auto"/>
            <w:right w:val="none" w:sz="0" w:space="0" w:color="auto"/>
          </w:divBdr>
        </w:div>
        <w:div w:id="489249812">
          <w:marLeft w:val="0"/>
          <w:marRight w:val="0"/>
          <w:marTop w:val="0"/>
          <w:marBottom w:val="0"/>
          <w:divBdr>
            <w:top w:val="none" w:sz="0" w:space="0" w:color="auto"/>
            <w:left w:val="none" w:sz="0" w:space="0" w:color="auto"/>
            <w:bottom w:val="none" w:sz="0" w:space="0" w:color="auto"/>
            <w:right w:val="none" w:sz="0" w:space="0" w:color="auto"/>
          </w:divBdr>
        </w:div>
        <w:div w:id="510409371">
          <w:marLeft w:val="0"/>
          <w:marRight w:val="0"/>
          <w:marTop w:val="0"/>
          <w:marBottom w:val="0"/>
          <w:divBdr>
            <w:top w:val="none" w:sz="0" w:space="0" w:color="auto"/>
            <w:left w:val="none" w:sz="0" w:space="0" w:color="auto"/>
            <w:bottom w:val="none" w:sz="0" w:space="0" w:color="auto"/>
            <w:right w:val="none" w:sz="0" w:space="0" w:color="auto"/>
          </w:divBdr>
        </w:div>
        <w:div w:id="510949350">
          <w:marLeft w:val="0"/>
          <w:marRight w:val="0"/>
          <w:marTop w:val="0"/>
          <w:marBottom w:val="0"/>
          <w:divBdr>
            <w:top w:val="none" w:sz="0" w:space="0" w:color="auto"/>
            <w:left w:val="none" w:sz="0" w:space="0" w:color="auto"/>
            <w:bottom w:val="none" w:sz="0" w:space="0" w:color="auto"/>
            <w:right w:val="none" w:sz="0" w:space="0" w:color="auto"/>
          </w:divBdr>
        </w:div>
        <w:div w:id="523447244">
          <w:marLeft w:val="0"/>
          <w:marRight w:val="0"/>
          <w:marTop w:val="0"/>
          <w:marBottom w:val="0"/>
          <w:divBdr>
            <w:top w:val="none" w:sz="0" w:space="0" w:color="auto"/>
            <w:left w:val="none" w:sz="0" w:space="0" w:color="auto"/>
            <w:bottom w:val="none" w:sz="0" w:space="0" w:color="auto"/>
            <w:right w:val="none" w:sz="0" w:space="0" w:color="auto"/>
          </w:divBdr>
        </w:div>
        <w:div w:id="566383484">
          <w:marLeft w:val="0"/>
          <w:marRight w:val="0"/>
          <w:marTop w:val="0"/>
          <w:marBottom w:val="0"/>
          <w:divBdr>
            <w:top w:val="none" w:sz="0" w:space="0" w:color="auto"/>
            <w:left w:val="none" w:sz="0" w:space="0" w:color="auto"/>
            <w:bottom w:val="none" w:sz="0" w:space="0" w:color="auto"/>
            <w:right w:val="none" w:sz="0" w:space="0" w:color="auto"/>
          </w:divBdr>
        </w:div>
        <w:div w:id="582490776">
          <w:marLeft w:val="0"/>
          <w:marRight w:val="0"/>
          <w:marTop w:val="0"/>
          <w:marBottom w:val="0"/>
          <w:divBdr>
            <w:top w:val="none" w:sz="0" w:space="0" w:color="auto"/>
            <w:left w:val="none" w:sz="0" w:space="0" w:color="auto"/>
            <w:bottom w:val="none" w:sz="0" w:space="0" w:color="auto"/>
            <w:right w:val="none" w:sz="0" w:space="0" w:color="auto"/>
          </w:divBdr>
        </w:div>
        <w:div w:id="599870704">
          <w:marLeft w:val="0"/>
          <w:marRight w:val="0"/>
          <w:marTop w:val="0"/>
          <w:marBottom w:val="0"/>
          <w:divBdr>
            <w:top w:val="none" w:sz="0" w:space="0" w:color="auto"/>
            <w:left w:val="none" w:sz="0" w:space="0" w:color="auto"/>
            <w:bottom w:val="none" w:sz="0" w:space="0" w:color="auto"/>
            <w:right w:val="none" w:sz="0" w:space="0" w:color="auto"/>
          </w:divBdr>
        </w:div>
        <w:div w:id="662010988">
          <w:marLeft w:val="0"/>
          <w:marRight w:val="0"/>
          <w:marTop w:val="0"/>
          <w:marBottom w:val="0"/>
          <w:divBdr>
            <w:top w:val="none" w:sz="0" w:space="0" w:color="auto"/>
            <w:left w:val="none" w:sz="0" w:space="0" w:color="auto"/>
            <w:bottom w:val="none" w:sz="0" w:space="0" w:color="auto"/>
            <w:right w:val="none" w:sz="0" w:space="0" w:color="auto"/>
          </w:divBdr>
        </w:div>
        <w:div w:id="678965849">
          <w:marLeft w:val="0"/>
          <w:marRight w:val="0"/>
          <w:marTop w:val="0"/>
          <w:marBottom w:val="0"/>
          <w:divBdr>
            <w:top w:val="none" w:sz="0" w:space="0" w:color="auto"/>
            <w:left w:val="none" w:sz="0" w:space="0" w:color="auto"/>
            <w:bottom w:val="none" w:sz="0" w:space="0" w:color="auto"/>
            <w:right w:val="none" w:sz="0" w:space="0" w:color="auto"/>
          </w:divBdr>
        </w:div>
        <w:div w:id="696468712">
          <w:marLeft w:val="0"/>
          <w:marRight w:val="0"/>
          <w:marTop w:val="0"/>
          <w:marBottom w:val="0"/>
          <w:divBdr>
            <w:top w:val="none" w:sz="0" w:space="0" w:color="auto"/>
            <w:left w:val="none" w:sz="0" w:space="0" w:color="auto"/>
            <w:bottom w:val="none" w:sz="0" w:space="0" w:color="auto"/>
            <w:right w:val="none" w:sz="0" w:space="0" w:color="auto"/>
          </w:divBdr>
        </w:div>
        <w:div w:id="756170105">
          <w:marLeft w:val="0"/>
          <w:marRight w:val="0"/>
          <w:marTop w:val="0"/>
          <w:marBottom w:val="0"/>
          <w:divBdr>
            <w:top w:val="none" w:sz="0" w:space="0" w:color="auto"/>
            <w:left w:val="none" w:sz="0" w:space="0" w:color="auto"/>
            <w:bottom w:val="none" w:sz="0" w:space="0" w:color="auto"/>
            <w:right w:val="none" w:sz="0" w:space="0" w:color="auto"/>
          </w:divBdr>
        </w:div>
        <w:div w:id="775179823">
          <w:marLeft w:val="0"/>
          <w:marRight w:val="0"/>
          <w:marTop w:val="0"/>
          <w:marBottom w:val="0"/>
          <w:divBdr>
            <w:top w:val="none" w:sz="0" w:space="0" w:color="auto"/>
            <w:left w:val="none" w:sz="0" w:space="0" w:color="auto"/>
            <w:bottom w:val="none" w:sz="0" w:space="0" w:color="auto"/>
            <w:right w:val="none" w:sz="0" w:space="0" w:color="auto"/>
          </w:divBdr>
        </w:div>
        <w:div w:id="825897060">
          <w:marLeft w:val="0"/>
          <w:marRight w:val="0"/>
          <w:marTop w:val="0"/>
          <w:marBottom w:val="0"/>
          <w:divBdr>
            <w:top w:val="none" w:sz="0" w:space="0" w:color="auto"/>
            <w:left w:val="none" w:sz="0" w:space="0" w:color="auto"/>
            <w:bottom w:val="none" w:sz="0" w:space="0" w:color="auto"/>
            <w:right w:val="none" w:sz="0" w:space="0" w:color="auto"/>
          </w:divBdr>
        </w:div>
        <w:div w:id="868952353">
          <w:marLeft w:val="0"/>
          <w:marRight w:val="0"/>
          <w:marTop w:val="0"/>
          <w:marBottom w:val="0"/>
          <w:divBdr>
            <w:top w:val="none" w:sz="0" w:space="0" w:color="auto"/>
            <w:left w:val="none" w:sz="0" w:space="0" w:color="auto"/>
            <w:bottom w:val="none" w:sz="0" w:space="0" w:color="auto"/>
            <w:right w:val="none" w:sz="0" w:space="0" w:color="auto"/>
          </w:divBdr>
        </w:div>
        <w:div w:id="881132136">
          <w:marLeft w:val="0"/>
          <w:marRight w:val="0"/>
          <w:marTop w:val="0"/>
          <w:marBottom w:val="0"/>
          <w:divBdr>
            <w:top w:val="none" w:sz="0" w:space="0" w:color="auto"/>
            <w:left w:val="none" w:sz="0" w:space="0" w:color="auto"/>
            <w:bottom w:val="none" w:sz="0" w:space="0" w:color="auto"/>
            <w:right w:val="none" w:sz="0" w:space="0" w:color="auto"/>
          </w:divBdr>
        </w:div>
        <w:div w:id="882519602">
          <w:marLeft w:val="0"/>
          <w:marRight w:val="0"/>
          <w:marTop w:val="0"/>
          <w:marBottom w:val="0"/>
          <w:divBdr>
            <w:top w:val="none" w:sz="0" w:space="0" w:color="auto"/>
            <w:left w:val="none" w:sz="0" w:space="0" w:color="auto"/>
            <w:bottom w:val="none" w:sz="0" w:space="0" w:color="auto"/>
            <w:right w:val="none" w:sz="0" w:space="0" w:color="auto"/>
          </w:divBdr>
        </w:div>
        <w:div w:id="883710203">
          <w:marLeft w:val="0"/>
          <w:marRight w:val="0"/>
          <w:marTop w:val="0"/>
          <w:marBottom w:val="0"/>
          <w:divBdr>
            <w:top w:val="none" w:sz="0" w:space="0" w:color="auto"/>
            <w:left w:val="none" w:sz="0" w:space="0" w:color="auto"/>
            <w:bottom w:val="none" w:sz="0" w:space="0" w:color="auto"/>
            <w:right w:val="none" w:sz="0" w:space="0" w:color="auto"/>
          </w:divBdr>
        </w:div>
        <w:div w:id="893852544">
          <w:marLeft w:val="0"/>
          <w:marRight w:val="0"/>
          <w:marTop w:val="0"/>
          <w:marBottom w:val="0"/>
          <w:divBdr>
            <w:top w:val="none" w:sz="0" w:space="0" w:color="auto"/>
            <w:left w:val="none" w:sz="0" w:space="0" w:color="auto"/>
            <w:bottom w:val="none" w:sz="0" w:space="0" w:color="auto"/>
            <w:right w:val="none" w:sz="0" w:space="0" w:color="auto"/>
          </w:divBdr>
        </w:div>
        <w:div w:id="899244245">
          <w:marLeft w:val="0"/>
          <w:marRight w:val="0"/>
          <w:marTop w:val="0"/>
          <w:marBottom w:val="0"/>
          <w:divBdr>
            <w:top w:val="none" w:sz="0" w:space="0" w:color="auto"/>
            <w:left w:val="none" w:sz="0" w:space="0" w:color="auto"/>
            <w:bottom w:val="none" w:sz="0" w:space="0" w:color="auto"/>
            <w:right w:val="none" w:sz="0" w:space="0" w:color="auto"/>
          </w:divBdr>
        </w:div>
        <w:div w:id="918636820">
          <w:marLeft w:val="0"/>
          <w:marRight w:val="0"/>
          <w:marTop w:val="0"/>
          <w:marBottom w:val="0"/>
          <w:divBdr>
            <w:top w:val="none" w:sz="0" w:space="0" w:color="auto"/>
            <w:left w:val="none" w:sz="0" w:space="0" w:color="auto"/>
            <w:bottom w:val="none" w:sz="0" w:space="0" w:color="auto"/>
            <w:right w:val="none" w:sz="0" w:space="0" w:color="auto"/>
          </w:divBdr>
        </w:div>
        <w:div w:id="918907715">
          <w:marLeft w:val="0"/>
          <w:marRight w:val="0"/>
          <w:marTop w:val="0"/>
          <w:marBottom w:val="0"/>
          <w:divBdr>
            <w:top w:val="none" w:sz="0" w:space="0" w:color="auto"/>
            <w:left w:val="none" w:sz="0" w:space="0" w:color="auto"/>
            <w:bottom w:val="none" w:sz="0" w:space="0" w:color="auto"/>
            <w:right w:val="none" w:sz="0" w:space="0" w:color="auto"/>
          </w:divBdr>
        </w:div>
        <w:div w:id="949702773">
          <w:marLeft w:val="0"/>
          <w:marRight w:val="0"/>
          <w:marTop w:val="0"/>
          <w:marBottom w:val="0"/>
          <w:divBdr>
            <w:top w:val="none" w:sz="0" w:space="0" w:color="auto"/>
            <w:left w:val="none" w:sz="0" w:space="0" w:color="auto"/>
            <w:bottom w:val="none" w:sz="0" w:space="0" w:color="auto"/>
            <w:right w:val="none" w:sz="0" w:space="0" w:color="auto"/>
          </w:divBdr>
        </w:div>
        <w:div w:id="955526246">
          <w:marLeft w:val="0"/>
          <w:marRight w:val="0"/>
          <w:marTop w:val="0"/>
          <w:marBottom w:val="0"/>
          <w:divBdr>
            <w:top w:val="none" w:sz="0" w:space="0" w:color="auto"/>
            <w:left w:val="none" w:sz="0" w:space="0" w:color="auto"/>
            <w:bottom w:val="none" w:sz="0" w:space="0" w:color="auto"/>
            <w:right w:val="none" w:sz="0" w:space="0" w:color="auto"/>
          </w:divBdr>
        </w:div>
        <w:div w:id="984314375">
          <w:marLeft w:val="0"/>
          <w:marRight w:val="0"/>
          <w:marTop w:val="0"/>
          <w:marBottom w:val="0"/>
          <w:divBdr>
            <w:top w:val="none" w:sz="0" w:space="0" w:color="auto"/>
            <w:left w:val="none" w:sz="0" w:space="0" w:color="auto"/>
            <w:bottom w:val="none" w:sz="0" w:space="0" w:color="auto"/>
            <w:right w:val="none" w:sz="0" w:space="0" w:color="auto"/>
          </w:divBdr>
        </w:div>
        <w:div w:id="1013068626">
          <w:marLeft w:val="0"/>
          <w:marRight w:val="0"/>
          <w:marTop w:val="0"/>
          <w:marBottom w:val="0"/>
          <w:divBdr>
            <w:top w:val="none" w:sz="0" w:space="0" w:color="auto"/>
            <w:left w:val="none" w:sz="0" w:space="0" w:color="auto"/>
            <w:bottom w:val="none" w:sz="0" w:space="0" w:color="auto"/>
            <w:right w:val="none" w:sz="0" w:space="0" w:color="auto"/>
          </w:divBdr>
        </w:div>
        <w:div w:id="1031960589">
          <w:marLeft w:val="0"/>
          <w:marRight w:val="0"/>
          <w:marTop w:val="0"/>
          <w:marBottom w:val="0"/>
          <w:divBdr>
            <w:top w:val="none" w:sz="0" w:space="0" w:color="auto"/>
            <w:left w:val="none" w:sz="0" w:space="0" w:color="auto"/>
            <w:bottom w:val="none" w:sz="0" w:space="0" w:color="auto"/>
            <w:right w:val="none" w:sz="0" w:space="0" w:color="auto"/>
          </w:divBdr>
        </w:div>
        <w:div w:id="1038821177">
          <w:marLeft w:val="0"/>
          <w:marRight w:val="0"/>
          <w:marTop w:val="0"/>
          <w:marBottom w:val="0"/>
          <w:divBdr>
            <w:top w:val="none" w:sz="0" w:space="0" w:color="auto"/>
            <w:left w:val="none" w:sz="0" w:space="0" w:color="auto"/>
            <w:bottom w:val="none" w:sz="0" w:space="0" w:color="auto"/>
            <w:right w:val="none" w:sz="0" w:space="0" w:color="auto"/>
          </w:divBdr>
        </w:div>
        <w:div w:id="1039822427">
          <w:marLeft w:val="0"/>
          <w:marRight w:val="0"/>
          <w:marTop w:val="0"/>
          <w:marBottom w:val="0"/>
          <w:divBdr>
            <w:top w:val="none" w:sz="0" w:space="0" w:color="auto"/>
            <w:left w:val="none" w:sz="0" w:space="0" w:color="auto"/>
            <w:bottom w:val="none" w:sz="0" w:space="0" w:color="auto"/>
            <w:right w:val="none" w:sz="0" w:space="0" w:color="auto"/>
          </w:divBdr>
        </w:div>
        <w:div w:id="1055397909">
          <w:marLeft w:val="0"/>
          <w:marRight w:val="0"/>
          <w:marTop w:val="0"/>
          <w:marBottom w:val="0"/>
          <w:divBdr>
            <w:top w:val="none" w:sz="0" w:space="0" w:color="auto"/>
            <w:left w:val="none" w:sz="0" w:space="0" w:color="auto"/>
            <w:bottom w:val="none" w:sz="0" w:space="0" w:color="auto"/>
            <w:right w:val="none" w:sz="0" w:space="0" w:color="auto"/>
          </w:divBdr>
        </w:div>
        <w:div w:id="1058477915">
          <w:marLeft w:val="0"/>
          <w:marRight w:val="0"/>
          <w:marTop w:val="0"/>
          <w:marBottom w:val="0"/>
          <w:divBdr>
            <w:top w:val="none" w:sz="0" w:space="0" w:color="auto"/>
            <w:left w:val="none" w:sz="0" w:space="0" w:color="auto"/>
            <w:bottom w:val="none" w:sz="0" w:space="0" w:color="auto"/>
            <w:right w:val="none" w:sz="0" w:space="0" w:color="auto"/>
          </w:divBdr>
        </w:div>
        <w:div w:id="1095908229">
          <w:marLeft w:val="0"/>
          <w:marRight w:val="0"/>
          <w:marTop w:val="0"/>
          <w:marBottom w:val="0"/>
          <w:divBdr>
            <w:top w:val="none" w:sz="0" w:space="0" w:color="auto"/>
            <w:left w:val="none" w:sz="0" w:space="0" w:color="auto"/>
            <w:bottom w:val="none" w:sz="0" w:space="0" w:color="auto"/>
            <w:right w:val="none" w:sz="0" w:space="0" w:color="auto"/>
          </w:divBdr>
        </w:div>
        <w:div w:id="1157916036">
          <w:marLeft w:val="0"/>
          <w:marRight w:val="0"/>
          <w:marTop w:val="0"/>
          <w:marBottom w:val="0"/>
          <w:divBdr>
            <w:top w:val="none" w:sz="0" w:space="0" w:color="auto"/>
            <w:left w:val="none" w:sz="0" w:space="0" w:color="auto"/>
            <w:bottom w:val="none" w:sz="0" w:space="0" w:color="auto"/>
            <w:right w:val="none" w:sz="0" w:space="0" w:color="auto"/>
          </w:divBdr>
        </w:div>
        <w:div w:id="1220358031">
          <w:marLeft w:val="0"/>
          <w:marRight w:val="0"/>
          <w:marTop w:val="0"/>
          <w:marBottom w:val="0"/>
          <w:divBdr>
            <w:top w:val="none" w:sz="0" w:space="0" w:color="auto"/>
            <w:left w:val="none" w:sz="0" w:space="0" w:color="auto"/>
            <w:bottom w:val="none" w:sz="0" w:space="0" w:color="auto"/>
            <w:right w:val="none" w:sz="0" w:space="0" w:color="auto"/>
          </w:divBdr>
        </w:div>
        <w:div w:id="1225144040">
          <w:marLeft w:val="0"/>
          <w:marRight w:val="0"/>
          <w:marTop w:val="0"/>
          <w:marBottom w:val="0"/>
          <w:divBdr>
            <w:top w:val="none" w:sz="0" w:space="0" w:color="auto"/>
            <w:left w:val="none" w:sz="0" w:space="0" w:color="auto"/>
            <w:bottom w:val="none" w:sz="0" w:space="0" w:color="auto"/>
            <w:right w:val="none" w:sz="0" w:space="0" w:color="auto"/>
          </w:divBdr>
        </w:div>
        <w:div w:id="1261528546">
          <w:marLeft w:val="0"/>
          <w:marRight w:val="0"/>
          <w:marTop w:val="0"/>
          <w:marBottom w:val="0"/>
          <w:divBdr>
            <w:top w:val="none" w:sz="0" w:space="0" w:color="auto"/>
            <w:left w:val="none" w:sz="0" w:space="0" w:color="auto"/>
            <w:bottom w:val="none" w:sz="0" w:space="0" w:color="auto"/>
            <w:right w:val="none" w:sz="0" w:space="0" w:color="auto"/>
          </w:divBdr>
        </w:div>
        <w:div w:id="1280142826">
          <w:marLeft w:val="0"/>
          <w:marRight w:val="0"/>
          <w:marTop w:val="0"/>
          <w:marBottom w:val="0"/>
          <w:divBdr>
            <w:top w:val="none" w:sz="0" w:space="0" w:color="auto"/>
            <w:left w:val="none" w:sz="0" w:space="0" w:color="auto"/>
            <w:bottom w:val="none" w:sz="0" w:space="0" w:color="auto"/>
            <w:right w:val="none" w:sz="0" w:space="0" w:color="auto"/>
          </w:divBdr>
        </w:div>
        <w:div w:id="1282879921">
          <w:marLeft w:val="0"/>
          <w:marRight w:val="0"/>
          <w:marTop w:val="0"/>
          <w:marBottom w:val="0"/>
          <w:divBdr>
            <w:top w:val="none" w:sz="0" w:space="0" w:color="auto"/>
            <w:left w:val="none" w:sz="0" w:space="0" w:color="auto"/>
            <w:bottom w:val="none" w:sz="0" w:space="0" w:color="auto"/>
            <w:right w:val="none" w:sz="0" w:space="0" w:color="auto"/>
          </w:divBdr>
        </w:div>
        <w:div w:id="1306933055">
          <w:marLeft w:val="0"/>
          <w:marRight w:val="0"/>
          <w:marTop w:val="0"/>
          <w:marBottom w:val="0"/>
          <w:divBdr>
            <w:top w:val="none" w:sz="0" w:space="0" w:color="auto"/>
            <w:left w:val="none" w:sz="0" w:space="0" w:color="auto"/>
            <w:bottom w:val="none" w:sz="0" w:space="0" w:color="auto"/>
            <w:right w:val="none" w:sz="0" w:space="0" w:color="auto"/>
          </w:divBdr>
        </w:div>
        <w:div w:id="1329407792">
          <w:marLeft w:val="0"/>
          <w:marRight w:val="0"/>
          <w:marTop w:val="0"/>
          <w:marBottom w:val="0"/>
          <w:divBdr>
            <w:top w:val="none" w:sz="0" w:space="0" w:color="auto"/>
            <w:left w:val="none" w:sz="0" w:space="0" w:color="auto"/>
            <w:bottom w:val="none" w:sz="0" w:space="0" w:color="auto"/>
            <w:right w:val="none" w:sz="0" w:space="0" w:color="auto"/>
          </w:divBdr>
        </w:div>
        <w:div w:id="1361199834">
          <w:marLeft w:val="0"/>
          <w:marRight w:val="0"/>
          <w:marTop w:val="0"/>
          <w:marBottom w:val="0"/>
          <w:divBdr>
            <w:top w:val="none" w:sz="0" w:space="0" w:color="auto"/>
            <w:left w:val="none" w:sz="0" w:space="0" w:color="auto"/>
            <w:bottom w:val="none" w:sz="0" w:space="0" w:color="auto"/>
            <w:right w:val="none" w:sz="0" w:space="0" w:color="auto"/>
          </w:divBdr>
        </w:div>
        <w:div w:id="1365442913">
          <w:marLeft w:val="0"/>
          <w:marRight w:val="0"/>
          <w:marTop w:val="0"/>
          <w:marBottom w:val="0"/>
          <w:divBdr>
            <w:top w:val="none" w:sz="0" w:space="0" w:color="auto"/>
            <w:left w:val="none" w:sz="0" w:space="0" w:color="auto"/>
            <w:bottom w:val="none" w:sz="0" w:space="0" w:color="auto"/>
            <w:right w:val="none" w:sz="0" w:space="0" w:color="auto"/>
          </w:divBdr>
        </w:div>
        <w:div w:id="1399011996">
          <w:marLeft w:val="0"/>
          <w:marRight w:val="0"/>
          <w:marTop w:val="0"/>
          <w:marBottom w:val="0"/>
          <w:divBdr>
            <w:top w:val="none" w:sz="0" w:space="0" w:color="auto"/>
            <w:left w:val="none" w:sz="0" w:space="0" w:color="auto"/>
            <w:bottom w:val="none" w:sz="0" w:space="0" w:color="auto"/>
            <w:right w:val="none" w:sz="0" w:space="0" w:color="auto"/>
          </w:divBdr>
        </w:div>
        <w:div w:id="1410930624">
          <w:marLeft w:val="0"/>
          <w:marRight w:val="0"/>
          <w:marTop w:val="0"/>
          <w:marBottom w:val="0"/>
          <w:divBdr>
            <w:top w:val="none" w:sz="0" w:space="0" w:color="auto"/>
            <w:left w:val="none" w:sz="0" w:space="0" w:color="auto"/>
            <w:bottom w:val="none" w:sz="0" w:space="0" w:color="auto"/>
            <w:right w:val="none" w:sz="0" w:space="0" w:color="auto"/>
          </w:divBdr>
        </w:div>
        <w:div w:id="1472334025">
          <w:marLeft w:val="0"/>
          <w:marRight w:val="0"/>
          <w:marTop w:val="0"/>
          <w:marBottom w:val="0"/>
          <w:divBdr>
            <w:top w:val="none" w:sz="0" w:space="0" w:color="auto"/>
            <w:left w:val="none" w:sz="0" w:space="0" w:color="auto"/>
            <w:bottom w:val="none" w:sz="0" w:space="0" w:color="auto"/>
            <w:right w:val="none" w:sz="0" w:space="0" w:color="auto"/>
          </w:divBdr>
        </w:div>
        <w:div w:id="1489204882">
          <w:marLeft w:val="0"/>
          <w:marRight w:val="0"/>
          <w:marTop w:val="0"/>
          <w:marBottom w:val="0"/>
          <w:divBdr>
            <w:top w:val="none" w:sz="0" w:space="0" w:color="auto"/>
            <w:left w:val="none" w:sz="0" w:space="0" w:color="auto"/>
            <w:bottom w:val="none" w:sz="0" w:space="0" w:color="auto"/>
            <w:right w:val="none" w:sz="0" w:space="0" w:color="auto"/>
          </w:divBdr>
        </w:div>
        <w:div w:id="1498692470">
          <w:marLeft w:val="0"/>
          <w:marRight w:val="0"/>
          <w:marTop w:val="0"/>
          <w:marBottom w:val="0"/>
          <w:divBdr>
            <w:top w:val="none" w:sz="0" w:space="0" w:color="auto"/>
            <w:left w:val="none" w:sz="0" w:space="0" w:color="auto"/>
            <w:bottom w:val="none" w:sz="0" w:space="0" w:color="auto"/>
            <w:right w:val="none" w:sz="0" w:space="0" w:color="auto"/>
          </w:divBdr>
        </w:div>
        <w:div w:id="1539122794">
          <w:marLeft w:val="0"/>
          <w:marRight w:val="0"/>
          <w:marTop w:val="0"/>
          <w:marBottom w:val="0"/>
          <w:divBdr>
            <w:top w:val="none" w:sz="0" w:space="0" w:color="auto"/>
            <w:left w:val="none" w:sz="0" w:space="0" w:color="auto"/>
            <w:bottom w:val="none" w:sz="0" w:space="0" w:color="auto"/>
            <w:right w:val="none" w:sz="0" w:space="0" w:color="auto"/>
          </w:divBdr>
        </w:div>
        <w:div w:id="1546795110">
          <w:marLeft w:val="0"/>
          <w:marRight w:val="0"/>
          <w:marTop w:val="0"/>
          <w:marBottom w:val="0"/>
          <w:divBdr>
            <w:top w:val="none" w:sz="0" w:space="0" w:color="auto"/>
            <w:left w:val="none" w:sz="0" w:space="0" w:color="auto"/>
            <w:bottom w:val="none" w:sz="0" w:space="0" w:color="auto"/>
            <w:right w:val="none" w:sz="0" w:space="0" w:color="auto"/>
          </w:divBdr>
        </w:div>
        <w:div w:id="1582443304">
          <w:marLeft w:val="0"/>
          <w:marRight w:val="0"/>
          <w:marTop w:val="0"/>
          <w:marBottom w:val="0"/>
          <w:divBdr>
            <w:top w:val="none" w:sz="0" w:space="0" w:color="auto"/>
            <w:left w:val="none" w:sz="0" w:space="0" w:color="auto"/>
            <w:bottom w:val="none" w:sz="0" w:space="0" w:color="auto"/>
            <w:right w:val="none" w:sz="0" w:space="0" w:color="auto"/>
          </w:divBdr>
        </w:div>
        <w:div w:id="1583179043">
          <w:marLeft w:val="0"/>
          <w:marRight w:val="0"/>
          <w:marTop w:val="0"/>
          <w:marBottom w:val="0"/>
          <w:divBdr>
            <w:top w:val="none" w:sz="0" w:space="0" w:color="auto"/>
            <w:left w:val="none" w:sz="0" w:space="0" w:color="auto"/>
            <w:bottom w:val="none" w:sz="0" w:space="0" w:color="auto"/>
            <w:right w:val="none" w:sz="0" w:space="0" w:color="auto"/>
          </w:divBdr>
        </w:div>
        <w:div w:id="1591504753">
          <w:marLeft w:val="0"/>
          <w:marRight w:val="0"/>
          <w:marTop w:val="0"/>
          <w:marBottom w:val="0"/>
          <w:divBdr>
            <w:top w:val="none" w:sz="0" w:space="0" w:color="auto"/>
            <w:left w:val="none" w:sz="0" w:space="0" w:color="auto"/>
            <w:bottom w:val="none" w:sz="0" w:space="0" w:color="auto"/>
            <w:right w:val="none" w:sz="0" w:space="0" w:color="auto"/>
          </w:divBdr>
        </w:div>
        <w:div w:id="1606767578">
          <w:marLeft w:val="0"/>
          <w:marRight w:val="0"/>
          <w:marTop w:val="0"/>
          <w:marBottom w:val="0"/>
          <w:divBdr>
            <w:top w:val="none" w:sz="0" w:space="0" w:color="auto"/>
            <w:left w:val="none" w:sz="0" w:space="0" w:color="auto"/>
            <w:bottom w:val="none" w:sz="0" w:space="0" w:color="auto"/>
            <w:right w:val="none" w:sz="0" w:space="0" w:color="auto"/>
          </w:divBdr>
        </w:div>
        <w:div w:id="1609389854">
          <w:marLeft w:val="0"/>
          <w:marRight w:val="0"/>
          <w:marTop w:val="0"/>
          <w:marBottom w:val="0"/>
          <w:divBdr>
            <w:top w:val="none" w:sz="0" w:space="0" w:color="auto"/>
            <w:left w:val="none" w:sz="0" w:space="0" w:color="auto"/>
            <w:bottom w:val="none" w:sz="0" w:space="0" w:color="auto"/>
            <w:right w:val="none" w:sz="0" w:space="0" w:color="auto"/>
          </w:divBdr>
        </w:div>
        <w:div w:id="1609845766">
          <w:marLeft w:val="0"/>
          <w:marRight w:val="0"/>
          <w:marTop w:val="0"/>
          <w:marBottom w:val="0"/>
          <w:divBdr>
            <w:top w:val="none" w:sz="0" w:space="0" w:color="auto"/>
            <w:left w:val="none" w:sz="0" w:space="0" w:color="auto"/>
            <w:bottom w:val="none" w:sz="0" w:space="0" w:color="auto"/>
            <w:right w:val="none" w:sz="0" w:space="0" w:color="auto"/>
          </w:divBdr>
        </w:div>
        <w:div w:id="1626885905">
          <w:marLeft w:val="0"/>
          <w:marRight w:val="0"/>
          <w:marTop w:val="0"/>
          <w:marBottom w:val="0"/>
          <w:divBdr>
            <w:top w:val="none" w:sz="0" w:space="0" w:color="auto"/>
            <w:left w:val="none" w:sz="0" w:space="0" w:color="auto"/>
            <w:bottom w:val="none" w:sz="0" w:space="0" w:color="auto"/>
            <w:right w:val="none" w:sz="0" w:space="0" w:color="auto"/>
          </w:divBdr>
        </w:div>
        <w:div w:id="1630083943">
          <w:marLeft w:val="0"/>
          <w:marRight w:val="0"/>
          <w:marTop w:val="0"/>
          <w:marBottom w:val="0"/>
          <w:divBdr>
            <w:top w:val="none" w:sz="0" w:space="0" w:color="auto"/>
            <w:left w:val="none" w:sz="0" w:space="0" w:color="auto"/>
            <w:bottom w:val="none" w:sz="0" w:space="0" w:color="auto"/>
            <w:right w:val="none" w:sz="0" w:space="0" w:color="auto"/>
          </w:divBdr>
        </w:div>
        <w:div w:id="1720590304">
          <w:marLeft w:val="0"/>
          <w:marRight w:val="0"/>
          <w:marTop w:val="0"/>
          <w:marBottom w:val="0"/>
          <w:divBdr>
            <w:top w:val="none" w:sz="0" w:space="0" w:color="auto"/>
            <w:left w:val="none" w:sz="0" w:space="0" w:color="auto"/>
            <w:bottom w:val="none" w:sz="0" w:space="0" w:color="auto"/>
            <w:right w:val="none" w:sz="0" w:space="0" w:color="auto"/>
          </w:divBdr>
        </w:div>
        <w:div w:id="1735200936">
          <w:marLeft w:val="0"/>
          <w:marRight w:val="0"/>
          <w:marTop w:val="0"/>
          <w:marBottom w:val="0"/>
          <w:divBdr>
            <w:top w:val="none" w:sz="0" w:space="0" w:color="auto"/>
            <w:left w:val="none" w:sz="0" w:space="0" w:color="auto"/>
            <w:bottom w:val="none" w:sz="0" w:space="0" w:color="auto"/>
            <w:right w:val="none" w:sz="0" w:space="0" w:color="auto"/>
          </w:divBdr>
        </w:div>
        <w:div w:id="1754666082">
          <w:marLeft w:val="0"/>
          <w:marRight w:val="0"/>
          <w:marTop w:val="0"/>
          <w:marBottom w:val="0"/>
          <w:divBdr>
            <w:top w:val="none" w:sz="0" w:space="0" w:color="auto"/>
            <w:left w:val="none" w:sz="0" w:space="0" w:color="auto"/>
            <w:bottom w:val="none" w:sz="0" w:space="0" w:color="auto"/>
            <w:right w:val="none" w:sz="0" w:space="0" w:color="auto"/>
          </w:divBdr>
        </w:div>
        <w:div w:id="1756584626">
          <w:marLeft w:val="0"/>
          <w:marRight w:val="0"/>
          <w:marTop w:val="0"/>
          <w:marBottom w:val="0"/>
          <w:divBdr>
            <w:top w:val="none" w:sz="0" w:space="0" w:color="auto"/>
            <w:left w:val="none" w:sz="0" w:space="0" w:color="auto"/>
            <w:bottom w:val="none" w:sz="0" w:space="0" w:color="auto"/>
            <w:right w:val="none" w:sz="0" w:space="0" w:color="auto"/>
          </w:divBdr>
        </w:div>
        <w:div w:id="1762094585">
          <w:marLeft w:val="0"/>
          <w:marRight w:val="0"/>
          <w:marTop w:val="0"/>
          <w:marBottom w:val="0"/>
          <w:divBdr>
            <w:top w:val="none" w:sz="0" w:space="0" w:color="auto"/>
            <w:left w:val="none" w:sz="0" w:space="0" w:color="auto"/>
            <w:bottom w:val="none" w:sz="0" w:space="0" w:color="auto"/>
            <w:right w:val="none" w:sz="0" w:space="0" w:color="auto"/>
          </w:divBdr>
        </w:div>
        <w:div w:id="1786728868">
          <w:marLeft w:val="0"/>
          <w:marRight w:val="0"/>
          <w:marTop w:val="0"/>
          <w:marBottom w:val="0"/>
          <w:divBdr>
            <w:top w:val="none" w:sz="0" w:space="0" w:color="auto"/>
            <w:left w:val="none" w:sz="0" w:space="0" w:color="auto"/>
            <w:bottom w:val="none" w:sz="0" w:space="0" w:color="auto"/>
            <w:right w:val="none" w:sz="0" w:space="0" w:color="auto"/>
          </w:divBdr>
        </w:div>
        <w:div w:id="1794211700">
          <w:marLeft w:val="0"/>
          <w:marRight w:val="0"/>
          <w:marTop w:val="0"/>
          <w:marBottom w:val="0"/>
          <w:divBdr>
            <w:top w:val="none" w:sz="0" w:space="0" w:color="auto"/>
            <w:left w:val="none" w:sz="0" w:space="0" w:color="auto"/>
            <w:bottom w:val="none" w:sz="0" w:space="0" w:color="auto"/>
            <w:right w:val="none" w:sz="0" w:space="0" w:color="auto"/>
          </w:divBdr>
        </w:div>
        <w:div w:id="1796294806">
          <w:marLeft w:val="0"/>
          <w:marRight w:val="0"/>
          <w:marTop w:val="0"/>
          <w:marBottom w:val="0"/>
          <w:divBdr>
            <w:top w:val="none" w:sz="0" w:space="0" w:color="auto"/>
            <w:left w:val="none" w:sz="0" w:space="0" w:color="auto"/>
            <w:bottom w:val="none" w:sz="0" w:space="0" w:color="auto"/>
            <w:right w:val="none" w:sz="0" w:space="0" w:color="auto"/>
          </w:divBdr>
        </w:div>
        <w:div w:id="1804468270">
          <w:marLeft w:val="0"/>
          <w:marRight w:val="0"/>
          <w:marTop w:val="0"/>
          <w:marBottom w:val="0"/>
          <w:divBdr>
            <w:top w:val="none" w:sz="0" w:space="0" w:color="auto"/>
            <w:left w:val="none" w:sz="0" w:space="0" w:color="auto"/>
            <w:bottom w:val="none" w:sz="0" w:space="0" w:color="auto"/>
            <w:right w:val="none" w:sz="0" w:space="0" w:color="auto"/>
          </w:divBdr>
        </w:div>
        <w:div w:id="1809587259">
          <w:marLeft w:val="0"/>
          <w:marRight w:val="0"/>
          <w:marTop w:val="0"/>
          <w:marBottom w:val="0"/>
          <w:divBdr>
            <w:top w:val="none" w:sz="0" w:space="0" w:color="auto"/>
            <w:left w:val="none" w:sz="0" w:space="0" w:color="auto"/>
            <w:bottom w:val="none" w:sz="0" w:space="0" w:color="auto"/>
            <w:right w:val="none" w:sz="0" w:space="0" w:color="auto"/>
          </w:divBdr>
        </w:div>
        <w:div w:id="1825050327">
          <w:marLeft w:val="0"/>
          <w:marRight w:val="0"/>
          <w:marTop w:val="0"/>
          <w:marBottom w:val="0"/>
          <w:divBdr>
            <w:top w:val="none" w:sz="0" w:space="0" w:color="auto"/>
            <w:left w:val="none" w:sz="0" w:space="0" w:color="auto"/>
            <w:bottom w:val="none" w:sz="0" w:space="0" w:color="auto"/>
            <w:right w:val="none" w:sz="0" w:space="0" w:color="auto"/>
          </w:divBdr>
        </w:div>
        <w:div w:id="1833832480">
          <w:marLeft w:val="0"/>
          <w:marRight w:val="0"/>
          <w:marTop w:val="0"/>
          <w:marBottom w:val="0"/>
          <w:divBdr>
            <w:top w:val="none" w:sz="0" w:space="0" w:color="auto"/>
            <w:left w:val="none" w:sz="0" w:space="0" w:color="auto"/>
            <w:bottom w:val="none" w:sz="0" w:space="0" w:color="auto"/>
            <w:right w:val="none" w:sz="0" w:space="0" w:color="auto"/>
          </w:divBdr>
        </w:div>
        <w:div w:id="1837919013">
          <w:marLeft w:val="0"/>
          <w:marRight w:val="0"/>
          <w:marTop w:val="0"/>
          <w:marBottom w:val="0"/>
          <w:divBdr>
            <w:top w:val="none" w:sz="0" w:space="0" w:color="auto"/>
            <w:left w:val="none" w:sz="0" w:space="0" w:color="auto"/>
            <w:bottom w:val="none" w:sz="0" w:space="0" w:color="auto"/>
            <w:right w:val="none" w:sz="0" w:space="0" w:color="auto"/>
          </w:divBdr>
        </w:div>
        <w:div w:id="1894465557">
          <w:marLeft w:val="0"/>
          <w:marRight w:val="0"/>
          <w:marTop w:val="0"/>
          <w:marBottom w:val="0"/>
          <w:divBdr>
            <w:top w:val="none" w:sz="0" w:space="0" w:color="auto"/>
            <w:left w:val="none" w:sz="0" w:space="0" w:color="auto"/>
            <w:bottom w:val="none" w:sz="0" w:space="0" w:color="auto"/>
            <w:right w:val="none" w:sz="0" w:space="0" w:color="auto"/>
          </w:divBdr>
        </w:div>
        <w:div w:id="1907033716">
          <w:marLeft w:val="0"/>
          <w:marRight w:val="0"/>
          <w:marTop w:val="0"/>
          <w:marBottom w:val="0"/>
          <w:divBdr>
            <w:top w:val="none" w:sz="0" w:space="0" w:color="auto"/>
            <w:left w:val="none" w:sz="0" w:space="0" w:color="auto"/>
            <w:bottom w:val="none" w:sz="0" w:space="0" w:color="auto"/>
            <w:right w:val="none" w:sz="0" w:space="0" w:color="auto"/>
          </w:divBdr>
        </w:div>
        <w:div w:id="1926526180">
          <w:marLeft w:val="0"/>
          <w:marRight w:val="0"/>
          <w:marTop w:val="0"/>
          <w:marBottom w:val="0"/>
          <w:divBdr>
            <w:top w:val="none" w:sz="0" w:space="0" w:color="auto"/>
            <w:left w:val="none" w:sz="0" w:space="0" w:color="auto"/>
            <w:bottom w:val="none" w:sz="0" w:space="0" w:color="auto"/>
            <w:right w:val="none" w:sz="0" w:space="0" w:color="auto"/>
          </w:divBdr>
        </w:div>
        <w:div w:id="1947300118">
          <w:marLeft w:val="0"/>
          <w:marRight w:val="0"/>
          <w:marTop w:val="0"/>
          <w:marBottom w:val="0"/>
          <w:divBdr>
            <w:top w:val="none" w:sz="0" w:space="0" w:color="auto"/>
            <w:left w:val="none" w:sz="0" w:space="0" w:color="auto"/>
            <w:bottom w:val="none" w:sz="0" w:space="0" w:color="auto"/>
            <w:right w:val="none" w:sz="0" w:space="0" w:color="auto"/>
          </w:divBdr>
        </w:div>
        <w:div w:id="1948195369">
          <w:marLeft w:val="0"/>
          <w:marRight w:val="0"/>
          <w:marTop w:val="0"/>
          <w:marBottom w:val="0"/>
          <w:divBdr>
            <w:top w:val="none" w:sz="0" w:space="0" w:color="auto"/>
            <w:left w:val="none" w:sz="0" w:space="0" w:color="auto"/>
            <w:bottom w:val="none" w:sz="0" w:space="0" w:color="auto"/>
            <w:right w:val="none" w:sz="0" w:space="0" w:color="auto"/>
          </w:divBdr>
        </w:div>
        <w:div w:id="1957171187">
          <w:marLeft w:val="0"/>
          <w:marRight w:val="0"/>
          <w:marTop w:val="0"/>
          <w:marBottom w:val="0"/>
          <w:divBdr>
            <w:top w:val="none" w:sz="0" w:space="0" w:color="auto"/>
            <w:left w:val="none" w:sz="0" w:space="0" w:color="auto"/>
            <w:bottom w:val="none" w:sz="0" w:space="0" w:color="auto"/>
            <w:right w:val="none" w:sz="0" w:space="0" w:color="auto"/>
          </w:divBdr>
        </w:div>
        <w:div w:id="1963416610">
          <w:marLeft w:val="0"/>
          <w:marRight w:val="0"/>
          <w:marTop w:val="0"/>
          <w:marBottom w:val="0"/>
          <w:divBdr>
            <w:top w:val="none" w:sz="0" w:space="0" w:color="auto"/>
            <w:left w:val="none" w:sz="0" w:space="0" w:color="auto"/>
            <w:bottom w:val="none" w:sz="0" w:space="0" w:color="auto"/>
            <w:right w:val="none" w:sz="0" w:space="0" w:color="auto"/>
          </w:divBdr>
        </w:div>
        <w:div w:id="1970475625">
          <w:marLeft w:val="0"/>
          <w:marRight w:val="0"/>
          <w:marTop w:val="0"/>
          <w:marBottom w:val="0"/>
          <w:divBdr>
            <w:top w:val="none" w:sz="0" w:space="0" w:color="auto"/>
            <w:left w:val="none" w:sz="0" w:space="0" w:color="auto"/>
            <w:bottom w:val="none" w:sz="0" w:space="0" w:color="auto"/>
            <w:right w:val="none" w:sz="0" w:space="0" w:color="auto"/>
          </w:divBdr>
        </w:div>
        <w:div w:id="2009557576">
          <w:marLeft w:val="0"/>
          <w:marRight w:val="0"/>
          <w:marTop w:val="0"/>
          <w:marBottom w:val="0"/>
          <w:divBdr>
            <w:top w:val="none" w:sz="0" w:space="0" w:color="auto"/>
            <w:left w:val="none" w:sz="0" w:space="0" w:color="auto"/>
            <w:bottom w:val="none" w:sz="0" w:space="0" w:color="auto"/>
            <w:right w:val="none" w:sz="0" w:space="0" w:color="auto"/>
          </w:divBdr>
        </w:div>
        <w:div w:id="2013023835">
          <w:marLeft w:val="0"/>
          <w:marRight w:val="0"/>
          <w:marTop w:val="0"/>
          <w:marBottom w:val="0"/>
          <w:divBdr>
            <w:top w:val="none" w:sz="0" w:space="0" w:color="auto"/>
            <w:left w:val="none" w:sz="0" w:space="0" w:color="auto"/>
            <w:bottom w:val="none" w:sz="0" w:space="0" w:color="auto"/>
            <w:right w:val="none" w:sz="0" w:space="0" w:color="auto"/>
          </w:divBdr>
        </w:div>
        <w:div w:id="2013533440">
          <w:marLeft w:val="0"/>
          <w:marRight w:val="0"/>
          <w:marTop w:val="0"/>
          <w:marBottom w:val="0"/>
          <w:divBdr>
            <w:top w:val="none" w:sz="0" w:space="0" w:color="auto"/>
            <w:left w:val="none" w:sz="0" w:space="0" w:color="auto"/>
            <w:bottom w:val="none" w:sz="0" w:space="0" w:color="auto"/>
            <w:right w:val="none" w:sz="0" w:space="0" w:color="auto"/>
          </w:divBdr>
        </w:div>
        <w:div w:id="2016034301">
          <w:marLeft w:val="0"/>
          <w:marRight w:val="0"/>
          <w:marTop w:val="0"/>
          <w:marBottom w:val="0"/>
          <w:divBdr>
            <w:top w:val="none" w:sz="0" w:space="0" w:color="auto"/>
            <w:left w:val="none" w:sz="0" w:space="0" w:color="auto"/>
            <w:bottom w:val="none" w:sz="0" w:space="0" w:color="auto"/>
            <w:right w:val="none" w:sz="0" w:space="0" w:color="auto"/>
          </w:divBdr>
        </w:div>
        <w:div w:id="2018578536">
          <w:marLeft w:val="0"/>
          <w:marRight w:val="0"/>
          <w:marTop w:val="0"/>
          <w:marBottom w:val="0"/>
          <w:divBdr>
            <w:top w:val="none" w:sz="0" w:space="0" w:color="auto"/>
            <w:left w:val="none" w:sz="0" w:space="0" w:color="auto"/>
            <w:bottom w:val="none" w:sz="0" w:space="0" w:color="auto"/>
            <w:right w:val="none" w:sz="0" w:space="0" w:color="auto"/>
          </w:divBdr>
        </w:div>
        <w:div w:id="2018923652">
          <w:marLeft w:val="0"/>
          <w:marRight w:val="0"/>
          <w:marTop w:val="0"/>
          <w:marBottom w:val="0"/>
          <w:divBdr>
            <w:top w:val="none" w:sz="0" w:space="0" w:color="auto"/>
            <w:left w:val="none" w:sz="0" w:space="0" w:color="auto"/>
            <w:bottom w:val="none" w:sz="0" w:space="0" w:color="auto"/>
            <w:right w:val="none" w:sz="0" w:space="0" w:color="auto"/>
          </w:divBdr>
        </w:div>
        <w:div w:id="2052222536">
          <w:marLeft w:val="0"/>
          <w:marRight w:val="0"/>
          <w:marTop w:val="0"/>
          <w:marBottom w:val="0"/>
          <w:divBdr>
            <w:top w:val="none" w:sz="0" w:space="0" w:color="auto"/>
            <w:left w:val="none" w:sz="0" w:space="0" w:color="auto"/>
            <w:bottom w:val="none" w:sz="0" w:space="0" w:color="auto"/>
            <w:right w:val="none" w:sz="0" w:space="0" w:color="auto"/>
          </w:divBdr>
        </w:div>
        <w:div w:id="2053651324">
          <w:marLeft w:val="0"/>
          <w:marRight w:val="0"/>
          <w:marTop w:val="0"/>
          <w:marBottom w:val="0"/>
          <w:divBdr>
            <w:top w:val="none" w:sz="0" w:space="0" w:color="auto"/>
            <w:left w:val="none" w:sz="0" w:space="0" w:color="auto"/>
            <w:bottom w:val="none" w:sz="0" w:space="0" w:color="auto"/>
            <w:right w:val="none" w:sz="0" w:space="0" w:color="auto"/>
          </w:divBdr>
        </w:div>
        <w:div w:id="2073917228">
          <w:marLeft w:val="0"/>
          <w:marRight w:val="0"/>
          <w:marTop w:val="0"/>
          <w:marBottom w:val="0"/>
          <w:divBdr>
            <w:top w:val="none" w:sz="0" w:space="0" w:color="auto"/>
            <w:left w:val="none" w:sz="0" w:space="0" w:color="auto"/>
            <w:bottom w:val="none" w:sz="0" w:space="0" w:color="auto"/>
            <w:right w:val="none" w:sz="0" w:space="0" w:color="auto"/>
          </w:divBdr>
        </w:div>
        <w:div w:id="2089883271">
          <w:marLeft w:val="0"/>
          <w:marRight w:val="0"/>
          <w:marTop w:val="0"/>
          <w:marBottom w:val="0"/>
          <w:divBdr>
            <w:top w:val="none" w:sz="0" w:space="0" w:color="auto"/>
            <w:left w:val="none" w:sz="0" w:space="0" w:color="auto"/>
            <w:bottom w:val="none" w:sz="0" w:space="0" w:color="auto"/>
            <w:right w:val="none" w:sz="0" w:space="0" w:color="auto"/>
          </w:divBdr>
        </w:div>
        <w:div w:id="2126120667">
          <w:marLeft w:val="0"/>
          <w:marRight w:val="0"/>
          <w:marTop w:val="0"/>
          <w:marBottom w:val="0"/>
          <w:divBdr>
            <w:top w:val="none" w:sz="0" w:space="0" w:color="auto"/>
            <w:left w:val="none" w:sz="0" w:space="0" w:color="auto"/>
            <w:bottom w:val="none" w:sz="0" w:space="0" w:color="auto"/>
            <w:right w:val="none" w:sz="0" w:space="0" w:color="auto"/>
          </w:divBdr>
        </w:div>
        <w:div w:id="2140419836">
          <w:marLeft w:val="0"/>
          <w:marRight w:val="0"/>
          <w:marTop w:val="0"/>
          <w:marBottom w:val="0"/>
          <w:divBdr>
            <w:top w:val="none" w:sz="0" w:space="0" w:color="auto"/>
            <w:left w:val="none" w:sz="0" w:space="0" w:color="auto"/>
            <w:bottom w:val="none" w:sz="0" w:space="0" w:color="auto"/>
            <w:right w:val="none" w:sz="0" w:space="0" w:color="auto"/>
          </w:divBdr>
        </w:div>
      </w:divsChild>
    </w:div>
    <w:div w:id="1696927573">
      <w:bodyDiv w:val="1"/>
      <w:marLeft w:val="0"/>
      <w:marRight w:val="0"/>
      <w:marTop w:val="0"/>
      <w:marBottom w:val="0"/>
      <w:divBdr>
        <w:top w:val="none" w:sz="0" w:space="0" w:color="auto"/>
        <w:left w:val="none" w:sz="0" w:space="0" w:color="auto"/>
        <w:bottom w:val="none" w:sz="0" w:space="0" w:color="auto"/>
        <w:right w:val="none" w:sz="0" w:space="0" w:color="auto"/>
      </w:divBdr>
    </w:div>
    <w:div w:id="1705786135">
      <w:bodyDiv w:val="1"/>
      <w:marLeft w:val="0"/>
      <w:marRight w:val="0"/>
      <w:marTop w:val="0"/>
      <w:marBottom w:val="0"/>
      <w:divBdr>
        <w:top w:val="none" w:sz="0" w:space="0" w:color="auto"/>
        <w:left w:val="none" w:sz="0" w:space="0" w:color="auto"/>
        <w:bottom w:val="none" w:sz="0" w:space="0" w:color="auto"/>
        <w:right w:val="none" w:sz="0" w:space="0" w:color="auto"/>
      </w:divBdr>
    </w:div>
    <w:div w:id="1708987588">
      <w:bodyDiv w:val="1"/>
      <w:marLeft w:val="0"/>
      <w:marRight w:val="0"/>
      <w:marTop w:val="0"/>
      <w:marBottom w:val="0"/>
      <w:divBdr>
        <w:top w:val="none" w:sz="0" w:space="0" w:color="auto"/>
        <w:left w:val="none" w:sz="0" w:space="0" w:color="auto"/>
        <w:bottom w:val="none" w:sz="0" w:space="0" w:color="auto"/>
        <w:right w:val="none" w:sz="0" w:space="0" w:color="auto"/>
      </w:divBdr>
    </w:div>
    <w:div w:id="1713194061">
      <w:bodyDiv w:val="1"/>
      <w:marLeft w:val="0"/>
      <w:marRight w:val="0"/>
      <w:marTop w:val="0"/>
      <w:marBottom w:val="0"/>
      <w:divBdr>
        <w:top w:val="none" w:sz="0" w:space="0" w:color="auto"/>
        <w:left w:val="none" w:sz="0" w:space="0" w:color="auto"/>
        <w:bottom w:val="none" w:sz="0" w:space="0" w:color="auto"/>
        <w:right w:val="none" w:sz="0" w:space="0" w:color="auto"/>
      </w:divBdr>
    </w:div>
    <w:div w:id="1713572002">
      <w:bodyDiv w:val="1"/>
      <w:marLeft w:val="0"/>
      <w:marRight w:val="0"/>
      <w:marTop w:val="0"/>
      <w:marBottom w:val="0"/>
      <w:divBdr>
        <w:top w:val="none" w:sz="0" w:space="0" w:color="auto"/>
        <w:left w:val="none" w:sz="0" w:space="0" w:color="auto"/>
        <w:bottom w:val="none" w:sz="0" w:space="0" w:color="auto"/>
        <w:right w:val="none" w:sz="0" w:space="0" w:color="auto"/>
      </w:divBdr>
    </w:div>
    <w:div w:id="1726372522">
      <w:bodyDiv w:val="1"/>
      <w:marLeft w:val="0"/>
      <w:marRight w:val="0"/>
      <w:marTop w:val="0"/>
      <w:marBottom w:val="0"/>
      <w:divBdr>
        <w:top w:val="none" w:sz="0" w:space="0" w:color="auto"/>
        <w:left w:val="none" w:sz="0" w:space="0" w:color="auto"/>
        <w:bottom w:val="none" w:sz="0" w:space="0" w:color="auto"/>
        <w:right w:val="none" w:sz="0" w:space="0" w:color="auto"/>
      </w:divBdr>
    </w:div>
    <w:div w:id="1734623760">
      <w:bodyDiv w:val="1"/>
      <w:marLeft w:val="0"/>
      <w:marRight w:val="0"/>
      <w:marTop w:val="0"/>
      <w:marBottom w:val="0"/>
      <w:divBdr>
        <w:top w:val="none" w:sz="0" w:space="0" w:color="auto"/>
        <w:left w:val="none" w:sz="0" w:space="0" w:color="auto"/>
        <w:bottom w:val="none" w:sz="0" w:space="0" w:color="auto"/>
        <w:right w:val="none" w:sz="0" w:space="0" w:color="auto"/>
      </w:divBdr>
    </w:div>
    <w:div w:id="1742016760">
      <w:bodyDiv w:val="1"/>
      <w:marLeft w:val="0"/>
      <w:marRight w:val="0"/>
      <w:marTop w:val="0"/>
      <w:marBottom w:val="0"/>
      <w:divBdr>
        <w:top w:val="none" w:sz="0" w:space="0" w:color="auto"/>
        <w:left w:val="none" w:sz="0" w:space="0" w:color="auto"/>
        <w:bottom w:val="none" w:sz="0" w:space="0" w:color="auto"/>
        <w:right w:val="none" w:sz="0" w:space="0" w:color="auto"/>
      </w:divBdr>
    </w:div>
    <w:div w:id="1742215064">
      <w:bodyDiv w:val="1"/>
      <w:marLeft w:val="0"/>
      <w:marRight w:val="0"/>
      <w:marTop w:val="0"/>
      <w:marBottom w:val="0"/>
      <w:divBdr>
        <w:top w:val="none" w:sz="0" w:space="0" w:color="auto"/>
        <w:left w:val="none" w:sz="0" w:space="0" w:color="auto"/>
        <w:bottom w:val="none" w:sz="0" w:space="0" w:color="auto"/>
        <w:right w:val="none" w:sz="0" w:space="0" w:color="auto"/>
      </w:divBdr>
    </w:div>
    <w:div w:id="1747190455">
      <w:bodyDiv w:val="1"/>
      <w:marLeft w:val="0"/>
      <w:marRight w:val="0"/>
      <w:marTop w:val="0"/>
      <w:marBottom w:val="0"/>
      <w:divBdr>
        <w:top w:val="none" w:sz="0" w:space="0" w:color="auto"/>
        <w:left w:val="none" w:sz="0" w:space="0" w:color="auto"/>
        <w:bottom w:val="none" w:sz="0" w:space="0" w:color="auto"/>
        <w:right w:val="none" w:sz="0" w:space="0" w:color="auto"/>
      </w:divBdr>
    </w:div>
    <w:div w:id="1748765296">
      <w:bodyDiv w:val="1"/>
      <w:marLeft w:val="0"/>
      <w:marRight w:val="0"/>
      <w:marTop w:val="0"/>
      <w:marBottom w:val="0"/>
      <w:divBdr>
        <w:top w:val="none" w:sz="0" w:space="0" w:color="auto"/>
        <w:left w:val="none" w:sz="0" w:space="0" w:color="auto"/>
        <w:bottom w:val="none" w:sz="0" w:space="0" w:color="auto"/>
        <w:right w:val="none" w:sz="0" w:space="0" w:color="auto"/>
      </w:divBdr>
    </w:div>
    <w:div w:id="1753310640">
      <w:bodyDiv w:val="1"/>
      <w:marLeft w:val="0"/>
      <w:marRight w:val="0"/>
      <w:marTop w:val="0"/>
      <w:marBottom w:val="0"/>
      <w:divBdr>
        <w:top w:val="none" w:sz="0" w:space="0" w:color="auto"/>
        <w:left w:val="none" w:sz="0" w:space="0" w:color="auto"/>
        <w:bottom w:val="none" w:sz="0" w:space="0" w:color="auto"/>
        <w:right w:val="none" w:sz="0" w:space="0" w:color="auto"/>
      </w:divBdr>
    </w:div>
    <w:div w:id="1759599042">
      <w:bodyDiv w:val="1"/>
      <w:marLeft w:val="0"/>
      <w:marRight w:val="0"/>
      <w:marTop w:val="0"/>
      <w:marBottom w:val="0"/>
      <w:divBdr>
        <w:top w:val="none" w:sz="0" w:space="0" w:color="auto"/>
        <w:left w:val="none" w:sz="0" w:space="0" w:color="auto"/>
        <w:bottom w:val="none" w:sz="0" w:space="0" w:color="auto"/>
        <w:right w:val="none" w:sz="0" w:space="0" w:color="auto"/>
      </w:divBdr>
    </w:div>
    <w:div w:id="1763836834">
      <w:bodyDiv w:val="1"/>
      <w:marLeft w:val="0"/>
      <w:marRight w:val="0"/>
      <w:marTop w:val="0"/>
      <w:marBottom w:val="0"/>
      <w:divBdr>
        <w:top w:val="none" w:sz="0" w:space="0" w:color="auto"/>
        <w:left w:val="none" w:sz="0" w:space="0" w:color="auto"/>
        <w:bottom w:val="none" w:sz="0" w:space="0" w:color="auto"/>
        <w:right w:val="none" w:sz="0" w:space="0" w:color="auto"/>
      </w:divBdr>
    </w:div>
    <w:div w:id="1767917136">
      <w:bodyDiv w:val="1"/>
      <w:marLeft w:val="0"/>
      <w:marRight w:val="0"/>
      <w:marTop w:val="0"/>
      <w:marBottom w:val="0"/>
      <w:divBdr>
        <w:top w:val="none" w:sz="0" w:space="0" w:color="auto"/>
        <w:left w:val="none" w:sz="0" w:space="0" w:color="auto"/>
        <w:bottom w:val="none" w:sz="0" w:space="0" w:color="auto"/>
        <w:right w:val="none" w:sz="0" w:space="0" w:color="auto"/>
      </w:divBdr>
    </w:div>
    <w:div w:id="1769620360">
      <w:bodyDiv w:val="1"/>
      <w:marLeft w:val="0"/>
      <w:marRight w:val="0"/>
      <w:marTop w:val="0"/>
      <w:marBottom w:val="0"/>
      <w:divBdr>
        <w:top w:val="none" w:sz="0" w:space="0" w:color="auto"/>
        <w:left w:val="none" w:sz="0" w:space="0" w:color="auto"/>
        <w:bottom w:val="none" w:sz="0" w:space="0" w:color="auto"/>
        <w:right w:val="none" w:sz="0" w:space="0" w:color="auto"/>
      </w:divBdr>
    </w:div>
    <w:div w:id="1782148566">
      <w:bodyDiv w:val="1"/>
      <w:marLeft w:val="0"/>
      <w:marRight w:val="0"/>
      <w:marTop w:val="0"/>
      <w:marBottom w:val="0"/>
      <w:divBdr>
        <w:top w:val="none" w:sz="0" w:space="0" w:color="auto"/>
        <w:left w:val="none" w:sz="0" w:space="0" w:color="auto"/>
        <w:bottom w:val="none" w:sz="0" w:space="0" w:color="auto"/>
        <w:right w:val="none" w:sz="0" w:space="0" w:color="auto"/>
      </w:divBdr>
    </w:div>
    <w:div w:id="1796482633">
      <w:bodyDiv w:val="1"/>
      <w:marLeft w:val="0"/>
      <w:marRight w:val="0"/>
      <w:marTop w:val="0"/>
      <w:marBottom w:val="0"/>
      <w:divBdr>
        <w:top w:val="none" w:sz="0" w:space="0" w:color="auto"/>
        <w:left w:val="none" w:sz="0" w:space="0" w:color="auto"/>
        <w:bottom w:val="none" w:sz="0" w:space="0" w:color="auto"/>
        <w:right w:val="none" w:sz="0" w:space="0" w:color="auto"/>
      </w:divBdr>
    </w:div>
    <w:div w:id="1796826155">
      <w:bodyDiv w:val="1"/>
      <w:marLeft w:val="0"/>
      <w:marRight w:val="0"/>
      <w:marTop w:val="0"/>
      <w:marBottom w:val="0"/>
      <w:divBdr>
        <w:top w:val="none" w:sz="0" w:space="0" w:color="auto"/>
        <w:left w:val="none" w:sz="0" w:space="0" w:color="auto"/>
        <w:bottom w:val="none" w:sz="0" w:space="0" w:color="auto"/>
        <w:right w:val="none" w:sz="0" w:space="0" w:color="auto"/>
      </w:divBdr>
    </w:div>
    <w:div w:id="1813059409">
      <w:bodyDiv w:val="1"/>
      <w:marLeft w:val="0"/>
      <w:marRight w:val="0"/>
      <w:marTop w:val="0"/>
      <w:marBottom w:val="0"/>
      <w:divBdr>
        <w:top w:val="none" w:sz="0" w:space="0" w:color="auto"/>
        <w:left w:val="none" w:sz="0" w:space="0" w:color="auto"/>
        <w:bottom w:val="none" w:sz="0" w:space="0" w:color="auto"/>
        <w:right w:val="none" w:sz="0" w:space="0" w:color="auto"/>
      </w:divBdr>
    </w:div>
    <w:div w:id="1813473903">
      <w:bodyDiv w:val="1"/>
      <w:marLeft w:val="0"/>
      <w:marRight w:val="0"/>
      <w:marTop w:val="0"/>
      <w:marBottom w:val="0"/>
      <w:divBdr>
        <w:top w:val="none" w:sz="0" w:space="0" w:color="auto"/>
        <w:left w:val="none" w:sz="0" w:space="0" w:color="auto"/>
        <w:bottom w:val="none" w:sz="0" w:space="0" w:color="auto"/>
        <w:right w:val="none" w:sz="0" w:space="0" w:color="auto"/>
      </w:divBdr>
    </w:div>
    <w:div w:id="1847162642">
      <w:bodyDiv w:val="1"/>
      <w:marLeft w:val="0"/>
      <w:marRight w:val="0"/>
      <w:marTop w:val="0"/>
      <w:marBottom w:val="0"/>
      <w:divBdr>
        <w:top w:val="none" w:sz="0" w:space="0" w:color="auto"/>
        <w:left w:val="none" w:sz="0" w:space="0" w:color="auto"/>
        <w:bottom w:val="none" w:sz="0" w:space="0" w:color="auto"/>
        <w:right w:val="none" w:sz="0" w:space="0" w:color="auto"/>
      </w:divBdr>
    </w:div>
    <w:div w:id="1855995581">
      <w:bodyDiv w:val="1"/>
      <w:marLeft w:val="0"/>
      <w:marRight w:val="0"/>
      <w:marTop w:val="0"/>
      <w:marBottom w:val="0"/>
      <w:divBdr>
        <w:top w:val="none" w:sz="0" w:space="0" w:color="auto"/>
        <w:left w:val="none" w:sz="0" w:space="0" w:color="auto"/>
        <w:bottom w:val="none" w:sz="0" w:space="0" w:color="auto"/>
        <w:right w:val="none" w:sz="0" w:space="0" w:color="auto"/>
      </w:divBdr>
    </w:div>
    <w:div w:id="1857382901">
      <w:bodyDiv w:val="1"/>
      <w:marLeft w:val="0"/>
      <w:marRight w:val="0"/>
      <w:marTop w:val="0"/>
      <w:marBottom w:val="0"/>
      <w:divBdr>
        <w:top w:val="none" w:sz="0" w:space="0" w:color="auto"/>
        <w:left w:val="none" w:sz="0" w:space="0" w:color="auto"/>
        <w:bottom w:val="none" w:sz="0" w:space="0" w:color="auto"/>
        <w:right w:val="none" w:sz="0" w:space="0" w:color="auto"/>
      </w:divBdr>
    </w:div>
    <w:div w:id="1861122758">
      <w:bodyDiv w:val="1"/>
      <w:marLeft w:val="0"/>
      <w:marRight w:val="0"/>
      <w:marTop w:val="0"/>
      <w:marBottom w:val="0"/>
      <w:divBdr>
        <w:top w:val="none" w:sz="0" w:space="0" w:color="auto"/>
        <w:left w:val="none" w:sz="0" w:space="0" w:color="auto"/>
        <w:bottom w:val="none" w:sz="0" w:space="0" w:color="auto"/>
        <w:right w:val="none" w:sz="0" w:space="0" w:color="auto"/>
      </w:divBdr>
    </w:div>
    <w:div w:id="1861235310">
      <w:bodyDiv w:val="1"/>
      <w:marLeft w:val="0"/>
      <w:marRight w:val="0"/>
      <w:marTop w:val="0"/>
      <w:marBottom w:val="0"/>
      <w:divBdr>
        <w:top w:val="none" w:sz="0" w:space="0" w:color="auto"/>
        <w:left w:val="none" w:sz="0" w:space="0" w:color="auto"/>
        <w:bottom w:val="none" w:sz="0" w:space="0" w:color="auto"/>
        <w:right w:val="none" w:sz="0" w:space="0" w:color="auto"/>
      </w:divBdr>
    </w:div>
    <w:div w:id="1861701023">
      <w:bodyDiv w:val="1"/>
      <w:marLeft w:val="0"/>
      <w:marRight w:val="0"/>
      <w:marTop w:val="0"/>
      <w:marBottom w:val="0"/>
      <w:divBdr>
        <w:top w:val="none" w:sz="0" w:space="0" w:color="auto"/>
        <w:left w:val="none" w:sz="0" w:space="0" w:color="auto"/>
        <w:bottom w:val="none" w:sz="0" w:space="0" w:color="auto"/>
        <w:right w:val="none" w:sz="0" w:space="0" w:color="auto"/>
      </w:divBdr>
    </w:div>
    <w:div w:id="1866210561">
      <w:bodyDiv w:val="1"/>
      <w:marLeft w:val="0"/>
      <w:marRight w:val="0"/>
      <w:marTop w:val="0"/>
      <w:marBottom w:val="0"/>
      <w:divBdr>
        <w:top w:val="none" w:sz="0" w:space="0" w:color="auto"/>
        <w:left w:val="none" w:sz="0" w:space="0" w:color="auto"/>
        <w:bottom w:val="none" w:sz="0" w:space="0" w:color="auto"/>
        <w:right w:val="none" w:sz="0" w:space="0" w:color="auto"/>
      </w:divBdr>
    </w:div>
    <w:div w:id="1885214570">
      <w:bodyDiv w:val="1"/>
      <w:marLeft w:val="0"/>
      <w:marRight w:val="0"/>
      <w:marTop w:val="0"/>
      <w:marBottom w:val="0"/>
      <w:divBdr>
        <w:top w:val="none" w:sz="0" w:space="0" w:color="auto"/>
        <w:left w:val="none" w:sz="0" w:space="0" w:color="auto"/>
        <w:bottom w:val="none" w:sz="0" w:space="0" w:color="auto"/>
        <w:right w:val="none" w:sz="0" w:space="0" w:color="auto"/>
      </w:divBdr>
    </w:div>
    <w:div w:id="1885217021">
      <w:bodyDiv w:val="1"/>
      <w:marLeft w:val="0"/>
      <w:marRight w:val="0"/>
      <w:marTop w:val="0"/>
      <w:marBottom w:val="0"/>
      <w:divBdr>
        <w:top w:val="none" w:sz="0" w:space="0" w:color="auto"/>
        <w:left w:val="none" w:sz="0" w:space="0" w:color="auto"/>
        <w:bottom w:val="none" w:sz="0" w:space="0" w:color="auto"/>
        <w:right w:val="none" w:sz="0" w:space="0" w:color="auto"/>
      </w:divBdr>
    </w:div>
    <w:div w:id="1887254295">
      <w:bodyDiv w:val="1"/>
      <w:marLeft w:val="0"/>
      <w:marRight w:val="0"/>
      <w:marTop w:val="0"/>
      <w:marBottom w:val="0"/>
      <w:divBdr>
        <w:top w:val="none" w:sz="0" w:space="0" w:color="auto"/>
        <w:left w:val="none" w:sz="0" w:space="0" w:color="auto"/>
        <w:bottom w:val="none" w:sz="0" w:space="0" w:color="auto"/>
        <w:right w:val="none" w:sz="0" w:space="0" w:color="auto"/>
      </w:divBdr>
    </w:div>
    <w:div w:id="1893733728">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 w:id="1913999255">
      <w:bodyDiv w:val="1"/>
      <w:marLeft w:val="0"/>
      <w:marRight w:val="0"/>
      <w:marTop w:val="0"/>
      <w:marBottom w:val="0"/>
      <w:divBdr>
        <w:top w:val="none" w:sz="0" w:space="0" w:color="auto"/>
        <w:left w:val="none" w:sz="0" w:space="0" w:color="auto"/>
        <w:bottom w:val="none" w:sz="0" w:space="0" w:color="auto"/>
        <w:right w:val="none" w:sz="0" w:space="0" w:color="auto"/>
      </w:divBdr>
    </w:div>
    <w:div w:id="1914703812">
      <w:bodyDiv w:val="1"/>
      <w:marLeft w:val="0"/>
      <w:marRight w:val="0"/>
      <w:marTop w:val="0"/>
      <w:marBottom w:val="0"/>
      <w:divBdr>
        <w:top w:val="none" w:sz="0" w:space="0" w:color="auto"/>
        <w:left w:val="none" w:sz="0" w:space="0" w:color="auto"/>
        <w:bottom w:val="none" w:sz="0" w:space="0" w:color="auto"/>
        <w:right w:val="none" w:sz="0" w:space="0" w:color="auto"/>
      </w:divBdr>
    </w:div>
    <w:div w:id="1918243414">
      <w:bodyDiv w:val="1"/>
      <w:marLeft w:val="0"/>
      <w:marRight w:val="0"/>
      <w:marTop w:val="0"/>
      <w:marBottom w:val="0"/>
      <w:divBdr>
        <w:top w:val="none" w:sz="0" w:space="0" w:color="auto"/>
        <w:left w:val="none" w:sz="0" w:space="0" w:color="auto"/>
        <w:bottom w:val="none" w:sz="0" w:space="0" w:color="auto"/>
        <w:right w:val="none" w:sz="0" w:space="0" w:color="auto"/>
      </w:divBdr>
    </w:div>
    <w:div w:id="1940719638">
      <w:bodyDiv w:val="1"/>
      <w:marLeft w:val="0"/>
      <w:marRight w:val="0"/>
      <w:marTop w:val="0"/>
      <w:marBottom w:val="0"/>
      <w:divBdr>
        <w:top w:val="none" w:sz="0" w:space="0" w:color="auto"/>
        <w:left w:val="none" w:sz="0" w:space="0" w:color="auto"/>
        <w:bottom w:val="none" w:sz="0" w:space="0" w:color="auto"/>
        <w:right w:val="none" w:sz="0" w:space="0" w:color="auto"/>
      </w:divBdr>
    </w:div>
    <w:div w:id="1957827837">
      <w:bodyDiv w:val="1"/>
      <w:marLeft w:val="0"/>
      <w:marRight w:val="0"/>
      <w:marTop w:val="0"/>
      <w:marBottom w:val="0"/>
      <w:divBdr>
        <w:top w:val="none" w:sz="0" w:space="0" w:color="auto"/>
        <w:left w:val="none" w:sz="0" w:space="0" w:color="auto"/>
        <w:bottom w:val="none" w:sz="0" w:space="0" w:color="auto"/>
        <w:right w:val="none" w:sz="0" w:space="0" w:color="auto"/>
      </w:divBdr>
    </w:div>
    <w:div w:id="1966814630">
      <w:bodyDiv w:val="1"/>
      <w:marLeft w:val="0"/>
      <w:marRight w:val="0"/>
      <w:marTop w:val="0"/>
      <w:marBottom w:val="0"/>
      <w:divBdr>
        <w:top w:val="none" w:sz="0" w:space="0" w:color="auto"/>
        <w:left w:val="none" w:sz="0" w:space="0" w:color="auto"/>
        <w:bottom w:val="none" w:sz="0" w:space="0" w:color="auto"/>
        <w:right w:val="none" w:sz="0" w:space="0" w:color="auto"/>
      </w:divBdr>
    </w:div>
    <w:div w:id="1968586411">
      <w:bodyDiv w:val="1"/>
      <w:marLeft w:val="0"/>
      <w:marRight w:val="0"/>
      <w:marTop w:val="0"/>
      <w:marBottom w:val="0"/>
      <w:divBdr>
        <w:top w:val="none" w:sz="0" w:space="0" w:color="auto"/>
        <w:left w:val="none" w:sz="0" w:space="0" w:color="auto"/>
        <w:bottom w:val="none" w:sz="0" w:space="0" w:color="auto"/>
        <w:right w:val="none" w:sz="0" w:space="0" w:color="auto"/>
      </w:divBdr>
    </w:div>
    <w:div w:id="1978027127">
      <w:bodyDiv w:val="1"/>
      <w:marLeft w:val="0"/>
      <w:marRight w:val="0"/>
      <w:marTop w:val="0"/>
      <w:marBottom w:val="0"/>
      <w:divBdr>
        <w:top w:val="none" w:sz="0" w:space="0" w:color="auto"/>
        <w:left w:val="none" w:sz="0" w:space="0" w:color="auto"/>
        <w:bottom w:val="none" w:sz="0" w:space="0" w:color="auto"/>
        <w:right w:val="none" w:sz="0" w:space="0" w:color="auto"/>
      </w:divBdr>
    </w:div>
    <w:div w:id="1993867569">
      <w:bodyDiv w:val="1"/>
      <w:marLeft w:val="0"/>
      <w:marRight w:val="0"/>
      <w:marTop w:val="0"/>
      <w:marBottom w:val="0"/>
      <w:divBdr>
        <w:top w:val="none" w:sz="0" w:space="0" w:color="auto"/>
        <w:left w:val="none" w:sz="0" w:space="0" w:color="auto"/>
        <w:bottom w:val="none" w:sz="0" w:space="0" w:color="auto"/>
        <w:right w:val="none" w:sz="0" w:space="0" w:color="auto"/>
      </w:divBdr>
    </w:div>
    <w:div w:id="2000189114">
      <w:bodyDiv w:val="1"/>
      <w:marLeft w:val="0"/>
      <w:marRight w:val="0"/>
      <w:marTop w:val="0"/>
      <w:marBottom w:val="0"/>
      <w:divBdr>
        <w:top w:val="none" w:sz="0" w:space="0" w:color="auto"/>
        <w:left w:val="none" w:sz="0" w:space="0" w:color="auto"/>
        <w:bottom w:val="none" w:sz="0" w:space="0" w:color="auto"/>
        <w:right w:val="none" w:sz="0" w:space="0" w:color="auto"/>
      </w:divBdr>
    </w:div>
    <w:div w:id="2008972543">
      <w:bodyDiv w:val="1"/>
      <w:marLeft w:val="0"/>
      <w:marRight w:val="0"/>
      <w:marTop w:val="0"/>
      <w:marBottom w:val="0"/>
      <w:divBdr>
        <w:top w:val="none" w:sz="0" w:space="0" w:color="auto"/>
        <w:left w:val="none" w:sz="0" w:space="0" w:color="auto"/>
        <w:bottom w:val="none" w:sz="0" w:space="0" w:color="auto"/>
        <w:right w:val="none" w:sz="0" w:space="0" w:color="auto"/>
      </w:divBdr>
    </w:div>
    <w:div w:id="2010785765">
      <w:bodyDiv w:val="1"/>
      <w:marLeft w:val="0"/>
      <w:marRight w:val="0"/>
      <w:marTop w:val="0"/>
      <w:marBottom w:val="0"/>
      <w:divBdr>
        <w:top w:val="none" w:sz="0" w:space="0" w:color="auto"/>
        <w:left w:val="none" w:sz="0" w:space="0" w:color="auto"/>
        <w:bottom w:val="none" w:sz="0" w:space="0" w:color="auto"/>
        <w:right w:val="none" w:sz="0" w:space="0" w:color="auto"/>
      </w:divBdr>
    </w:div>
    <w:div w:id="2019379509">
      <w:bodyDiv w:val="1"/>
      <w:marLeft w:val="0"/>
      <w:marRight w:val="0"/>
      <w:marTop w:val="0"/>
      <w:marBottom w:val="0"/>
      <w:divBdr>
        <w:top w:val="none" w:sz="0" w:space="0" w:color="auto"/>
        <w:left w:val="none" w:sz="0" w:space="0" w:color="auto"/>
        <w:bottom w:val="none" w:sz="0" w:space="0" w:color="auto"/>
        <w:right w:val="none" w:sz="0" w:space="0" w:color="auto"/>
      </w:divBdr>
    </w:div>
    <w:div w:id="2027245629">
      <w:bodyDiv w:val="1"/>
      <w:marLeft w:val="0"/>
      <w:marRight w:val="0"/>
      <w:marTop w:val="0"/>
      <w:marBottom w:val="0"/>
      <w:divBdr>
        <w:top w:val="none" w:sz="0" w:space="0" w:color="auto"/>
        <w:left w:val="none" w:sz="0" w:space="0" w:color="auto"/>
        <w:bottom w:val="none" w:sz="0" w:space="0" w:color="auto"/>
        <w:right w:val="none" w:sz="0" w:space="0" w:color="auto"/>
      </w:divBdr>
    </w:div>
    <w:div w:id="2031489518">
      <w:bodyDiv w:val="1"/>
      <w:marLeft w:val="0"/>
      <w:marRight w:val="0"/>
      <w:marTop w:val="0"/>
      <w:marBottom w:val="0"/>
      <w:divBdr>
        <w:top w:val="none" w:sz="0" w:space="0" w:color="auto"/>
        <w:left w:val="none" w:sz="0" w:space="0" w:color="auto"/>
        <w:bottom w:val="none" w:sz="0" w:space="0" w:color="auto"/>
        <w:right w:val="none" w:sz="0" w:space="0" w:color="auto"/>
      </w:divBdr>
    </w:div>
    <w:div w:id="2039425145">
      <w:bodyDiv w:val="1"/>
      <w:marLeft w:val="0"/>
      <w:marRight w:val="0"/>
      <w:marTop w:val="0"/>
      <w:marBottom w:val="0"/>
      <w:divBdr>
        <w:top w:val="none" w:sz="0" w:space="0" w:color="auto"/>
        <w:left w:val="none" w:sz="0" w:space="0" w:color="auto"/>
        <w:bottom w:val="none" w:sz="0" w:space="0" w:color="auto"/>
        <w:right w:val="none" w:sz="0" w:space="0" w:color="auto"/>
      </w:divBdr>
    </w:div>
    <w:div w:id="2041010925">
      <w:bodyDiv w:val="1"/>
      <w:marLeft w:val="0"/>
      <w:marRight w:val="0"/>
      <w:marTop w:val="0"/>
      <w:marBottom w:val="0"/>
      <w:divBdr>
        <w:top w:val="none" w:sz="0" w:space="0" w:color="auto"/>
        <w:left w:val="none" w:sz="0" w:space="0" w:color="auto"/>
        <w:bottom w:val="none" w:sz="0" w:space="0" w:color="auto"/>
        <w:right w:val="none" w:sz="0" w:space="0" w:color="auto"/>
      </w:divBdr>
    </w:div>
    <w:div w:id="2055420506">
      <w:bodyDiv w:val="1"/>
      <w:marLeft w:val="0"/>
      <w:marRight w:val="0"/>
      <w:marTop w:val="0"/>
      <w:marBottom w:val="0"/>
      <w:divBdr>
        <w:top w:val="none" w:sz="0" w:space="0" w:color="auto"/>
        <w:left w:val="none" w:sz="0" w:space="0" w:color="auto"/>
        <w:bottom w:val="none" w:sz="0" w:space="0" w:color="auto"/>
        <w:right w:val="none" w:sz="0" w:space="0" w:color="auto"/>
      </w:divBdr>
    </w:div>
    <w:div w:id="2062091133">
      <w:bodyDiv w:val="1"/>
      <w:marLeft w:val="0"/>
      <w:marRight w:val="0"/>
      <w:marTop w:val="0"/>
      <w:marBottom w:val="0"/>
      <w:divBdr>
        <w:top w:val="none" w:sz="0" w:space="0" w:color="auto"/>
        <w:left w:val="none" w:sz="0" w:space="0" w:color="auto"/>
        <w:bottom w:val="none" w:sz="0" w:space="0" w:color="auto"/>
        <w:right w:val="none" w:sz="0" w:space="0" w:color="auto"/>
      </w:divBdr>
    </w:div>
    <w:div w:id="2106880851">
      <w:bodyDiv w:val="1"/>
      <w:marLeft w:val="0"/>
      <w:marRight w:val="0"/>
      <w:marTop w:val="0"/>
      <w:marBottom w:val="0"/>
      <w:divBdr>
        <w:top w:val="none" w:sz="0" w:space="0" w:color="auto"/>
        <w:left w:val="none" w:sz="0" w:space="0" w:color="auto"/>
        <w:bottom w:val="none" w:sz="0" w:space="0" w:color="auto"/>
        <w:right w:val="none" w:sz="0" w:space="0" w:color="auto"/>
      </w:divBdr>
    </w:div>
    <w:div w:id="2111587593">
      <w:bodyDiv w:val="1"/>
      <w:marLeft w:val="0"/>
      <w:marRight w:val="0"/>
      <w:marTop w:val="0"/>
      <w:marBottom w:val="0"/>
      <w:divBdr>
        <w:top w:val="none" w:sz="0" w:space="0" w:color="auto"/>
        <w:left w:val="none" w:sz="0" w:space="0" w:color="auto"/>
        <w:bottom w:val="none" w:sz="0" w:space="0" w:color="auto"/>
        <w:right w:val="none" w:sz="0" w:space="0" w:color="auto"/>
      </w:divBdr>
    </w:div>
    <w:div w:id="2112896790">
      <w:bodyDiv w:val="1"/>
      <w:marLeft w:val="0"/>
      <w:marRight w:val="0"/>
      <w:marTop w:val="0"/>
      <w:marBottom w:val="0"/>
      <w:divBdr>
        <w:top w:val="none" w:sz="0" w:space="0" w:color="auto"/>
        <w:left w:val="none" w:sz="0" w:space="0" w:color="auto"/>
        <w:bottom w:val="none" w:sz="0" w:space="0" w:color="auto"/>
        <w:right w:val="none" w:sz="0" w:space="0" w:color="auto"/>
      </w:divBdr>
    </w:div>
    <w:div w:id="2113473220">
      <w:bodyDiv w:val="1"/>
      <w:marLeft w:val="0"/>
      <w:marRight w:val="0"/>
      <w:marTop w:val="0"/>
      <w:marBottom w:val="0"/>
      <w:divBdr>
        <w:top w:val="none" w:sz="0" w:space="0" w:color="auto"/>
        <w:left w:val="none" w:sz="0" w:space="0" w:color="auto"/>
        <w:bottom w:val="none" w:sz="0" w:space="0" w:color="auto"/>
        <w:right w:val="none" w:sz="0" w:space="0" w:color="auto"/>
      </w:divBdr>
    </w:div>
    <w:div w:id="214037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stafaalfors@med.asu.edu.e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10.21608/ajgh.2025.394851.1085" TargetMode="External"/><Relationship Id="rId4" Type="http://schemas.openxmlformats.org/officeDocument/2006/relationships/settings" Target="settings.xml"/><Relationship Id="rId9" Type="http://schemas.openxmlformats.org/officeDocument/2006/relationships/hyperlink" Target="0009-0000-9578-813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7130C8-3284-40B0-BC31-CA41E42A637E}">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2A589-28EE-4B2F-8C68-ED7AE633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6582</Words>
  <Characters>39013</Characters>
  <Application>Microsoft Office Word</Application>
  <DocSecurity>0</DocSecurity>
  <Lines>1154</Lines>
  <Paragraphs>612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&lt;egyptian hak&gt;</Company>
  <LinksUpToDate>false</LinksUpToDate>
  <CharactersWithSpaces>44990</CharactersWithSpaces>
  <SharedDoc>false</SharedDoc>
  <HLinks>
    <vt:vector size="12" baseType="variant">
      <vt:variant>
        <vt:i4>4456475</vt:i4>
      </vt:variant>
      <vt:variant>
        <vt:i4>45</vt:i4>
      </vt:variant>
      <vt:variant>
        <vt:i4>0</vt:i4>
      </vt:variant>
      <vt:variant>
        <vt:i4>5</vt:i4>
      </vt:variant>
      <vt:variant>
        <vt:lpwstr>https://www.sciencedirect.com/topics/medicine-and-dentistry/spontaneous-remission</vt:lpwstr>
      </vt:variant>
      <vt:variant>
        <vt:lpwstr/>
      </vt:variant>
      <vt:variant>
        <vt:i4>1769506</vt:i4>
      </vt:variant>
      <vt:variant>
        <vt:i4>0</vt:i4>
      </vt:variant>
      <vt:variant>
        <vt:i4>0</vt:i4>
      </vt:variant>
      <vt:variant>
        <vt:i4>5</vt:i4>
      </vt:variant>
      <vt:variant>
        <vt:lpwstr>mailto:dr.n.badawy@gmail.com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Halfawy</dc:creator>
  <cp:lastModifiedBy>salem</cp:lastModifiedBy>
  <cp:revision>9</cp:revision>
  <cp:lastPrinted>2025-10-20T10:51:00Z</cp:lastPrinted>
  <dcterms:created xsi:type="dcterms:W3CDTF">2025-10-18T11:10:00Z</dcterms:created>
  <dcterms:modified xsi:type="dcterms:W3CDTF">2025-10-20T11:10:00Z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2c5754d9c80be42269d377eb1ede72a6cf9f1c06f5818a6fa3ea8eaad49ac036</vt:lpwstr>
  </property>
</Properties>
</file>