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0510" w14:textId="71C57DD5" w:rsidR="00892D1F" w:rsidRPr="00657648" w:rsidRDefault="00892D1F" w:rsidP="00657648">
      <w:pPr>
        <w:bidi w:val="0"/>
        <w:jc w:val="center"/>
        <w:rPr>
          <w:rFonts w:asciiTheme="majorBidi" w:hAnsiTheme="majorBidi" w:cstheme="majorBidi"/>
          <w:b/>
          <w:bCs/>
          <w:sz w:val="28"/>
          <w:szCs w:val="28"/>
          <w:rtl/>
          <w:lang w:bidi="ar-EG"/>
        </w:rPr>
      </w:pPr>
      <w:r w:rsidRPr="00657648">
        <w:rPr>
          <w:rFonts w:asciiTheme="majorBidi" w:hAnsiTheme="majorBidi" w:cstheme="majorBidi"/>
          <w:b/>
          <w:bCs/>
          <w:sz w:val="28"/>
          <w:szCs w:val="28"/>
          <w:lang w:bidi="ar-EG"/>
        </w:rPr>
        <w:t xml:space="preserve">Fibrofast and Fibrosis-4 versus Fibroscan as Indicators of Hepatic Fibrosis in </w:t>
      </w:r>
      <w:r w:rsidR="00657648" w:rsidRPr="00657648">
        <w:rPr>
          <w:rFonts w:asciiTheme="majorBidi" w:hAnsiTheme="majorBidi" w:cstheme="majorBidi"/>
          <w:b/>
          <w:bCs/>
          <w:sz w:val="28"/>
          <w:szCs w:val="28"/>
          <w:lang w:bidi="ar-EG"/>
        </w:rPr>
        <w:t>Non-Alc</w:t>
      </w:r>
      <w:r w:rsidR="00657648">
        <w:rPr>
          <w:rFonts w:asciiTheme="majorBidi" w:hAnsiTheme="majorBidi" w:cstheme="majorBidi"/>
          <w:b/>
          <w:bCs/>
          <w:sz w:val="28"/>
          <w:szCs w:val="28"/>
          <w:lang w:bidi="ar-EG"/>
        </w:rPr>
        <w:t>o</w:t>
      </w:r>
      <w:r w:rsidR="00657648" w:rsidRPr="00657648">
        <w:rPr>
          <w:rFonts w:asciiTheme="majorBidi" w:hAnsiTheme="majorBidi" w:cstheme="majorBidi"/>
          <w:b/>
          <w:bCs/>
          <w:sz w:val="28"/>
          <w:szCs w:val="28"/>
          <w:lang w:bidi="ar-EG"/>
        </w:rPr>
        <w:t>holic</w:t>
      </w:r>
      <w:r w:rsidRPr="00657648">
        <w:rPr>
          <w:rFonts w:asciiTheme="majorBidi" w:hAnsiTheme="majorBidi" w:cstheme="majorBidi"/>
          <w:b/>
          <w:bCs/>
          <w:sz w:val="28"/>
          <w:szCs w:val="28"/>
          <w:lang w:bidi="ar-EG"/>
        </w:rPr>
        <w:t xml:space="preserve"> Fatty Liver Disease Patients: A Cross-Sectional Study</w:t>
      </w:r>
    </w:p>
    <w:p w14:paraId="4A92340F" w14:textId="2DCFDCF2" w:rsidR="00E14B69" w:rsidRPr="005317CB" w:rsidRDefault="00E14B69" w:rsidP="00E14B69">
      <w:pPr>
        <w:bidi w:val="0"/>
        <w:spacing w:line="360" w:lineRule="auto"/>
        <w:jc w:val="both"/>
        <w:rPr>
          <w:rFonts w:ascii="Times New Roman" w:eastAsia="Times New Roman" w:hAnsi="Times New Roman" w:cs="Times New Roman"/>
          <w:sz w:val="24"/>
          <w:szCs w:val="24"/>
        </w:rPr>
      </w:pPr>
      <w:r w:rsidRPr="005317CB">
        <w:rPr>
          <w:rFonts w:asciiTheme="majorBidi" w:hAnsiTheme="majorBidi" w:cstheme="majorBidi"/>
          <w:sz w:val="24"/>
          <w:szCs w:val="24"/>
          <w:lang w:bidi="ar-EG"/>
        </w:rPr>
        <w:t xml:space="preserve">Rehab </w:t>
      </w:r>
      <w:bookmarkStart w:id="0" w:name="_Hlk113887131"/>
      <w:r w:rsidRPr="005317CB">
        <w:rPr>
          <w:rFonts w:asciiTheme="majorBidi" w:hAnsiTheme="majorBidi" w:cstheme="majorBidi"/>
          <w:sz w:val="24"/>
          <w:szCs w:val="24"/>
          <w:lang w:bidi="ar-EG"/>
        </w:rPr>
        <w:t>Badawi</w:t>
      </w:r>
      <w:bookmarkEnd w:id="0"/>
      <w:r w:rsidRPr="005317CB">
        <w:rPr>
          <w:rFonts w:asciiTheme="majorBidi" w:hAnsiTheme="majorBidi" w:cstheme="majorBidi"/>
          <w:sz w:val="24"/>
          <w:szCs w:val="24"/>
          <w:vertAlign w:val="superscript"/>
          <w:lang w:bidi="ar-EG"/>
        </w:rPr>
        <w:t>1</w:t>
      </w:r>
      <w:r w:rsidRPr="005317CB">
        <w:rPr>
          <w:rFonts w:asciiTheme="majorBidi" w:hAnsiTheme="majorBidi" w:cstheme="majorBidi"/>
          <w:sz w:val="24"/>
          <w:szCs w:val="24"/>
          <w:lang w:bidi="ar-EG"/>
        </w:rPr>
        <w:t>, Boshra El-Sayed Hussein</w:t>
      </w:r>
      <w:r w:rsidRPr="005317CB">
        <w:rPr>
          <w:rFonts w:asciiTheme="majorBidi" w:hAnsiTheme="majorBidi" w:cstheme="majorBidi"/>
          <w:sz w:val="24"/>
          <w:szCs w:val="24"/>
          <w:vertAlign w:val="superscript"/>
          <w:lang w:bidi="ar-EG"/>
        </w:rPr>
        <w:t>1</w:t>
      </w:r>
      <w:r w:rsidRPr="005317CB">
        <w:rPr>
          <w:rFonts w:asciiTheme="majorBidi" w:hAnsiTheme="majorBidi" w:cstheme="majorBidi"/>
          <w:sz w:val="24"/>
          <w:szCs w:val="24"/>
          <w:lang w:bidi="ar-EG"/>
        </w:rPr>
        <w:t>,</w:t>
      </w:r>
      <w:r w:rsidRPr="005317CB">
        <w:rPr>
          <w:rFonts w:ascii="Times New Roman" w:eastAsia="Times New Roman" w:hAnsi="Times New Roman" w:cs="Times New Roman"/>
          <w:sz w:val="24"/>
          <w:szCs w:val="24"/>
        </w:rPr>
        <w:t xml:space="preserve"> Mona</w:t>
      </w:r>
      <w:r w:rsidRPr="005317CB">
        <w:rPr>
          <w:rFonts w:ascii="Times New Roman" w:hAnsi="Times New Roman" w:cs="Times New Roman"/>
          <w:sz w:val="24"/>
          <w:szCs w:val="24"/>
        </w:rPr>
        <w:t xml:space="preserve"> </w:t>
      </w:r>
      <w:r w:rsidRPr="005317CB">
        <w:rPr>
          <w:rFonts w:ascii="Times New Roman" w:eastAsia="Times New Roman" w:hAnsi="Times New Roman" w:cs="Times New Roman"/>
          <w:sz w:val="24"/>
          <w:szCs w:val="24"/>
        </w:rPr>
        <w:t>Mohamed Watany</w:t>
      </w:r>
      <w:r w:rsidRPr="005317CB">
        <w:rPr>
          <w:rFonts w:ascii="Times New Roman" w:eastAsia="Times New Roman" w:hAnsi="Times New Roman" w:cs="Times New Roman"/>
          <w:sz w:val="24"/>
          <w:szCs w:val="24"/>
          <w:vertAlign w:val="superscript"/>
        </w:rPr>
        <w:t>2</w:t>
      </w:r>
      <w:r w:rsidRPr="005317CB">
        <w:rPr>
          <w:rFonts w:ascii="Times New Roman" w:eastAsia="Times New Roman" w:hAnsi="Times New Roman" w:cs="Times New Roman"/>
          <w:sz w:val="24"/>
          <w:szCs w:val="24"/>
        </w:rPr>
        <w:t xml:space="preserve"> Hala Moustafa Elsabagh</w:t>
      </w:r>
      <w:r w:rsidRPr="005317CB">
        <w:rPr>
          <w:rFonts w:ascii="Times New Roman" w:eastAsia="Times New Roman" w:hAnsi="Times New Roman" w:cs="Times New Roman"/>
          <w:sz w:val="24"/>
          <w:szCs w:val="24"/>
          <w:vertAlign w:val="superscript"/>
        </w:rPr>
        <w:t>3-4</w:t>
      </w:r>
      <w:r w:rsidRPr="005317CB">
        <w:rPr>
          <w:rFonts w:ascii="Times New Roman" w:eastAsia="Times New Roman" w:hAnsi="Times New Roman" w:cs="Times New Roman"/>
          <w:sz w:val="24"/>
          <w:szCs w:val="24"/>
        </w:rPr>
        <w:t>,</w:t>
      </w:r>
      <w:r w:rsidRPr="005317CB">
        <w:rPr>
          <w:rFonts w:ascii="Times New Roman" w:eastAsia="Times New Roman" w:hAnsi="Times New Roman" w:cs="Times New Roman"/>
          <w:sz w:val="24"/>
          <w:szCs w:val="24"/>
          <w:vertAlign w:val="superscript"/>
        </w:rPr>
        <w:t xml:space="preserve"> </w:t>
      </w:r>
      <w:r w:rsidRPr="005317CB">
        <w:rPr>
          <w:rFonts w:ascii="Times New Roman" w:eastAsia="Times New Roman" w:hAnsi="Times New Roman" w:cs="Times New Roman"/>
          <w:sz w:val="24"/>
          <w:szCs w:val="24"/>
        </w:rPr>
        <w:t>and Walaa Elkhalawany</w:t>
      </w:r>
      <w:r w:rsidRPr="005317CB">
        <w:rPr>
          <w:rFonts w:ascii="Times New Roman" w:eastAsia="Times New Roman" w:hAnsi="Times New Roman" w:cs="Times New Roman"/>
          <w:sz w:val="24"/>
          <w:szCs w:val="24"/>
          <w:vertAlign w:val="superscript"/>
        </w:rPr>
        <w:t>1</w:t>
      </w:r>
    </w:p>
    <w:p w14:paraId="65E3F305" w14:textId="77777777" w:rsidR="00E14B69" w:rsidRPr="00D411CA" w:rsidRDefault="00E14B69" w:rsidP="00E14B69">
      <w:pPr>
        <w:numPr>
          <w:ilvl w:val="0"/>
          <w:numId w:val="6"/>
        </w:numPr>
        <w:bidi w:val="0"/>
        <w:spacing w:line="360" w:lineRule="auto"/>
        <w:contextualSpacing/>
        <w:jc w:val="both"/>
        <w:rPr>
          <w:rFonts w:asciiTheme="majorBidi" w:eastAsia="Times New Roman" w:hAnsiTheme="majorBidi" w:cstheme="majorBidi"/>
          <w:sz w:val="24"/>
          <w:szCs w:val="24"/>
          <w:vertAlign w:val="superscript"/>
        </w:rPr>
      </w:pPr>
      <w:r w:rsidRPr="00D411CA">
        <w:rPr>
          <w:rFonts w:asciiTheme="majorBidi" w:eastAsia="Times New Roman" w:hAnsiTheme="majorBidi" w:cstheme="majorBidi"/>
          <w:sz w:val="24"/>
          <w:szCs w:val="24"/>
          <w:vertAlign w:val="superscript"/>
        </w:rPr>
        <w:t>Tanta University Hospital, Tropical Medicine and Infectious Diseases Department, Faculty of Medicine, El-Geesh St., Tanta, Egypt</w:t>
      </w:r>
    </w:p>
    <w:p w14:paraId="74EF0345" w14:textId="77777777" w:rsidR="00E14B69" w:rsidRPr="00D411CA" w:rsidRDefault="00E14B69" w:rsidP="00E14B69">
      <w:pPr>
        <w:numPr>
          <w:ilvl w:val="0"/>
          <w:numId w:val="6"/>
        </w:numPr>
        <w:bidi w:val="0"/>
        <w:spacing w:line="360" w:lineRule="auto"/>
        <w:contextualSpacing/>
        <w:jc w:val="both"/>
        <w:rPr>
          <w:rFonts w:asciiTheme="majorBidi" w:eastAsia="Times New Roman" w:hAnsiTheme="majorBidi" w:cstheme="majorBidi"/>
          <w:sz w:val="24"/>
          <w:szCs w:val="24"/>
          <w:vertAlign w:val="superscript"/>
        </w:rPr>
      </w:pPr>
      <w:r w:rsidRPr="00D411CA">
        <w:rPr>
          <w:rFonts w:asciiTheme="majorBidi" w:eastAsia="Times New Roman" w:hAnsiTheme="majorBidi" w:cstheme="majorBidi"/>
          <w:sz w:val="24"/>
          <w:szCs w:val="24"/>
          <w:vertAlign w:val="superscript"/>
        </w:rPr>
        <w:t>Clinical Pathology Department, Faculty of Medicine, Tanta University Hospital, El-Geesh St., Tanta, Egypt</w:t>
      </w:r>
    </w:p>
    <w:p w14:paraId="105D62F5" w14:textId="77777777" w:rsidR="00E14B69" w:rsidRPr="00D411CA" w:rsidRDefault="00E14B69" w:rsidP="00E14B69">
      <w:pPr>
        <w:numPr>
          <w:ilvl w:val="0"/>
          <w:numId w:val="6"/>
        </w:numPr>
        <w:bidi w:val="0"/>
        <w:spacing w:line="360" w:lineRule="auto"/>
        <w:contextualSpacing/>
        <w:jc w:val="both"/>
        <w:rPr>
          <w:rFonts w:asciiTheme="majorBidi" w:eastAsia="Times New Roman" w:hAnsiTheme="majorBidi" w:cstheme="majorBidi"/>
          <w:sz w:val="24"/>
          <w:szCs w:val="24"/>
          <w:vertAlign w:val="superscript"/>
        </w:rPr>
      </w:pPr>
      <w:r w:rsidRPr="00D411CA">
        <w:rPr>
          <w:rFonts w:asciiTheme="majorBidi" w:eastAsia="Times New Roman" w:hAnsiTheme="majorBidi" w:cstheme="majorBidi"/>
          <w:sz w:val="24"/>
          <w:szCs w:val="24"/>
          <w:vertAlign w:val="superscript"/>
        </w:rPr>
        <w:t xml:space="preserve"> Basic Medical Science Department, Faculty of Dentistry, Majmaah University, Majmaah, 11952, Saudi Arabia</w:t>
      </w:r>
    </w:p>
    <w:p w14:paraId="69AA1244" w14:textId="3B36BAC3" w:rsidR="00E14B69" w:rsidRPr="00D411CA" w:rsidRDefault="00E14B69" w:rsidP="00E14B69">
      <w:pPr>
        <w:numPr>
          <w:ilvl w:val="0"/>
          <w:numId w:val="6"/>
        </w:numPr>
        <w:bidi w:val="0"/>
        <w:spacing w:line="360" w:lineRule="auto"/>
        <w:contextualSpacing/>
        <w:jc w:val="both"/>
        <w:rPr>
          <w:rFonts w:asciiTheme="majorBidi" w:eastAsia="Times New Roman" w:hAnsiTheme="majorBidi" w:cstheme="majorBidi"/>
          <w:sz w:val="24"/>
          <w:szCs w:val="24"/>
          <w:vertAlign w:val="superscript"/>
        </w:rPr>
      </w:pPr>
      <w:r w:rsidRPr="00D411CA">
        <w:rPr>
          <w:rFonts w:asciiTheme="majorBidi" w:eastAsia="Times New Roman" w:hAnsiTheme="majorBidi" w:cstheme="majorBidi"/>
          <w:sz w:val="24"/>
          <w:szCs w:val="24"/>
          <w:vertAlign w:val="superscript"/>
        </w:rPr>
        <w:t>Public Health and Community Department, Faculty of Medicine, Tanta University, El-Geesh St., Tanta, Egypt</w:t>
      </w:r>
    </w:p>
    <w:p w14:paraId="3C8B9C8F" w14:textId="77777777" w:rsidR="00E14B69" w:rsidRPr="005317CB" w:rsidRDefault="00E14B69" w:rsidP="00E14B69">
      <w:pPr>
        <w:bidi w:val="0"/>
        <w:jc w:val="both"/>
        <w:rPr>
          <w:b/>
          <w:bCs/>
        </w:rPr>
      </w:pPr>
      <w:r w:rsidRPr="005317CB">
        <w:rPr>
          <w:b/>
          <w:bCs/>
        </w:rPr>
        <w:t>Corresponding Author</w:t>
      </w:r>
    </w:p>
    <w:p w14:paraId="5301FC54" w14:textId="5250AC88" w:rsidR="00E14B69" w:rsidRDefault="00E14B69" w:rsidP="00E14B69">
      <w:pPr>
        <w:bidi w:val="0"/>
        <w:jc w:val="both"/>
      </w:pPr>
      <w:r>
        <w:t>Rehab Badawi, MD</w:t>
      </w:r>
      <w:r w:rsidR="00E63DBF">
        <w:t>.</w:t>
      </w:r>
    </w:p>
    <w:p w14:paraId="0E3A0F51" w14:textId="0999B796" w:rsidR="00E14B69" w:rsidRDefault="00E14B69" w:rsidP="00E63DBF">
      <w:pPr>
        <w:bidi w:val="0"/>
        <w:jc w:val="both"/>
      </w:pPr>
      <w:r>
        <w:t xml:space="preserve">Department of Tropical Medicine and Infectious Diseases, Faculty of Medicine, Tanta </w:t>
      </w:r>
      <w:r w:rsidR="00E63DBF">
        <w:t>Universit</w:t>
      </w:r>
      <w:r w:rsidR="00256CE5">
        <w:t>y</w:t>
      </w:r>
      <w:r>
        <w:rPr>
          <w:rFonts w:cs="Arial"/>
          <w:rtl/>
        </w:rPr>
        <w:t xml:space="preserve"> </w:t>
      </w:r>
    </w:p>
    <w:p w14:paraId="646A4002" w14:textId="2345E1B3" w:rsidR="00E14B69" w:rsidRDefault="00E14B69" w:rsidP="00E14B69">
      <w:pPr>
        <w:bidi w:val="0"/>
        <w:jc w:val="both"/>
      </w:pPr>
      <w:r>
        <w:t>El-Giash Street 31527, Tanta, Egypt</w:t>
      </w:r>
      <w:r w:rsidR="00E63DBF">
        <w:t>.</w:t>
      </w:r>
    </w:p>
    <w:p w14:paraId="5B2685A9" w14:textId="7CB0BCBF" w:rsidR="00E14B69" w:rsidRDefault="00E14B69" w:rsidP="00E14B69">
      <w:pPr>
        <w:bidi w:val="0"/>
        <w:jc w:val="both"/>
      </w:pPr>
      <w:r>
        <w:t>Tel: +2-01014860506</w:t>
      </w:r>
      <w:r w:rsidR="00E63DBF">
        <w:t>.</w:t>
      </w:r>
    </w:p>
    <w:p w14:paraId="07C83311" w14:textId="0E9F7579" w:rsidR="005317CB" w:rsidRDefault="00237341" w:rsidP="005317CB">
      <w:pPr>
        <w:bidi w:val="0"/>
        <w:jc w:val="both"/>
        <w:rPr>
          <w:rStyle w:val="Hyperlink"/>
        </w:rPr>
      </w:pPr>
      <w:r>
        <w:t>Email</w:t>
      </w:r>
      <w:r w:rsidR="00E14B69">
        <w:t xml:space="preserve">: </w:t>
      </w:r>
      <w:hyperlink r:id="rId8" w:history="1">
        <w:r w:rsidR="005317CB" w:rsidRPr="00280878">
          <w:rPr>
            <w:rStyle w:val="Hyperlink"/>
          </w:rPr>
          <w:t>dr.rb.badawi@gmail.com</w:t>
        </w:r>
      </w:hyperlink>
      <w:r w:rsidR="005317CB">
        <w:t xml:space="preserve">, </w:t>
      </w:r>
      <w:hyperlink r:id="rId9" w:history="1">
        <w:r w:rsidR="005317CB" w:rsidRPr="00280878">
          <w:rPr>
            <w:rStyle w:val="Hyperlink"/>
          </w:rPr>
          <w:t>rehab.elsheshtawy@med.tanta.edu.eg</w:t>
        </w:r>
      </w:hyperlink>
      <w:r w:rsidR="0029474D">
        <w:rPr>
          <w:rStyle w:val="Hyperlink"/>
        </w:rPr>
        <w:t>.</w:t>
      </w:r>
    </w:p>
    <w:p w14:paraId="692209E9" w14:textId="4BA17306" w:rsidR="0029474D" w:rsidRPr="0029474D" w:rsidRDefault="0029474D" w:rsidP="00ED61E4">
      <w:pPr>
        <w:bidi w:val="0"/>
        <w:spacing w:after="0" w:line="360" w:lineRule="auto"/>
        <w:jc w:val="both"/>
        <w:rPr>
          <w:rFonts w:ascii="Times New Roman" w:eastAsia="Calibri" w:hAnsi="Times New Roman" w:cs="Times New Roman"/>
          <w:b/>
          <w:bCs/>
          <w:sz w:val="24"/>
          <w:szCs w:val="24"/>
        </w:rPr>
      </w:pPr>
      <w:r w:rsidRPr="0029474D">
        <w:rPr>
          <w:rFonts w:ascii="Times New Roman" w:eastAsia="Calibri" w:hAnsi="Times New Roman" w:cs="Times New Roman"/>
          <w:b/>
          <w:bCs/>
          <w:sz w:val="24"/>
          <w:szCs w:val="24"/>
        </w:rPr>
        <w:t>DOI:</w:t>
      </w:r>
      <w:hyperlink r:id="rId10" w:history="1">
        <w:r w:rsidR="00EC4A07" w:rsidRPr="00EC4A07">
          <w:rPr>
            <w:rStyle w:val="Hyperlink"/>
            <w:rFonts w:ascii="Times New Roman" w:eastAsia="Calibri" w:hAnsi="Times New Roman" w:cs="Times New Roman"/>
            <w:b/>
            <w:bCs/>
            <w:sz w:val="24"/>
            <w:szCs w:val="24"/>
          </w:rPr>
          <w:t>10.21608/AJGH.2022.153872.1010</w:t>
        </w:r>
      </w:hyperlink>
      <w:r w:rsidRPr="0029474D">
        <w:rPr>
          <w:rFonts w:ascii="Times New Roman" w:eastAsia="Calibri" w:hAnsi="Times New Roman" w:cs="Times New Roman"/>
          <w:b/>
          <w:bCs/>
          <w:sz w:val="24"/>
          <w:szCs w:val="24"/>
        </w:rPr>
        <w:t xml:space="preserve"> </w:t>
      </w:r>
    </w:p>
    <w:p w14:paraId="59E313E6" w14:textId="6E7DA987" w:rsidR="0029474D" w:rsidRPr="0029474D" w:rsidRDefault="0029474D" w:rsidP="0029474D">
      <w:pPr>
        <w:bidi w:val="0"/>
        <w:spacing w:after="0" w:line="360" w:lineRule="auto"/>
        <w:jc w:val="both"/>
        <w:rPr>
          <w:rFonts w:ascii="Times New Roman" w:eastAsia="Calibri" w:hAnsi="Times New Roman" w:cs="Times New Roman"/>
          <w:sz w:val="24"/>
          <w:szCs w:val="24"/>
          <w:lang w:val="en-GB"/>
        </w:rPr>
      </w:pPr>
      <w:r w:rsidRPr="0029474D">
        <w:rPr>
          <w:rFonts w:ascii="Times New Roman" w:eastAsia="Calibri" w:hAnsi="Times New Roman" w:cs="Times New Roman"/>
          <w:b/>
          <w:bCs/>
          <w:sz w:val="24"/>
          <w:szCs w:val="24"/>
          <w:lang w:val="en-GB"/>
        </w:rPr>
        <w:t>Type of manuscript:</w:t>
      </w:r>
      <w:r w:rsidRPr="0029474D">
        <w:rPr>
          <w:rFonts w:ascii="Times New Roman" w:eastAsia="Calibri" w:hAnsi="Times New Roman" w:cs="Times New Roman"/>
          <w:sz w:val="24"/>
          <w:szCs w:val="24"/>
          <w:lang w:val="en-GB"/>
        </w:rPr>
        <w:t xml:space="preserve"> </w:t>
      </w:r>
      <w:r w:rsidR="00ED61E4">
        <w:rPr>
          <w:rFonts w:ascii="Times New Roman" w:eastAsia="Calibri" w:hAnsi="Times New Roman" w:cs="Times New Roman"/>
          <w:sz w:val="24"/>
          <w:szCs w:val="24"/>
          <w:lang w:val="en-GB"/>
        </w:rPr>
        <w:t>original research</w:t>
      </w:r>
    </w:p>
    <w:p w14:paraId="777F39BD" w14:textId="77777777" w:rsidR="0029474D" w:rsidRPr="0029474D" w:rsidRDefault="0029474D" w:rsidP="0029474D">
      <w:pPr>
        <w:bidi w:val="0"/>
        <w:spacing w:after="0" w:line="360" w:lineRule="auto"/>
        <w:jc w:val="both"/>
        <w:rPr>
          <w:rFonts w:ascii="Times New Roman" w:eastAsia="Calibri" w:hAnsi="Times New Roman" w:cs="Times New Roman"/>
          <w:sz w:val="24"/>
          <w:szCs w:val="24"/>
        </w:rPr>
      </w:pPr>
      <w:r w:rsidRPr="0029474D">
        <w:rPr>
          <w:rFonts w:ascii="Times New Roman" w:eastAsia="Calibri" w:hAnsi="Times New Roman" w:cs="Times New Roman"/>
          <w:b/>
          <w:bCs/>
          <w:sz w:val="24"/>
          <w:szCs w:val="24"/>
        </w:rPr>
        <w:t xml:space="preserve">Conflict of interest: </w:t>
      </w:r>
      <w:r w:rsidRPr="0029474D">
        <w:rPr>
          <w:rFonts w:ascii="Times New Roman" w:eastAsia="Calibri" w:hAnsi="Times New Roman" w:cs="Times New Roman"/>
          <w:sz w:val="24"/>
          <w:szCs w:val="24"/>
        </w:rPr>
        <w:t>N / A</w:t>
      </w:r>
    </w:p>
    <w:p w14:paraId="66D70A09" w14:textId="77777777" w:rsidR="0029474D" w:rsidRPr="0029474D" w:rsidRDefault="0029474D" w:rsidP="0029474D">
      <w:pPr>
        <w:bidi w:val="0"/>
        <w:spacing w:after="0" w:line="360" w:lineRule="auto"/>
        <w:jc w:val="both"/>
        <w:rPr>
          <w:rFonts w:ascii="Times New Roman" w:eastAsia="Calibri" w:hAnsi="Times New Roman" w:cs="Times New Roman"/>
          <w:sz w:val="24"/>
          <w:szCs w:val="24"/>
        </w:rPr>
      </w:pPr>
      <w:r w:rsidRPr="0029474D">
        <w:rPr>
          <w:rFonts w:ascii="Times New Roman" w:eastAsia="Calibri" w:hAnsi="Times New Roman" w:cs="Times New Roman"/>
          <w:b/>
          <w:bCs/>
          <w:sz w:val="24"/>
          <w:szCs w:val="24"/>
        </w:rPr>
        <w:t>Funding source</w:t>
      </w:r>
      <w:r w:rsidRPr="0029474D">
        <w:rPr>
          <w:rFonts w:ascii="Times New Roman" w:eastAsia="Calibri" w:hAnsi="Times New Roman" w:cs="Times New Roman"/>
          <w:sz w:val="24"/>
          <w:szCs w:val="24"/>
        </w:rPr>
        <w:t>: This research received no specific grant from any funding agency in the public, commercial, or not-for-profit sectors.</w:t>
      </w:r>
    </w:p>
    <w:p w14:paraId="62A8D734" w14:textId="5F1BA11E" w:rsidR="0029474D" w:rsidRPr="0029474D" w:rsidRDefault="0029474D" w:rsidP="0029474D">
      <w:pPr>
        <w:bidi w:val="0"/>
        <w:spacing w:after="0" w:line="360" w:lineRule="auto"/>
        <w:jc w:val="both"/>
        <w:rPr>
          <w:rFonts w:ascii="Times New Roman" w:eastAsia="Calibri" w:hAnsi="Times New Roman" w:cs="Times New Roman"/>
          <w:sz w:val="24"/>
          <w:szCs w:val="24"/>
        </w:rPr>
      </w:pPr>
      <w:r w:rsidRPr="0029474D">
        <w:rPr>
          <w:rFonts w:ascii="Times New Roman" w:eastAsia="Calibri" w:hAnsi="Times New Roman" w:cs="Times New Roman"/>
          <w:sz w:val="24"/>
          <w:szCs w:val="24"/>
        </w:rPr>
        <w:t xml:space="preserve">Date of submission: 2 </w:t>
      </w:r>
      <w:r w:rsidR="00EC4A07">
        <w:rPr>
          <w:rFonts w:ascii="Times New Roman" w:eastAsia="Calibri" w:hAnsi="Times New Roman" w:cs="Times New Roman"/>
          <w:sz w:val="24"/>
          <w:szCs w:val="24"/>
        </w:rPr>
        <w:t>August</w:t>
      </w:r>
      <w:r w:rsidRPr="0029474D">
        <w:rPr>
          <w:rFonts w:ascii="Times New Roman" w:eastAsia="Calibri" w:hAnsi="Times New Roman" w:cs="Times New Roman"/>
          <w:sz w:val="24"/>
          <w:szCs w:val="24"/>
        </w:rPr>
        <w:t xml:space="preserve"> 202</w:t>
      </w:r>
      <w:r w:rsidR="00EC4A07">
        <w:rPr>
          <w:rFonts w:ascii="Times New Roman" w:eastAsia="Calibri" w:hAnsi="Times New Roman" w:cs="Times New Roman"/>
          <w:sz w:val="24"/>
          <w:szCs w:val="24"/>
        </w:rPr>
        <w:t>2</w:t>
      </w:r>
      <w:r w:rsidRPr="0029474D">
        <w:rPr>
          <w:rFonts w:ascii="Times New Roman" w:eastAsia="Calibri" w:hAnsi="Times New Roman" w:cs="Times New Roman"/>
          <w:sz w:val="24"/>
          <w:szCs w:val="24"/>
        </w:rPr>
        <w:t>.</w:t>
      </w:r>
    </w:p>
    <w:p w14:paraId="0254E13A" w14:textId="7D67BAB2" w:rsidR="0029474D" w:rsidRPr="0029474D" w:rsidRDefault="0029474D" w:rsidP="0029474D">
      <w:pPr>
        <w:bidi w:val="0"/>
        <w:spacing w:after="0" w:line="360" w:lineRule="auto"/>
        <w:jc w:val="both"/>
        <w:rPr>
          <w:rFonts w:ascii="Times New Roman" w:eastAsia="Calibri" w:hAnsi="Times New Roman" w:cs="Times New Roman"/>
          <w:sz w:val="24"/>
          <w:szCs w:val="24"/>
        </w:rPr>
      </w:pPr>
      <w:r w:rsidRPr="0029474D">
        <w:rPr>
          <w:rFonts w:ascii="Times New Roman" w:eastAsia="Calibri" w:hAnsi="Times New Roman" w:cs="Times New Roman"/>
          <w:sz w:val="24"/>
          <w:szCs w:val="24"/>
        </w:rPr>
        <w:t xml:space="preserve">Revised: </w:t>
      </w:r>
      <w:bookmarkStart w:id="1" w:name="_Hlk93928348"/>
      <w:bookmarkStart w:id="2" w:name="_Hlk113893122"/>
      <w:r w:rsidR="00EC4A07">
        <w:rPr>
          <w:rFonts w:ascii="Times New Roman" w:eastAsia="Calibri" w:hAnsi="Times New Roman" w:cs="Times New Roman"/>
          <w:sz w:val="24"/>
          <w:szCs w:val="24"/>
        </w:rPr>
        <w:t>10</w:t>
      </w:r>
      <w:r w:rsidRPr="0029474D">
        <w:rPr>
          <w:rFonts w:ascii="Times New Roman" w:eastAsia="Calibri" w:hAnsi="Times New Roman" w:cs="Times New Roman"/>
          <w:sz w:val="24"/>
          <w:szCs w:val="24"/>
        </w:rPr>
        <w:t xml:space="preserve"> </w:t>
      </w:r>
      <w:r w:rsidR="00EC4A07">
        <w:rPr>
          <w:rFonts w:ascii="Times New Roman" w:eastAsia="Calibri" w:hAnsi="Times New Roman" w:cs="Times New Roman"/>
          <w:sz w:val="24"/>
          <w:szCs w:val="24"/>
        </w:rPr>
        <w:t>September</w:t>
      </w:r>
      <w:r w:rsidRPr="0029474D">
        <w:rPr>
          <w:rFonts w:ascii="Times New Roman" w:eastAsia="Calibri" w:hAnsi="Times New Roman" w:cs="Times New Roman"/>
          <w:sz w:val="24"/>
          <w:szCs w:val="24"/>
        </w:rPr>
        <w:t xml:space="preserve"> 2022</w:t>
      </w:r>
      <w:bookmarkEnd w:id="2"/>
      <w:r w:rsidRPr="0029474D">
        <w:rPr>
          <w:rFonts w:ascii="Times New Roman" w:eastAsia="Calibri" w:hAnsi="Times New Roman" w:cs="Times New Roman"/>
          <w:sz w:val="24"/>
          <w:szCs w:val="24"/>
        </w:rPr>
        <w:t>.</w:t>
      </w:r>
    </w:p>
    <w:bookmarkEnd w:id="1"/>
    <w:p w14:paraId="0D5120CD" w14:textId="4D7DB8B1" w:rsidR="0029474D" w:rsidRPr="0029474D" w:rsidRDefault="0029474D" w:rsidP="0029474D">
      <w:pPr>
        <w:bidi w:val="0"/>
        <w:spacing w:after="0" w:line="360" w:lineRule="auto"/>
        <w:jc w:val="both"/>
        <w:rPr>
          <w:rFonts w:ascii="Times New Roman" w:eastAsia="Calibri" w:hAnsi="Times New Roman" w:cs="Times New Roman"/>
          <w:sz w:val="24"/>
          <w:szCs w:val="24"/>
        </w:rPr>
      </w:pPr>
      <w:r w:rsidRPr="0029474D">
        <w:rPr>
          <w:rFonts w:ascii="Times New Roman" w:eastAsia="Calibri" w:hAnsi="Times New Roman" w:cs="Times New Roman"/>
          <w:sz w:val="24"/>
          <w:szCs w:val="24"/>
        </w:rPr>
        <w:t xml:space="preserve">Accepted: </w:t>
      </w:r>
      <w:bookmarkStart w:id="3" w:name="_Hlk113893143"/>
      <w:r w:rsidR="00EC4A07">
        <w:rPr>
          <w:rFonts w:ascii="Times New Roman" w:eastAsia="Calibri" w:hAnsi="Times New Roman" w:cs="Times New Roman"/>
          <w:sz w:val="24"/>
          <w:szCs w:val="24"/>
        </w:rPr>
        <w:t>1</w:t>
      </w:r>
      <w:r w:rsidR="00EC4A07">
        <w:rPr>
          <w:rFonts w:ascii="Times New Roman" w:eastAsia="Calibri" w:hAnsi="Times New Roman" w:cs="Times New Roman"/>
          <w:sz w:val="24"/>
          <w:szCs w:val="24"/>
        </w:rPr>
        <w:t>2</w:t>
      </w:r>
      <w:r w:rsidR="00EC4A07" w:rsidRPr="0029474D">
        <w:rPr>
          <w:rFonts w:ascii="Times New Roman" w:eastAsia="Calibri" w:hAnsi="Times New Roman" w:cs="Times New Roman"/>
          <w:sz w:val="24"/>
          <w:szCs w:val="24"/>
        </w:rPr>
        <w:t xml:space="preserve"> </w:t>
      </w:r>
      <w:r w:rsidR="00EC4A07">
        <w:rPr>
          <w:rFonts w:ascii="Times New Roman" w:eastAsia="Calibri" w:hAnsi="Times New Roman" w:cs="Times New Roman"/>
          <w:sz w:val="24"/>
          <w:szCs w:val="24"/>
        </w:rPr>
        <w:t>September</w:t>
      </w:r>
      <w:r w:rsidR="00EC4A07" w:rsidRPr="0029474D">
        <w:rPr>
          <w:rFonts w:ascii="Times New Roman" w:eastAsia="Calibri" w:hAnsi="Times New Roman" w:cs="Times New Roman"/>
          <w:sz w:val="24"/>
          <w:szCs w:val="24"/>
        </w:rPr>
        <w:t xml:space="preserve"> 2022</w:t>
      </w:r>
      <w:bookmarkEnd w:id="3"/>
      <w:r w:rsidRPr="0029474D">
        <w:rPr>
          <w:rFonts w:ascii="Times New Roman" w:eastAsia="Calibri" w:hAnsi="Times New Roman" w:cs="Times New Roman"/>
          <w:sz w:val="24"/>
          <w:szCs w:val="24"/>
        </w:rPr>
        <w:t>.</w:t>
      </w:r>
    </w:p>
    <w:p w14:paraId="7C640AD3" w14:textId="55B65420" w:rsidR="0029474D" w:rsidRPr="0029474D" w:rsidRDefault="0029474D" w:rsidP="0029474D">
      <w:pPr>
        <w:bidi w:val="0"/>
        <w:spacing w:after="0" w:line="360" w:lineRule="auto"/>
        <w:jc w:val="both"/>
        <w:rPr>
          <w:rFonts w:ascii="Times New Roman" w:eastAsia="Calibri" w:hAnsi="Times New Roman" w:cs="Times New Roman"/>
          <w:sz w:val="24"/>
          <w:szCs w:val="24"/>
        </w:rPr>
      </w:pPr>
      <w:r w:rsidRPr="0029474D">
        <w:rPr>
          <w:rFonts w:ascii="Times New Roman" w:eastAsia="Calibri" w:hAnsi="Times New Roman" w:cs="Times New Roman"/>
          <w:sz w:val="24"/>
          <w:szCs w:val="24"/>
        </w:rPr>
        <w:t xml:space="preserve">First online: </w:t>
      </w:r>
      <w:r w:rsidR="00EC4A07">
        <w:rPr>
          <w:rFonts w:ascii="Times New Roman" w:eastAsia="Calibri" w:hAnsi="Times New Roman" w:cs="Times New Roman"/>
          <w:sz w:val="24"/>
          <w:szCs w:val="24"/>
        </w:rPr>
        <w:t>12</w:t>
      </w:r>
      <w:r w:rsidR="00EC4A07" w:rsidRPr="0029474D">
        <w:rPr>
          <w:rFonts w:ascii="Times New Roman" w:eastAsia="Calibri" w:hAnsi="Times New Roman" w:cs="Times New Roman"/>
          <w:sz w:val="24"/>
          <w:szCs w:val="24"/>
        </w:rPr>
        <w:t xml:space="preserve"> </w:t>
      </w:r>
      <w:r w:rsidR="00EC4A07">
        <w:rPr>
          <w:rFonts w:ascii="Times New Roman" w:eastAsia="Calibri" w:hAnsi="Times New Roman" w:cs="Times New Roman"/>
          <w:sz w:val="24"/>
          <w:szCs w:val="24"/>
        </w:rPr>
        <w:t>September</w:t>
      </w:r>
      <w:r w:rsidR="00EC4A07" w:rsidRPr="0029474D">
        <w:rPr>
          <w:rFonts w:ascii="Times New Roman" w:eastAsia="Calibri" w:hAnsi="Times New Roman" w:cs="Times New Roman"/>
          <w:sz w:val="24"/>
          <w:szCs w:val="24"/>
        </w:rPr>
        <w:t xml:space="preserve"> 2022</w:t>
      </w:r>
      <w:r w:rsidRPr="0029474D">
        <w:rPr>
          <w:rFonts w:ascii="Times New Roman" w:eastAsia="Calibri" w:hAnsi="Times New Roman" w:cs="Times New Roman"/>
          <w:sz w:val="24"/>
          <w:szCs w:val="24"/>
        </w:rPr>
        <w:t>.</w:t>
      </w:r>
    </w:p>
    <w:p w14:paraId="6C4045FE" w14:textId="77777777" w:rsidR="0029474D" w:rsidRDefault="0029474D" w:rsidP="0029474D">
      <w:pPr>
        <w:bidi w:val="0"/>
        <w:jc w:val="both"/>
      </w:pPr>
    </w:p>
    <w:p w14:paraId="6DC82ED4" w14:textId="651C55A3" w:rsidR="00E14B69" w:rsidRDefault="00E14B69" w:rsidP="00E14B69">
      <w:pPr>
        <w:bidi w:val="0"/>
        <w:jc w:val="both"/>
        <w:rPr>
          <w:rStyle w:val="Hyperlink"/>
          <w:rFonts w:asciiTheme="majorBidi" w:hAnsiTheme="majorBidi" w:cstheme="majorBidi"/>
          <w:sz w:val="24"/>
          <w:szCs w:val="24"/>
        </w:rPr>
        <w:sectPr w:rsidR="00E14B69" w:rsidSect="0029474D">
          <w:headerReference w:type="default" r:id="rId11"/>
          <w:footerReference w:type="default" r:id="rId12"/>
          <w:pgSz w:w="11906" w:h="16838"/>
          <w:pgMar w:top="1440" w:right="1800" w:bottom="1440" w:left="1800" w:header="708" w:footer="708" w:gutter="0"/>
          <w:pgNumType w:start="58"/>
          <w:cols w:space="708"/>
          <w:bidi/>
          <w:rtlGutter/>
          <w:docGrid w:linePitch="360"/>
        </w:sectPr>
      </w:pPr>
    </w:p>
    <w:p w14:paraId="30363959" w14:textId="5249D3B9" w:rsidR="008F0BD8" w:rsidRPr="00C56037" w:rsidRDefault="00892D1F" w:rsidP="00E14B69">
      <w:pPr>
        <w:bidi w:val="0"/>
        <w:spacing w:line="360" w:lineRule="auto"/>
        <w:contextualSpacing/>
        <w:jc w:val="both"/>
        <w:rPr>
          <w:rFonts w:asciiTheme="majorBidi" w:eastAsiaTheme="minorEastAsia" w:hAnsiTheme="majorBidi" w:cstheme="majorBidi"/>
          <w:b/>
          <w:bCs/>
          <w:sz w:val="28"/>
          <w:szCs w:val="28"/>
        </w:rPr>
      </w:pPr>
      <w:r w:rsidRPr="00C56037">
        <w:rPr>
          <w:rFonts w:asciiTheme="majorBidi" w:eastAsiaTheme="minorEastAsia" w:hAnsiTheme="majorBidi" w:cstheme="majorBidi"/>
          <w:b/>
          <w:bCs/>
          <w:sz w:val="28"/>
          <w:szCs w:val="28"/>
        </w:rPr>
        <w:lastRenderedPageBreak/>
        <w:t xml:space="preserve">Abstract: </w:t>
      </w:r>
    </w:p>
    <w:p w14:paraId="53908D6A" w14:textId="77777777" w:rsidR="008F0BD8" w:rsidRDefault="00F6606D" w:rsidP="008F0BD8">
      <w:pPr>
        <w:bidi w:val="0"/>
        <w:spacing w:line="360" w:lineRule="auto"/>
        <w:contextualSpacing/>
        <w:jc w:val="both"/>
        <w:rPr>
          <w:rFonts w:ascii="Times New Roman" w:eastAsia="Times New Roman" w:hAnsi="Times New Roman" w:cs="Times New Roman"/>
          <w:b/>
          <w:bCs/>
          <w:sz w:val="28"/>
          <w:szCs w:val="28"/>
          <w:vertAlign w:val="superscript"/>
        </w:rPr>
      </w:pPr>
      <w:r w:rsidRPr="003A2D25">
        <w:rPr>
          <w:rFonts w:asciiTheme="majorBidi" w:eastAsiaTheme="minorEastAsia" w:hAnsiTheme="majorBidi" w:cstheme="majorBidi"/>
          <w:b/>
          <w:bCs/>
          <w:sz w:val="28"/>
          <w:szCs w:val="28"/>
        </w:rPr>
        <w:t>Aims</w:t>
      </w:r>
      <w:r w:rsidR="00892D1F" w:rsidRPr="003A2D25">
        <w:rPr>
          <w:rFonts w:asciiTheme="majorBidi" w:eastAsiaTheme="minorEastAsia" w:hAnsiTheme="majorBidi" w:cstheme="majorBidi"/>
          <w:b/>
          <w:bCs/>
          <w:sz w:val="28"/>
          <w:szCs w:val="28"/>
        </w:rPr>
        <w:t>:</w:t>
      </w:r>
    </w:p>
    <w:p w14:paraId="17CD2AF5" w14:textId="0178F421" w:rsidR="00892D1F" w:rsidRPr="008F0BD8" w:rsidRDefault="00892D1F" w:rsidP="008F0BD8">
      <w:pPr>
        <w:bidi w:val="0"/>
        <w:spacing w:line="360" w:lineRule="auto"/>
        <w:contextualSpacing/>
        <w:jc w:val="both"/>
        <w:rPr>
          <w:rFonts w:ascii="Times New Roman" w:eastAsia="Times New Roman" w:hAnsi="Times New Roman" w:cs="Times New Roman"/>
          <w:b/>
          <w:bCs/>
          <w:sz w:val="28"/>
          <w:szCs w:val="28"/>
          <w:vertAlign w:val="superscript"/>
        </w:rPr>
      </w:pPr>
      <w:r w:rsidRPr="008F0BD8">
        <w:rPr>
          <w:rFonts w:asciiTheme="majorBidi" w:hAnsiTheme="majorBidi" w:cstheme="majorBidi"/>
          <w:sz w:val="24"/>
          <w:szCs w:val="24"/>
        </w:rPr>
        <w:t>Non-alcoholic fatty liver disease (NAFLD)</w:t>
      </w:r>
      <w:r w:rsidRPr="008F0BD8">
        <w:rPr>
          <w:rFonts w:ascii="Times New Roman" w:eastAsia="Calibri" w:hAnsi="Times New Roman" w:cs="Times New Roman"/>
          <w:sz w:val="24"/>
          <w:szCs w:val="24"/>
        </w:rPr>
        <w:t xml:space="preserve"> </w:t>
      </w:r>
      <w:r w:rsidRPr="008F0BD8">
        <w:rPr>
          <w:rFonts w:asciiTheme="majorBidi" w:eastAsiaTheme="minorEastAsia" w:hAnsiTheme="majorBidi" w:cstheme="majorBidi"/>
          <w:sz w:val="24"/>
          <w:szCs w:val="24"/>
        </w:rPr>
        <w:t xml:space="preserve">is a broad category for a disease spectrum that </w:t>
      </w:r>
      <w:r w:rsidR="00D949E7" w:rsidRPr="008F0BD8">
        <w:rPr>
          <w:rFonts w:asciiTheme="majorBidi" w:eastAsiaTheme="minorEastAsia" w:hAnsiTheme="majorBidi" w:cstheme="majorBidi"/>
          <w:sz w:val="24"/>
          <w:szCs w:val="24"/>
        </w:rPr>
        <w:t>includes simple</w:t>
      </w:r>
      <w:r w:rsidRPr="008F0BD8">
        <w:rPr>
          <w:rFonts w:asciiTheme="majorBidi" w:eastAsiaTheme="minorEastAsia" w:hAnsiTheme="majorBidi" w:cstheme="majorBidi"/>
          <w:sz w:val="24"/>
          <w:szCs w:val="24"/>
        </w:rPr>
        <w:t xml:space="preserve"> steatosis, which can proceed to non-alcoholic steatohepatitis, cirrhosis, and</w:t>
      </w:r>
      <w:r w:rsidR="00657648" w:rsidRPr="008F0BD8">
        <w:rPr>
          <w:rFonts w:asciiTheme="majorBidi" w:eastAsiaTheme="minorEastAsia" w:hAnsiTheme="majorBidi" w:cstheme="majorBidi"/>
          <w:sz w:val="24"/>
          <w:szCs w:val="24"/>
        </w:rPr>
        <w:t>,</w:t>
      </w:r>
      <w:r w:rsidRPr="008F0BD8">
        <w:rPr>
          <w:rFonts w:asciiTheme="majorBidi" w:eastAsiaTheme="minorEastAsia" w:hAnsiTheme="majorBidi" w:cstheme="majorBidi"/>
          <w:sz w:val="24"/>
          <w:szCs w:val="24"/>
        </w:rPr>
        <w:t xml:space="preserve"> finally</w:t>
      </w:r>
      <w:r w:rsidR="00657648" w:rsidRPr="008F0BD8">
        <w:rPr>
          <w:rFonts w:asciiTheme="majorBidi" w:eastAsiaTheme="minorEastAsia" w:hAnsiTheme="majorBidi" w:cstheme="majorBidi"/>
          <w:sz w:val="24"/>
          <w:szCs w:val="24"/>
        </w:rPr>
        <w:t>,</w:t>
      </w:r>
      <w:r w:rsidRPr="008F0BD8">
        <w:rPr>
          <w:rFonts w:asciiTheme="majorBidi" w:eastAsiaTheme="minorEastAsia" w:hAnsiTheme="majorBidi" w:cstheme="majorBidi"/>
          <w:sz w:val="24"/>
          <w:szCs w:val="24"/>
        </w:rPr>
        <w:t xml:space="preserve"> hepatocellular carcinoma. Owing to the invasive nature of liver biopsy, the need for </w:t>
      </w:r>
      <w:r w:rsidR="00657648" w:rsidRPr="008F0BD8">
        <w:rPr>
          <w:rFonts w:asciiTheme="majorBidi" w:eastAsiaTheme="minorEastAsia" w:hAnsiTheme="majorBidi" w:cstheme="majorBidi"/>
          <w:sz w:val="24"/>
          <w:szCs w:val="24"/>
        </w:rPr>
        <w:t>non-invasive</w:t>
      </w:r>
      <w:r w:rsidRPr="008F0BD8">
        <w:rPr>
          <w:rFonts w:asciiTheme="majorBidi" w:eastAsiaTheme="minorEastAsia" w:hAnsiTheme="majorBidi" w:cstheme="majorBidi"/>
          <w:sz w:val="24"/>
          <w:szCs w:val="24"/>
        </w:rPr>
        <w:t xml:space="preserve"> tools </w:t>
      </w:r>
      <w:r w:rsidR="00657648" w:rsidRPr="008F0BD8">
        <w:rPr>
          <w:rFonts w:asciiTheme="majorBidi" w:eastAsiaTheme="minorEastAsia" w:hAnsiTheme="majorBidi" w:cstheme="majorBidi"/>
          <w:sz w:val="24"/>
          <w:szCs w:val="24"/>
        </w:rPr>
        <w:t>were</w:t>
      </w:r>
      <w:r w:rsidRPr="008F0BD8">
        <w:rPr>
          <w:rFonts w:asciiTheme="majorBidi" w:eastAsiaTheme="minorEastAsia" w:hAnsiTheme="majorBidi" w:cstheme="majorBidi"/>
          <w:sz w:val="24"/>
          <w:szCs w:val="24"/>
        </w:rPr>
        <w:t xml:space="preserve"> required</w:t>
      </w:r>
      <w:r w:rsidR="00E54AEA" w:rsidRPr="008F0BD8">
        <w:rPr>
          <w:rFonts w:asciiTheme="majorBidi" w:eastAsiaTheme="minorEastAsia" w:hAnsiTheme="majorBidi" w:cstheme="majorBidi"/>
          <w:sz w:val="24"/>
          <w:szCs w:val="24"/>
        </w:rPr>
        <w:t xml:space="preserve"> for diagnosis</w:t>
      </w:r>
      <w:r w:rsidRPr="008F0BD8">
        <w:rPr>
          <w:rFonts w:asciiTheme="majorBidi" w:eastAsiaTheme="minorEastAsia" w:hAnsiTheme="majorBidi" w:cstheme="majorBidi"/>
          <w:sz w:val="24"/>
          <w:szCs w:val="24"/>
        </w:rPr>
        <w:t>.</w:t>
      </w:r>
    </w:p>
    <w:p w14:paraId="34F5B852" w14:textId="77777777" w:rsidR="00892D1F" w:rsidRPr="006D15CF" w:rsidRDefault="00892D1F" w:rsidP="008F0BD8">
      <w:pPr>
        <w:autoSpaceDE w:val="0"/>
        <w:autoSpaceDN w:val="0"/>
        <w:bidi w:val="0"/>
        <w:adjustRightInd w:val="0"/>
        <w:spacing w:after="0" w:line="360" w:lineRule="auto"/>
        <w:jc w:val="both"/>
        <w:rPr>
          <w:rFonts w:asciiTheme="majorBidi" w:eastAsiaTheme="minorEastAsia" w:hAnsiTheme="majorBidi" w:cstheme="majorBidi"/>
          <w:b/>
          <w:bCs/>
          <w:sz w:val="28"/>
          <w:szCs w:val="28"/>
        </w:rPr>
      </w:pPr>
      <w:r w:rsidRPr="006D15CF">
        <w:rPr>
          <w:rFonts w:asciiTheme="majorBidi" w:eastAsiaTheme="minorEastAsia" w:hAnsiTheme="majorBidi" w:cstheme="majorBidi"/>
          <w:b/>
          <w:bCs/>
          <w:sz w:val="28"/>
          <w:szCs w:val="28"/>
        </w:rPr>
        <w:t xml:space="preserve">Objective: </w:t>
      </w:r>
    </w:p>
    <w:p w14:paraId="51ACE7EC" w14:textId="68719CD1" w:rsidR="00892D1F" w:rsidRPr="008F0BD8" w:rsidRDefault="00892D1F" w:rsidP="008F0BD8">
      <w:pPr>
        <w:autoSpaceDE w:val="0"/>
        <w:autoSpaceDN w:val="0"/>
        <w:bidi w:val="0"/>
        <w:adjustRightInd w:val="0"/>
        <w:spacing w:after="0" w:line="360" w:lineRule="auto"/>
        <w:jc w:val="both"/>
        <w:rPr>
          <w:rFonts w:asciiTheme="majorBidi" w:eastAsiaTheme="minorEastAsia" w:hAnsiTheme="majorBidi" w:cstheme="majorBidi"/>
          <w:sz w:val="24"/>
          <w:szCs w:val="24"/>
        </w:rPr>
      </w:pPr>
      <w:r w:rsidRPr="008F0BD8">
        <w:rPr>
          <w:rFonts w:asciiTheme="majorBidi" w:eastAsiaTheme="minorEastAsia" w:hAnsiTheme="majorBidi" w:cstheme="majorBidi"/>
          <w:sz w:val="24"/>
          <w:szCs w:val="24"/>
        </w:rPr>
        <w:t>To compare the performance of simple biochemical scores (</w:t>
      </w:r>
      <w:r w:rsidR="00657648" w:rsidRPr="008F0BD8">
        <w:rPr>
          <w:rFonts w:asciiTheme="majorBidi" w:eastAsiaTheme="minorEastAsia" w:hAnsiTheme="majorBidi" w:cstheme="majorBidi"/>
          <w:sz w:val="24"/>
          <w:szCs w:val="24"/>
        </w:rPr>
        <w:t>fibroblast</w:t>
      </w:r>
      <w:r w:rsidRPr="008F0BD8">
        <w:rPr>
          <w:rFonts w:asciiTheme="majorBidi" w:eastAsiaTheme="minorEastAsia" w:hAnsiTheme="majorBidi" w:cstheme="majorBidi"/>
          <w:sz w:val="24"/>
          <w:szCs w:val="24"/>
        </w:rPr>
        <w:t>) FIB-5 and</w:t>
      </w:r>
      <w:r w:rsidR="00D949E7" w:rsidRPr="008F0BD8">
        <w:rPr>
          <w:rFonts w:asciiTheme="majorBidi" w:eastAsiaTheme="minorEastAsia" w:hAnsiTheme="majorBidi" w:cstheme="majorBidi"/>
          <w:sz w:val="24"/>
          <w:szCs w:val="24"/>
        </w:rPr>
        <w:t xml:space="preserve"> (fibrosis-4) FIB</w:t>
      </w:r>
      <w:r w:rsidRPr="008F0BD8">
        <w:rPr>
          <w:rFonts w:asciiTheme="majorBidi" w:eastAsiaTheme="minorEastAsia" w:hAnsiTheme="majorBidi" w:cstheme="majorBidi"/>
          <w:sz w:val="24"/>
          <w:szCs w:val="24"/>
        </w:rPr>
        <w:t xml:space="preserve">-4 with fibroscan to differentiate </w:t>
      </w:r>
      <w:r w:rsidR="00081EB2" w:rsidRPr="008F0BD8">
        <w:rPr>
          <w:rFonts w:asciiTheme="majorBidi" w:eastAsiaTheme="minorEastAsia" w:hAnsiTheme="majorBidi" w:cstheme="majorBidi"/>
          <w:sz w:val="24"/>
          <w:szCs w:val="24"/>
        </w:rPr>
        <w:t>mild to moderate fibrosis (M</w:t>
      </w:r>
      <w:r w:rsidRPr="008F0BD8">
        <w:rPr>
          <w:rFonts w:asciiTheme="majorBidi" w:eastAsiaTheme="minorEastAsia" w:hAnsiTheme="majorBidi" w:cstheme="majorBidi"/>
          <w:sz w:val="24"/>
          <w:szCs w:val="24"/>
        </w:rPr>
        <w:t>F; F0 to F</w:t>
      </w:r>
      <w:r w:rsidR="00585E3A" w:rsidRPr="008F0BD8">
        <w:rPr>
          <w:rFonts w:asciiTheme="majorBidi" w:eastAsiaTheme="minorEastAsia" w:hAnsiTheme="majorBidi" w:cstheme="majorBidi"/>
          <w:sz w:val="24"/>
          <w:szCs w:val="24"/>
        </w:rPr>
        <w:t>2</w:t>
      </w:r>
      <w:r w:rsidRPr="008F0BD8">
        <w:rPr>
          <w:rFonts w:asciiTheme="majorBidi" w:eastAsiaTheme="minorEastAsia" w:hAnsiTheme="majorBidi" w:cstheme="majorBidi"/>
          <w:sz w:val="24"/>
          <w:szCs w:val="24"/>
        </w:rPr>
        <w:t xml:space="preserve">) </w:t>
      </w:r>
      <w:r w:rsidR="00E54AEA" w:rsidRPr="008F0BD8">
        <w:rPr>
          <w:rFonts w:asciiTheme="majorBidi" w:eastAsiaTheme="minorEastAsia" w:hAnsiTheme="majorBidi" w:cstheme="majorBidi"/>
          <w:sz w:val="24"/>
          <w:szCs w:val="24"/>
        </w:rPr>
        <w:t>from</w:t>
      </w:r>
      <w:r w:rsidRPr="008F0BD8">
        <w:rPr>
          <w:rFonts w:asciiTheme="majorBidi" w:eastAsiaTheme="minorEastAsia" w:hAnsiTheme="majorBidi" w:cstheme="majorBidi"/>
          <w:sz w:val="24"/>
          <w:szCs w:val="24"/>
        </w:rPr>
        <w:t xml:space="preserve"> </w:t>
      </w:r>
      <w:r w:rsidR="00081EB2" w:rsidRPr="008F0BD8">
        <w:rPr>
          <w:rFonts w:asciiTheme="majorBidi" w:eastAsiaTheme="minorEastAsia" w:hAnsiTheme="majorBidi" w:cstheme="majorBidi"/>
          <w:sz w:val="24"/>
          <w:szCs w:val="24"/>
        </w:rPr>
        <w:t>advanced fibrosis (A</w:t>
      </w:r>
      <w:r w:rsidRPr="008F0BD8">
        <w:rPr>
          <w:rFonts w:asciiTheme="majorBidi" w:eastAsiaTheme="minorEastAsia" w:hAnsiTheme="majorBidi" w:cstheme="majorBidi"/>
          <w:sz w:val="24"/>
          <w:szCs w:val="24"/>
        </w:rPr>
        <w:t>F; F</w:t>
      </w:r>
      <w:r w:rsidR="00585E3A" w:rsidRPr="008F0BD8">
        <w:rPr>
          <w:rFonts w:asciiTheme="majorBidi" w:eastAsiaTheme="minorEastAsia" w:hAnsiTheme="majorBidi" w:cstheme="majorBidi"/>
          <w:sz w:val="24"/>
          <w:szCs w:val="24"/>
        </w:rPr>
        <w:t>3</w:t>
      </w:r>
      <w:r w:rsidRPr="008F0BD8">
        <w:rPr>
          <w:rFonts w:asciiTheme="majorBidi" w:eastAsiaTheme="minorEastAsia" w:hAnsiTheme="majorBidi" w:cstheme="majorBidi"/>
          <w:sz w:val="24"/>
          <w:szCs w:val="24"/>
        </w:rPr>
        <w:t xml:space="preserve"> to F4) in patients with NAFLD. </w:t>
      </w:r>
    </w:p>
    <w:p w14:paraId="714A232C" w14:textId="77777777" w:rsidR="00892D1F" w:rsidRPr="006D15CF" w:rsidRDefault="00892D1F" w:rsidP="008F0BD8">
      <w:pPr>
        <w:autoSpaceDE w:val="0"/>
        <w:autoSpaceDN w:val="0"/>
        <w:bidi w:val="0"/>
        <w:adjustRightInd w:val="0"/>
        <w:spacing w:after="0" w:line="360" w:lineRule="auto"/>
        <w:jc w:val="both"/>
        <w:rPr>
          <w:rFonts w:asciiTheme="majorBidi" w:eastAsiaTheme="minorEastAsia" w:hAnsiTheme="majorBidi" w:cstheme="majorBidi"/>
          <w:b/>
          <w:bCs/>
          <w:sz w:val="28"/>
          <w:szCs w:val="28"/>
        </w:rPr>
      </w:pPr>
      <w:r w:rsidRPr="006D15CF">
        <w:rPr>
          <w:rFonts w:asciiTheme="majorBidi" w:eastAsiaTheme="minorEastAsia" w:hAnsiTheme="majorBidi" w:cstheme="majorBidi"/>
          <w:b/>
          <w:bCs/>
          <w:sz w:val="28"/>
          <w:szCs w:val="28"/>
        </w:rPr>
        <w:t>Patients and methods:</w:t>
      </w:r>
    </w:p>
    <w:p w14:paraId="4434320A" w14:textId="0DFED8F8" w:rsidR="00892D1F" w:rsidRPr="008F0BD8" w:rsidRDefault="00892D1F" w:rsidP="008F0BD8">
      <w:pPr>
        <w:autoSpaceDE w:val="0"/>
        <w:autoSpaceDN w:val="0"/>
        <w:bidi w:val="0"/>
        <w:adjustRightInd w:val="0"/>
        <w:spacing w:after="0" w:line="360" w:lineRule="auto"/>
        <w:jc w:val="both"/>
        <w:rPr>
          <w:rFonts w:asciiTheme="majorBidi" w:eastAsiaTheme="minorEastAsia" w:hAnsiTheme="majorBidi" w:cstheme="majorBidi"/>
          <w:sz w:val="24"/>
          <w:szCs w:val="24"/>
        </w:rPr>
      </w:pPr>
      <w:r w:rsidRPr="008F0BD8">
        <w:rPr>
          <w:rFonts w:asciiTheme="majorBidi" w:eastAsiaTheme="minorEastAsia" w:hAnsiTheme="majorBidi" w:cstheme="majorBidi"/>
          <w:sz w:val="24"/>
          <w:szCs w:val="24"/>
        </w:rPr>
        <w:t xml:space="preserve">This cross-sectional study was done on 116 NAFLD patients. All patients were scanned with the FibroScan examination. FIB-5 and FIB-4 were calculated </w:t>
      </w:r>
      <w:r w:rsidR="00657648" w:rsidRPr="008F0BD8">
        <w:rPr>
          <w:rFonts w:asciiTheme="majorBidi" w:eastAsiaTheme="minorEastAsia" w:hAnsiTheme="majorBidi" w:cstheme="majorBidi"/>
          <w:sz w:val="24"/>
          <w:szCs w:val="24"/>
        </w:rPr>
        <w:t>for</w:t>
      </w:r>
      <w:r w:rsidRPr="008F0BD8">
        <w:rPr>
          <w:rFonts w:asciiTheme="majorBidi" w:eastAsiaTheme="minorEastAsia" w:hAnsiTheme="majorBidi" w:cstheme="majorBidi"/>
          <w:sz w:val="24"/>
          <w:szCs w:val="24"/>
        </w:rPr>
        <w:t xml:space="preserve"> all patients.</w:t>
      </w:r>
    </w:p>
    <w:p w14:paraId="21708892" w14:textId="77777777" w:rsidR="00892D1F" w:rsidRPr="006D15CF" w:rsidRDefault="00892D1F" w:rsidP="008F0BD8">
      <w:pPr>
        <w:autoSpaceDE w:val="0"/>
        <w:autoSpaceDN w:val="0"/>
        <w:bidi w:val="0"/>
        <w:adjustRightInd w:val="0"/>
        <w:spacing w:after="0" w:line="360" w:lineRule="auto"/>
        <w:jc w:val="both"/>
        <w:rPr>
          <w:rFonts w:asciiTheme="majorBidi" w:eastAsiaTheme="minorEastAsia" w:hAnsiTheme="majorBidi" w:cstheme="majorBidi"/>
          <w:b/>
          <w:bCs/>
          <w:sz w:val="28"/>
          <w:szCs w:val="28"/>
        </w:rPr>
      </w:pPr>
      <w:r w:rsidRPr="006D15CF">
        <w:rPr>
          <w:rFonts w:asciiTheme="majorBidi" w:eastAsiaTheme="minorEastAsia" w:hAnsiTheme="majorBidi" w:cstheme="majorBidi"/>
          <w:b/>
          <w:bCs/>
          <w:sz w:val="28"/>
          <w:szCs w:val="28"/>
        </w:rPr>
        <w:t>Results:</w:t>
      </w:r>
    </w:p>
    <w:p w14:paraId="753401D5" w14:textId="04D65ADB" w:rsidR="00892D1F" w:rsidRPr="008F0BD8" w:rsidRDefault="00892D1F" w:rsidP="008F0BD8">
      <w:pPr>
        <w:autoSpaceDE w:val="0"/>
        <w:autoSpaceDN w:val="0"/>
        <w:bidi w:val="0"/>
        <w:adjustRightInd w:val="0"/>
        <w:spacing w:after="0" w:line="360" w:lineRule="auto"/>
        <w:jc w:val="both"/>
        <w:rPr>
          <w:rFonts w:asciiTheme="majorBidi" w:eastAsiaTheme="minorEastAsia" w:hAnsiTheme="majorBidi" w:cstheme="majorBidi"/>
          <w:sz w:val="24"/>
          <w:szCs w:val="24"/>
        </w:rPr>
      </w:pPr>
      <w:r w:rsidRPr="008F0BD8">
        <w:rPr>
          <w:rFonts w:asciiTheme="majorBidi" w:eastAsiaTheme="minorEastAsia" w:hAnsiTheme="majorBidi" w:cstheme="majorBidi"/>
          <w:sz w:val="24"/>
          <w:szCs w:val="24"/>
        </w:rPr>
        <w:t>The mean kPa score (</w:t>
      </w:r>
      <w:r w:rsidR="00F6606D" w:rsidRPr="008F0BD8">
        <w:rPr>
          <w:rFonts w:asciiTheme="majorBidi" w:eastAsiaTheme="minorEastAsia" w:hAnsiTheme="majorBidi" w:cstheme="majorBidi"/>
          <w:sz w:val="24"/>
          <w:szCs w:val="24"/>
        </w:rPr>
        <w:t xml:space="preserve">liver </w:t>
      </w:r>
      <w:r w:rsidRPr="008F0BD8">
        <w:rPr>
          <w:rFonts w:asciiTheme="majorBidi" w:eastAsiaTheme="minorEastAsia" w:hAnsiTheme="majorBidi" w:cstheme="majorBidi"/>
          <w:sz w:val="24"/>
          <w:szCs w:val="24"/>
        </w:rPr>
        <w:t xml:space="preserve">stiffness </w:t>
      </w:r>
      <w:r w:rsidR="00F6606D" w:rsidRPr="008F0BD8">
        <w:rPr>
          <w:rFonts w:asciiTheme="majorBidi" w:eastAsiaTheme="minorEastAsia" w:hAnsiTheme="majorBidi" w:cstheme="majorBidi"/>
          <w:sz w:val="24"/>
          <w:szCs w:val="24"/>
        </w:rPr>
        <w:t xml:space="preserve">measurement </w:t>
      </w:r>
      <w:r w:rsidRPr="008F0BD8">
        <w:rPr>
          <w:rFonts w:asciiTheme="majorBidi" w:eastAsiaTheme="minorEastAsia" w:hAnsiTheme="majorBidi" w:cstheme="majorBidi"/>
          <w:sz w:val="24"/>
          <w:szCs w:val="24"/>
        </w:rPr>
        <w:t>score) of the patients belonging to</w:t>
      </w:r>
      <w:r w:rsidR="00D949E7" w:rsidRPr="008F0BD8">
        <w:rPr>
          <w:rFonts w:asciiTheme="majorBidi" w:eastAsiaTheme="minorEastAsia" w:hAnsiTheme="majorBidi" w:cstheme="majorBidi"/>
          <w:sz w:val="24"/>
          <w:szCs w:val="24"/>
        </w:rPr>
        <w:t xml:space="preserve"> advanced fibrosis [</w:t>
      </w:r>
      <w:r w:rsidRPr="008F0BD8">
        <w:rPr>
          <w:rFonts w:asciiTheme="majorBidi" w:eastAsiaTheme="minorEastAsia" w:hAnsiTheme="majorBidi" w:cstheme="majorBidi"/>
          <w:sz w:val="24"/>
          <w:szCs w:val="24"/>
        </w:rPr>
        <w:t xml:space="preserve">9.53 ± 1.05]. The FIB-4 score was significantly higher in patients with </w:t>
      </w:r>
      <w:r w:rsidR="00081EB2" w:rsidRPr="008F0BD8">
        <w:rPr>
          <w:rFonts w:asciiTheme="majorBidi" w:eastAsiaTheme="minorEastAsia" w:hAnsiTheme="majorBidi" w:cstheme="majorBidi"/>
          <w:sz w:val="24"/>
          <w:szCs w:val="24"/>
        </w:rPr>
        <w:t>advanced</w:t>
      </w:r>
      <w:r w:rsidRPr="008F0BD8">
        <w:rPr>
          <w:rFonts w:asciiTheme="majorBidi" w:eastAsiaTheme="minorEastAsia" w:hAnsiTheme="majorBidi" w:cstheme="majorBidi"/>
          <w:sz w:val="24"/>
          <w:szCs w:val="24"/>
        </w:rPr>
        <w:t xml:space="preserve"> fibrosis (1.54 ± 0.38) compared with patients with </w:t>
      </w:r>
      <w:r w:rsidR="00081EB2" w:rsidRPr="008F0BD8">
        <w:rPr>
          <w:rFonts w:asciiTheme="majorBidi" w:eastAsiaTheme="minorEastAsia" w:hAnsiTheme="majorBidi" w:cstheme="majorBidi"/>
          <w:sz w:val="24"/>
          <w:szCs w:val="24"/>
        </w:rPr>
        <w:t>mild to moderate</w:t>
      </w:r>
      <w:r w:rsidRPr="008F0BD8">
        <w:rPr>
          <w:rFonts w:asciiTheme="majorBidi" w:eastAsiaTheme="minorEastAsia" w:hAnsiTheme="majorBidi" w:cstheme="majorBidi"/>
          <w:sz w:val="24"/>
          <w:szCs w:val="24"/>
        </w:rPr>
        <w:t xml:space="preserve"> fibrosis (1.18 ± 0.44), p-value = 0.001, whereas the FIB-5 score </w:t>
      </w:r>
      <w:r w:rsidR="00657648" w:rsidRPr="008F0BD8">
        <w:rPr>
          <w:rFonts w:asciiTheme="majorBidi" w:eastAsiaTheme="minorEastAsia" w:hAnsiTheme="majorBidi" w:cstheme="majorBidi"/>
          <w:sz w:val="24"/>
          <w:szCs w:val="24"/>
        </w:rPr>
        <w:t>was insignificant</w:t>
      </w:r>
      <w:r w:rsidRPr="008F0BD8">
        <w:rPr>
          <w:rFonts w:asciiTheme="majorBidi" w:eastAsiaTheme="minorEastAsia" w:hAnsiTheme="majorBidi" w:cstheme="majorBidi"/>
          <w:sz w:val="24"/>
          <w:szCs w:val="24"/>
        </w:rPr>
        <w:t xml:space="preserve"> between patients.</w:t>
      </w:r>
    </w:p>
    <w:p w14:paraId="67373C71" w14:textId="77777777" w:rsidR="00892D1F" w:rsidRPr="006D15CF" w:rsidRDefault="00892D1F" w:rsidP="008F0BD8">
      <w:pPr>
        <w:autoSpaceDE w:val="0"/>
        <w:autoSpaceDN w:val="0"/>
        <w:bidi w:val="0"/>
        <w:adjustRightInd w:val="0"/>
        <w:spacing w:after="0" w:line="360" w:lineRule="auto"/>
        <w:jc w:val="both"/>
        <w:rPr>
          <w:rFonts w:asciiTheme="majorBidi" w:eastAsiaTheme="minorEastAsia" w:hAnsiTheme="majorBidi" w:cstheme="majorBidi"/>
          <w:b/>
          <w:bCs/>
          <w:sz w:val="28"/>
          <w:szCs w:val="28"/>
        </w:rPr>
      </w:pPr>
      <w:r w:rsidRPr="006D15CF">
        <w:rPr>
          <w:rFonts w:asciiTheme="majorBidi" w:eastAsiaTheme="minorEastAsia" w:hAnsiTheme="majorBidi" w:cstheme="majorBidi"/>
          <w:b/>
          <w:bCs/>
          <w:sz w:val="28"/>
          <w:szCs w:val="28"/>
        </w:rPr>
        <w:t>Conclusion:</w:t>
      </w:r>
    </w:p>
    <w:p w14:paraId="4D16A2D3" w14:textId="53DDA5F2" w:rsidR="00892D1F" w:rsidRPr="008F0BD8" w:rsidRDefault="00892D1F" w:rsidP="008F0BD8">
      <w:pPr>
        <w:autoSpaceDE w:val="0"/>
        <w:autoSpaceDN w:val="0"/>
        <w:bidi w:val="0"/>
        <w:adjustRightInd w:val="0"/>
        <w:spacing w:after="0" w:line="360" w:lineRule="auto"/>
        <w:jc w:val="both"/>
        <w:rPr>
          <w:rFonts w:asciiTheme="majorBidi" w:eastAsiaTheme="minorEastAsia" w:hAnsiTheme="majorBidi" w:cstheme="majorBidi"/>
          <w:sz w:val="24"/>
          <w:szCs w:val="24"/>
        </w:rPr>
      </w:pPr>
      <w:r w:rsidRPr="008F0BD8">
        <w:rPr>
          <w:rFonts w:asciiTheme="majorBidi" w:eastAsiaTheme="minorEastAsia" w:hAnsiTheme="majorBidi" w:cstheme="majorBidi"/>
          <w:sz w:val="24"/>
          <w:szCs w:val="24"/>
        </w:rPr>
        <w:t xml:space="preserve">FIB-4 is superior to FIB-5 as a </w:t>
      </w:r>
      <w:r w:rsidR="008F0BD8">
        <w:rPr>
          <w:rFonts w:asciiTheme="majorBidi" w:eastAsiaTheme="minorEastAsia" w:hAnsiTheme="majorBidi" w:cstheme="majorBidi"/>
          <w:sz w:val="24"/>
          <w:szCs w:val="24"/>
        </w:rPr>
        <w:t>non-invasive</w:t>
      </w:r>
      <w:r w:rsidR="00F74960" w:rsidRPr="008F0BD8">
        <w:rPr>
          <w:rFonts w:asciiTheme="majorBidi" w:eastAsiaTheme="minorEastAsia" w:hAnsiTheme="majorBidi" w:cstheme="majorBidi"/>
          <w:sz w:val="24"/>
          <w:szCs w:val="24"/>
        </w:rPr>
        <w:t xml:space="preserve"> simple </w:t>
      </w:r>
      <w:r w:rsidRPr="008F0BD8">
        <w:rPr>
          <w:rFonts w:asciiTheme="majorBidi" w:eastAsiaTheme="minorEastAsia" w:hAnsiTheme="majorBidi" w:cstheme="majorBidi"/>
          <w:sz w:val="24"/>
          <w:szCs w:val="24"/>
        </w:rPr>
        <w:t xml:space="preserve">marker in </w:t>
      </w:r>
      <w:r w:rsidR="008F0BD8">
        <w:rPr>
          <w:rFonts w:asciiTheme="majorBidi" w:eastAsiaTheme="minorEastAsia" w:hAnsiTheme="majorBidi" w:cstheme="majorBidi"/>
          <w:sz w:val="24"/>
          <w:szCs w:val="24"/>
        </w:rPr>
        <w:t>diagnosing</w:t>
      </w:r>
      <w:r w:rsidRPr="008F0BD8">
        <w:rPr>
          <w:rFonts w:asciiTheme="majorBidi" w:eastAsiaTheme="minorEastAsia" w:hAnsiTheme="majorBidi" w:cstheme="majorBidi"/>
          <w:sz w:val="24"/>
          <w:szCs w:val="24"/>
        </w:rPr>
        <w:t xml:space="preserve"> </w:t>
      </w:r>
      <w:r w:rsidR="00F74960" w:rsidRPr="008F0BD8">
        <w:rPr>
          <w:rFonts w:asciiTheme="majorBidi" w:eastAsiaTheme="minorEastAsia" w:hAnsiTheme="majorBidi" w:cstheme="majorBidi"/>
          <w:sz w:val="24"/>
          <w:szCs w:val="24"/>
        </w:rPr>
        <w:t>advanced</w:t>
      </w:r>
      <w:r w:rsidRPr="008F0BD8">
        <w:rPr>
          <w:rFonts w:asciiTheme="majorBidi" w:eastAsiaTheme="minorEastAsia" w:hAnsiTheme="majorBidi" w:cstheme="majorBidi"/>
          <w:sz w:val="24"/>
          <w:szCs w:val="24"/>
        </w:rPr>
        <w:t xml:space="preserve"> fibrosis in NAFLD </w:t>
      </w:r>
      <w:r w:rsidR="008F0BD8" w:rsidRPr="008F0BD8">
        <w:rPr>
          <w:rFonts w:asciiTheme="majorBidi" w:eastAsiaTheme="minorEastAsia" w:hAnsiTheme="majorBidi" w:cstheme="majorBidi"/>
          <w:sz w:val="24"/>
          <w:szCs w:val="24"/>
        </w:rPr>
        <w:t>patients.</w:t>
      </w:r>
    </w:p>
    <w:p w14:paraId="1A470BEA" w14:textId="77777777" w:rsidR="008605F8" w:rsidRDefault="00657648" w:rsidP="008F0BD8">
      <w:pPr>
        <w:autoSpaceDE w:val="0"/>
        <w:autoSpaceDN w:val="0"/>
        <w:bidi w:val="0"/>
        <w:adjustRightInd w:val="0"/>
        <w:spacing w:after="0" w:line="360" w:lineRule="auto"/>
        <w:jc w:val="both"/>
        <w:rPr>
          <w:rFonts w:asciiTheme="majorBidi" w:eastAsiaTheme="minorEastAsia" w:hAnsiTheme="majorBidi" w:cstheme="majorBidi"/>
          <w:sz w:val="24"/>
          <w:szCs w:val="24"/>
        </w:rPr>
        <w:sectPr w:rsidR="008605F8" w:rsidSect="00613ACB">
          <w:pgSz w:w="11906" w:h="16838"/>
          <w:pgMar w:top="1440" w:right="1800" w:bottom="1440" w:left="1800" w:header="708" w:footer="708" w:gutter="0"/>
          <w:cols w:space="708"/>
          <w:bidi/>
          <w:rtlGutter/>
          <w:docGrid w:linePitch="360"/>
        </w:sectPr>
      </w:pPr>
      <w:r w:rsidRPr="008F0BD8">
        <w:rPr>
          <w:rFonts w:asciiTheme="majorBidi" w:eastAsiaTheme="minorEastAsia" w:hAnsiTheme="majorBidi" w:cstheme="majorBidi"/>
          <w:b/>
          <w:bCs/>
          <w:i/>
          <w:iCs/>
          <w:sz w:val="28"/>
          <w:szCs w:val="28"/>
        </w:rPr>
        <w:t>Keywords</w:t>
      </w:r>
      <w:r w:rsidR="00892D1F" w:rsidRPr="008F0BD8">
        <w:rPr>
          <w:rFonts w:asciiTheme="majorBidi" w:eastAsiaTheme="minorEastAsia" w:hAnsiTheme="majorBidi" w:cstheme="majorBidi"/>
          <w:b/>
          <w:bCs/>
          <w:i/>
          <w:iCs/>
          <w:sz w:val="28"/>
          <w:szCs w:val="28"/>
        </w:rPr>
        <w:t>:</w:t>
      </w:r>
      <w:r w:rsidR="00892D1F" w:rsidRPr="006D15CF">
        <w:rPr>
          <w:rFonts w:asciiTheme="majorBidi" w:eastAsiaTheme="minorEastAsia" w:hAnsiTheme="majorBidi" w:cstheme="majorBidi"/>
          <w:sz w:val="28"/>
          <w:szCs w:val="28"/>
        </w:rPr>
        <w:t xml:space="preserve"> </w:t>
      </w:r>
      <w:r w:rsidR="00892D1F" w:rsidRPr="008F0BD8">
        <w:rPr>
          <w:rFonts w:asciiTheme="majorBidi" w:eastAsiaTheme="minorEastAsia" w:hAnsiTheme="majorBidi" w:cstheme="majorBidi"/>
          <w:sz w:val="24"/>
          <w:szCs w:val="24"/>
        </w:rPr>
        <w:t>fibroscan, liver biopsy, non-invasive markers, FIB-5, FIB-4</w:t>
      </w:r>
      <w:r w:rsidR="00F74960" w:rsidRPr="008F0BD8">
        <w:rPr>
          <w:rFonts w:asciiTheme="majorBidi" w:eastAsiaTheme="minorEastAsia" w:hAnsiTheme="majorBidi" w:cstheme="majorBidi"/>
          <w:sz w:val="24"/>
          <w:szCs w:val="24"/>
        </w:rPr>
        <w:t>, non-alcoholic fatty liver disease</w:t>
      </w:r>
      <w:r w:rsidR="00F6606D" w:rsidRPr="008F0BD8">
        <w:rPr>
          <w:rFonts w:asciiTheme="majorBidi" w:eastAsiaTheme="minorEastAsia" w:hAnsiTheme="majorBidi" w:cstheme="majorBidi"/>
          <w:sz w:val="24"/>
          <w:szCs w:val="24"/>
        </w:rPr>
        <w:t>, CAP, liver fibrosis, LSM, fatty liver</w:t>
      </w:r>
      <w:r w:rsidR="008605F8">
        <w:rPr>
          <w:rFonts w:asciiTheme="majorBidi" w:eastAsiaTheme="minorEastAsia" w:hAnsiTheme="majorBidi" w:cstheme="majorBidi"/>
          <w:sz w:val="24"/>
          <w:szCs w:val="24"/>
        </w:rPr>
        <w:t>.</w:t>
      </w:r>
    </w:p>
    <w:p w14:paraId="494E89D8" w14:textId="77777777" w:rsidR="00892D1F" w:rsidRPr="006D15CF" w:rsidRDefault="00892D1F" w:rsidP="003D38BF">
      <w:pPr>
        <w:bidi w:val="0"/>
        <w:spacing w:after="0" w:line="360" w:lineRule="auto"/>
        <w:rPr>
          <w:rFonts w:asciiTheme="majorBidi" w:hAnsiTheme="majorBidi" w:cstheme="majorBidi"/>
          <w:b/>
          <w:bCs/>
          <w:sz w:val="28"/>
          <w:szCs w:val="28"/>
          <w:lang w:bidi="ar-EG"/>
        </w:rPr>
      </w:pPr>
      <w:r w:rsidRPr="006D15CF">
        <w:rPr>
          <w:rFonts w:asciiTheme="majorBidi" w:hAnsiTheme="majorBidi" w:cstheme="majorBidi"/>
          <w:b/>
          <w:bCs/>
          <w:sz w:val="28"/>
          <w:szCs w:val="28"/>
          <w:lang w:bidi="ar-EG"/>
        </w:rPr>
        <w:t>Introduction:</w:t>
      </w:r>
    </w:p>
    <w:p w14:paraId="650AF357" w14:textId="77777777" w:rsidR="00892D1F" w:rsidRPr="008605F8" w:rsidRDefault="00892D1F" w:rsidP="008605F8">
      <w:pPr>
        <w:autoSpaceDE w:val="0"/>
        <w:autoSpaceDN w:val="0"/>
        <w:bidi w:val="0"/>
        <w:adjustRightInd w:val="0"/>
        <w:spacing w:after="0" w:line="360" w:lineRule="auto"/>
        <w:jc w:val="both"/>
        <w:rPr>
          <w:rFonts w:ascii="Times New Roman" w:eastAsia="Calibri" w:hAnsi="Times New Roman" w:cs="Times New Roman"/>
          <w:sz w:val="24"/>
          <w:szCs w:val="24"/>
        </w:rPr>
      </w:pPr>
      <w:r w:rsidRPr="008605F8">
        <w:rPr>
          <w:rFonts w:asciiTheme="majorBidi" w:hAnsiTheme="majorBidi" w:cstheme="majorBidi"/>
          <w:sz w:val="24"/>
          <w:szCs w:val="24"/>
        </w:rPr>
        <w:t>Non-alcoholic fatty liver disease (NAFLD) was identified as a pathological entity in 1980 as a disorder that resembles alcoholic fatty liver disease with significant fat infiltration to the liver but without excessive alcohol use or other causes of liver disease [1]</w:t>
      </w:r>
      <w:r w:rsidRPr="008605F8">
        <w:rPr>
          <w:rFonts w:ascii="Times New Roman" w:eastAsia="Calibri" w:hAnsi="Times New Roman" w:cs="Times New Roman"/>
          <w:sz w:val="24"/>
          <w:szCs w:val="24"/>
        </w:rPr>
        <w:t>.</w:t>
      </w:r>
    </w:p>
    <w:p w14:paraId="70264292" w14:textId="2E683A98" w:rsidR="00892D1F" w:rsidRPr="008605F8" w:rsidRDefault="00892D1F" w:rsidP="00892D1F">
      <w:pPr>
        <w:autoSpaceDE w:val="0"/>
        <w:autoSpaceDN w:val="0"/>
        <w:bidi w:val="0"/>
        <w:adjustRightInd w:val="0"/>
        <w:spacing w:after="0" w:line="360" w:lineRule="auto"/>
        <w:ind w:firstLine="720"/>
        <w:jc w:val="both"/>
        <w:rPr>
          <w:rFonts w:ascii="Times New Roman" w:eastAsia="Calibri" w:hAnsi="Times New Roman" w:cs="Times New Roman"/>
          <w:sz w:val="24"/>
          <w:szCs w:val="24"/>
        </w:rPr>
      </w:pPr>
      <w:r w:rsidRPr="008605F8">
        <w:rPr>
          <w:rFonts w:ascii="Times New Roman" w:eastAsia="Calibri" w:hAnsi="Times New Roman" w:cs="Times New Roman"/>
          <w:sz w:val="24"/>
          <w:szCs w:val="24"/>
        </w:rPr>
        <w:t xml:space="preserve">With an estimated prevalence of twenty to forty percent, NAFLD is one of the most frequent liver disorders in the developed and developing </w:t>
      </w:r>
      <w:r w:rsidR="00EF33BD" w:rsidRPr="008605F8">
        <w:rPr>
          <w:rFonts w:ascii="Times New Roman" w:eastAsia="Calibri" w:hAnsi="Times New Roman" w:cs="Times New Roman"/>
          <w:sz w:val="24"/>
          <w:szCs w:val="24"/>
        </w:rPr>
        <w:t>world</w:t>
      </w:r>
      <w:r w:rsidRPr="008605F8">
        <w:rPr>
          <w:rFonts w:ascii="Times New Roman" w:eastAsia="Calibri" w:hAnsi="Times New Roman" w:cs="Times New Roman"/>
          <w:sz w:val="24"/>
          <w:szCs w:val="24"/>
        </w:rPr>
        <w:t xml:space="preserve"> </w:t>
      </w:r>
      <w:r w:rsidRPr="008605F8">
        <w:rPr>
          <w:rFonts w:asciiTheme="majorBidi" w:hAnsiTheme="majorBidi" w:cstheme="majorBidi"/>
          <w:sz w:val="24"/>
          <w:szCs w:val="24"/>
        </w:rPr>
        <w:t>[2].</w:t>
      </w:r>
      <w:r w:rsidRPr="008605F8">
        <w:rPr>
          <w:rFonts w:ascii="Times New Roman" w:eastAsia="Calibri" w:hAnsi="Times New Roman" w:cs="Times New Roman"/>
          <w:sz w:val="24"/>
          <w:szCs w:val="24"/>
        </w:rPr>
        <w:t xml:space="preserve"> Our expertise </w:t>
      </w:r>
      <w:r w:rsidR="00EF33BD" w:rsidRPr="008605F8">
        <w:rPr>
          <w:rFonts w:ascii="Times New Roman" w:eastAsia="Calibri" w:hAnsi="Times New Roman" w:cs="Times New Roman"/>
          <w:sz w:val="24"/>
          <w:szCs w:val="24"/>
        </w:rPr>
        <w:t>in</w:t>
      </w:r>
      <w:r w:rsidRPr="008605F8">
        <w:rPr>
          <w:rFonts w:ascii="Times New Roman" w:eastAsia="Calibri" w:hAnsi="Times New Roman" w:cs="Times New Roman"/>
          <w:sz w:val="24"/>
          <w:szCs w:val="24"/>
        </w:rPr>
        <w:t xml:space="preserve"> NAFLD has progressed over the last forty years to broadly establish a relationship to metabolic dysregulation as </w:t>
      </w:r>
      <w:r w:rsidR="008605F8" w:rsidRPr="008605F8">
        <w:rPr>
          <w:rFonts w:ascii="Times New Roman" w:eastAsia="Calibri" w:hAnsi="Times New Roman" w:cs="Times New Roman"/>
          <w:sz w:val="24"/>
          <w:szCs w:val="24"/>
        </w:rPr>
        <w:t>a</w:t>
      </w:r>
      <w:r w:rsidRPr="008605F8">
        <w:rPr>
          <w:rFonts w:ascii="Times New Roman" w:eastAsia="Calibri" w:hAnsi="Times New Roman" w:cs="Times New Roman"/>
          <w:sz w:val="24"/>
          <w:szCs w:val="24"/>
        </w:rPr>
        <w:t xml:space="preserve"> </w:t>
      </w:r>
      <w:r w:rsidR="008605F8" w:rsidRPr="008605F8">
        <w:rPr>
          <w:rFonts w:ascii="Times New Roman" w:eastAsia="Calibri" w:hAnsi="Times New Roman" w:cs="Times New Roman"/>
          <w:sz w:val="24"/>
          <w:szCs w:val="24"/>
        </w:rPr>
        <w:t>significant</w:t>
      </w:r>
      <w:r w:rsidRPr="008605F8">
        <w:rPr>
          <w:rFonts w:ascii="Times New Roman" w:eastAsia="Calibri" w:hAnsi="Times New Roman" w:cs="Times New Roman"/>
          <w:sz w:val="24"/>
          <w:szCs w:val="24"/>
        </w:rPr>
        <w:t xml:space="preserve"> factor in the disease's pathophysiology</w:t>
      </w:r>
      <w:r w:rsidRPr="008605F8">
        <w:rPr>
          <w:rFonts w:asciiTheme="majorBidi" w:hAnsiTheme="majorBidi" w:cstheme="majorBidi"/>
          <w:sz w:val="24"/>
          <w:szCs w:val="24"/>
        </w:rPr>
        <w:t xml:space="preserve"> [3-6]</w:t>
      </w:r>
      <w:r w:rsidRPr="008605F8">
        <w:rPr>
          <w:rFonts w:ascii="Times New Roman" w:eastAsia="Calibri" w:hAnsi="Times New Roman" w:cs="Times New Roman"/>
          <w:sz w:val="24"/>
          <w:szCs w:val="24"/>
        </w:rPr>
        <w:t>.</w:t>
      </w:r>
    </w:p>
    <w:p w14:paraId="06D4BF72" w14:textId="69110DBF" w:rsidR="00892D1F" w:rsidRPr="008605F8" w:rsidRDefault="00892D1F" w:rsidP="008605F8">
      <w:pPr>
        <w:autoSpaceDE w:val="0"/>
        <w:autoSpaceDN w:val="0"/>
        <w:bidi w:val="0"/>
        <w:adjustRightInd w:val="0"/>
        <w:spacing w:after="0" w:line="360" w:lineRule="auto"/>
        <w:jc w:val="both"/>
        <w:rPr>
          <w:rFonts w:ascii="Times New Roman" w:eastAsia="Calibri" w:hAnsi="Times New Roman" w:cs="Times New Roman"/>
          <w:sz w:val="24"/>
          <w:szCs w:val="24"/>
        </w:rPr>
      </w:pPr>
      <w:r w:rsidRPr="008605F8">
        <w:rPr>
          <w:rFonts w:ascii="Times New Roman" w:eastAsia="Calibri" w:hAnsi="Times New Roman" w:cs="Times New Roman"/>
          <w:sz w:val="24"/>
          <w:szCs w:val="24"/>
        </w:rPr>
        <w:t xml:space="preserve">NAFLD is a broad category for a disease spectrum that includes non-alcoholic fatty liver (NAFL) or simple steatosis, which can proceed to non-alcoholic steatohepatitis (NASH), </w:t>
      </w:r>
      <w:r w:rsidR="00EF33BD" w:rsidRPr="008605F8">
        <w:rPr>
          <w:rFonts w:ascii="Times New Roman" w:eastAsia="Calibri" w:hAnsi="Times New Roman" w:cs="Times New Roman"/>
          <w:sz w:val="24"/>
          <w:szCs w:val="24"/>
        </w:rPr>
        <w:t xml:space="preserve">and </w:t>
      </w:r>
      <w:r w:rsidRPr="008605F8">
        <w:rPr>
          <w:rFonts w:ascii="Times New Roman" w:eastAsia="Calibri" w:hAnsi="Times New Roman" w:cs="Times New Roman"/>
          <w:sz w:val="24"/>
          <w:szCs w:val="24"/>
        </w:rPr>
        <w:t>cirrhosis</w:t>
      </w:r>
      <w:r w:rsidR="00EF33BD" w:rsidRPr="008605F8">
        <w:rPr>
          <w:rFonts w:ascii="Times New Roman" w:eastAsia="Calibri" w:hAnsi="Times New Roman" w:cs="Times New Roman"/>
          <w:sz w:val="24"/>
          <w:szCs w:val="24"/>
        </w:rPr>
        <w:t>. Finally,</w:t>
      </w:r>
      <w:r w:rsidRPr="008605F8">
        <w:rPr>
          <w:rFonts w:ascii="Times New Roman" w:eastAsia="Calibri" w:hAnsi="Times New Roman" w:cs="Times New Roman"/>
          <w:sz w:val="24"/>
          <w:szCs w:val="24"/>
        </w:rPr>
        <w:t xml:space="preserve"> hepatocellular carcinoma (HCC) </w:t>
      </w:r>
      <w:r w:rsidR="00E279B0">
        <w:rPr>
          <w:rFonts w:ascii="Times New Roman" w:eastAsia="Calibri" w:hAnsi="Times New Roman" w:cs="Times New Roman"/>
          <w:sz w:val="24"/>
          <w:szCs w:val="24"/>
        </w:rPr>
        <w:t>and</w:t>
      </w:r>
      <w:r w:rsidRPr="008605F8">
        <w:rPr>
          <w:rFonts w:ascii="Times New Roman" w:eastAsia="Calibri" w:hAnsi="Times New Roman" w:cs="Times New Roman"/>
          <w:sz w:val="24"/>
          <w:szCs w:val="24"/>
        </w:rPr>
        <w:t xml:space="preserve"> end-stage liver disease (ESLD), in the end</w:t>
      </w:r>
      <w:r w:rsidR="00EF33BD" w:rsidRPr="008605F8">
        <w:rPr>
          <w:rFonts w:ascii="Times New Roman" w:eastAsia="Calibri" w:hAnsi="Times New Roman" w:cs="Times New Roman"/>
          <w:sz w:val="24"/>
          <w:szCs w:val="24"/>
        </w:rPr>
        <w:t>,</w:t>
      </w:r>
      <w:r w:rsidRPr="008605F8">
        <w:rPr>
          <w:rFonts w:ascii="Times New Roman" w:eastAsia="Calibri" w:hAnsi="Times New Roman" w:cs="Times New Roman"/>
          <w:sz w:val="24"/>
          <w:szCs w:val="24"/>
        </w:rPr>
        <w:t xml:space="preserve"> severely </w:t>
      </w:r>
      <w:r w:rsidR="00EF33BD" w:rsidRPr="008605F8">
        <w:rPr>
          <w:rFonts w:ascii="Times New Roman" w:eastAsia="Calibri" w:hAnsi="Times New Roman" w:cs="Times New Roman"/>
          <w:sz w:val="24"/>
          <w:szCs w:val="24"/>
        </w:rPr>
        <w:t>impaired</w:t>
      </w:r>
      <w:r w:rsidRPr="008605F8">
        <w:rPr>
          <w:rFonts w:ascii="Times New Roman" w:eastAsia="Calibri" w:hAnsi="Times New Roman" w:cs="Times New Roman"/>
          <w:sz w:val="24"/>
          <w:szCs w:val="24"/>
        </w:rPr>
        <w:t xml:space="preserve"> liver function has occurred [7]. Even </w:t>
      </w:r>
      <w:r w:rsidR="00EF33BD" w:rsidRPr="008605F8">
        <w:rPr>
          <w:rFonts w:ascii="Times New Roman" w:eastAsia="Calibri" w:hAnsi="Times New Roman" w:cs="Times New Roman"/>
          <w:sz w:val="24"/>
          <w:szCs w:val="24"/>
        </w:rPr>
        <w:t>without</w:t>
      </w:r>
      <w:r w:rsidRPr="008605F8">
        <w:rPr>
          <w:rFonts w:ascii="Times New Roman" w:eastAsia="Calibri" w:hAnsi="Times New Roman" w:cs="Times New Roman"/>
          <w:sz w:val="24"/>
          <w:szCs w:val="24"/>
        </w:rPr>
        <w:t xml:space="preserve"> cirrhosis, advanced cases of NAFLD can develop </w:t>
      </w:r>
      <w:r w:rsidR="00EF33BD" w:rsidRPr="008605F8">
        <w:rPr>
          <w:rFonts w:ascii="Times New Roman" w:eastAsia="Calibri" w:hAnsi="Times New Roman" w:cs="Times New Roman"/>
          <w:sz w:val="24"/>
          <w:szCs w:val="24"/>
        </w:rPr>
        <w:t>into</w:t>
      </w:r>
      <w:r w:rsidRPr="008605F8">
        <w:rPr>
          <w:rFonts w:ascii="Times New Roman" w:eastAsia="Calibri" w:hAnsi="Times New Roman" w:cs="Times New Roman"/>
          <w:sz w:val="24"/>
          <w:szCs w:val="24"/>
        </w:rPr>
        <w:t xml:space="preserve"> HCC [8].</w:t>
      </w:r>
    </w:p>
    <w:p w14:paraId="2AC13B2D" w14:textId="00BA32B5" w:rsidR="00892D1F" w:rsidRPr="008605F8" w:rsidRDefault="00892D1F" w:rsidP="00892D1F">
      <w:pPr>
        <w:autoSpaceDE w:val="0"/>
        <w:autoSpaceDN w:val="0"/>
        <w:bidi w:val="0"/>
        <w:adjustRightInd w:val="0"/>
        <w:spacing w:after="0" w:line="360" w:lineRule="auto"/>
        <w:ind w:firstLine="720"/>
        <w:jc w:val="both"/>
        <w:rPr>
          <w:rFonts w:asciiTheme="majorBidi" w:hAnsiTheme="majorBidi" w:cstheme="majorBidi"/>
          <w:sz w:val="24"/>
          <w:szCs w:val="24"/>
        </w:rPr>
      </w:pPr>
      <w:r w:rsidRPr="008605F8">
        <w:rPr>
          <w:rFonts w:asciiTheme="majorBidi" w:hAnsiTheme="majorBidi" w:cstheme="majorBidi"/>
          <w:sz w:val="24"/>
          <w:szCs w:val="24"/>
        </w:rPr>
        <w:t xml:space="preserve">The liver biopsy is the gold standard for diagnosing NAFLD patients. However, due to its intrusive nature and related complications (e.g., </w:t>
      </w:r>
      <w:r w:rsidR="00BB0C2D" w:rsidRPr="008605F8">
        <w:rPr>
          <w:rFonts w:asciiTheme="majorBidi" w:hAnsiTheme="majorBidi" w:cstheme="majorBidi"/>
          <w:sz w:val="24"/>
          <w:szCs w:val="24"/>
        </w:rPr>
        <w:t>hemorrhage)</w:t>
      </w:r>
      <w:r w:rsidRPr="008605F8">
        <w:rPr>
          <w:rFonts w:asciiTheme="majorBidi" w:hAnsiTheme="majorBidi" w:cstheme="majorBidi"/>
          <w:sz w:val="24"/>
          <w:szCs w:val="24"/>
        </w:rPr>
        <w:t xml:space="preserve">, non-invasive techniques for evaluating liver fibrosis and steatosis have been developed in recent years, such as transient elastography, controlled attenuation parameter, or magnetic resonance depending. As a result, emphasis was placed on non-invasive imaging modalities, particularly transient elastography. </w:t>
      </w:r>
      <w:r w:rsidR="00B23C60">
        <w:rPr>
          <w:rFonts w:asciiTheme="majorBidi" w:hAnsiTheme="majorBidi" w:cstheme="majorBidi"/>
          <w:sz w:val="24"/>
          <w:szCs w:val="24"/>
        </w:rPr>
        <w:t>For example, v</w:t>
      </w:r>
      <w:r w:rsidRPr="008605F8">
        <w:rPr>
          <w:rFonts w:asciiTheme="majorBidi" w:hAnsiTheme="majorBidi" w:cstheme="majorBidi"/>
          <w:sz w:val="24"/>
          <w:szCs w:val="24"/>
        </w:rPr>
        <w:t xml:space="preserve">ibration-controlled transient elastography (VCTE) is a novel technology for measuring mean liver stiffness in a </w:t>
      </w:r>
      <w:r w:rsidR="00EF33BD" w:rsidRPr="008605F8">
        <w:rPr>
          <w:rFonts w:asciiTheme="majorBidi" w:hAnsiTheme="majorBidi" w:cstheme="majorBidi"/>
          <w:sz w:val="24"/>
          <w:szCs w:val="24"/>
        </w:rPr>
        <w:t>non-invasive</w:t>
      </w:r>
      <w:r w:rsidRPr="008605F8">
        <w:rPr>
          <w:rFonts w:asciiTheme="majorBidi" w:hAnsiTheme="majorBidi" w:cstheme="majorBidi"/>
          <w:sz w:val="24"/>
          <w:szCs w:val="24"/>
        </w:rPr>
        <w:t xml:space="preserve"> way. </w:t>
      </w:r>
      <w:r w:rsidR="00B23C60">
        <w:rPr>
          <w:rFonts w:asciiTheme="majorBidi" w:hAnsiTheme="majorBidi" w:cstheme="majorBidi"/>
          <w:sz w:val="24"/>
          <w:szCs w:val="24"/>
        </w:rPr>
        <w:t>In addition, s</w:t>
      </w:r>
      <w:r w:rsidRPr="008605F8">
        <w:rPr>
          <w:rFonts w:asciiTheme="majorBidi" w:hAnsiTheme="majorBidi" w:cstheme="majorBidi"/>
          <w:sz w:val="24"/>
          <w:szCs w:val="24"/>
        </w:rPr>
        <w:t>ome devices offer a controlled attenuation parameter (CAP) that may measure hepatic steatosis, allowing for the assessment of both hepatic fibrosis and steatosis in the same situation without any side consequences [9, 10].</w:t>
      </w:r>
    </w:p>
    <w:p w14:paraId="5208011E" w14:textId="4372D231" w:rsidR="00892D1F" w:rsidRPr="008605F8" w:rsidRDefault="00892D1F" w:rsidP="00892D1F">
      <w:pPr>
        <w:autoSpaceDE w:val="0"/>
        <w:autoSpaceDN w:val="0"/>
        <w:bidi w:val="0"/>
        <w:adjustRightInd w:val="0"/>
        <w:spacing w:after="0" w:line="360" w:lineRule="auto"/>
        <w:ind w:firstLine="720"/>
        <w:jc w:val="both"/>
        <w:rPr>
          <w:rFonts w:ascii="Times New Roman" w:hAnsi="Times New Roman" w:cs="Times New Roman"/>
          <w:color w:val="000000"/>
          <w:sz w:val="24"/>
          <w:szCs w:val="24"/>
        </w:rPr>
      </w:pPr>
      <w:r w:rsidRPr="008605F8">
        <w:rPr>
          <w:rFonts w:ascii="Times New Roman" w:hAnsi="Times New Roman" w:cs="Times New Roman"/>
          <w:color w:val="000000"/>
          <w:sz w:val="24"/>
          <w:szCs w:val="24"/>
        </w:rPr>
        <w:t xml:space="preserve">The FIB-5 score was developed by Attallah </w:t>
      </w:r>
      <w:r w:rsidR="00EF33BD" w:rsidRPr="008605F8">
        <w:rPr>
          <w:rFonts w:ascii="Times New Roman" w:hAnsi="Times New Roman" w:cs="Times New Roman"/>
          <w:color w:val="000000"/>
          <w:sz w:val="24"/>
          <w:szCs w:val="24"/>
        </w:rPr>
        <w:t>et al.</w:t>
      </w:r>
      <w:r w:rsidRPr="008605F8">
        <w:rPr>
          <w:rFonts w:ascii="Times New Roman" w:hAnsi="Times New Roman" w:cs="Times New Roman"/>
          <w:color w:val="000000"/>
          <w:sz w:val="24"/>
          <w:szCs w:val="24"/>
        </w:rPr>
        <w:t xml:space="preserve"> and is based on three biochemical markers (AST/ALT ratio, albumin, alkaline phosphatase (ALP)</w:t>
      </w:r>
      <w:r w:rsidR="00EF33BD" w:rsidRPr="008605F8">
        <w:rPr>
          <w:rFonts w:ascii="Times New Roman" w:hAnsi="Times New Roman" w:cs="Times New Roman"/>
          <w:color w:val="000000"/>
          <w:sz w:val="24"/>
          <w:szCs w:val="24"/>
        </w:rPr>
        <w:t>,</w:t>
      </w:r>
      <w:r w:rsidRPr="008605F8">
        <w:rPr>
          <w:rFonts w:ascii="Times New Roman" w:hAnsi="Times New Roman" w:cs="Times New Roman"/>
          <w:color w:val="000000"/>
          <w:sz w:val="24"/>
          <w:szCs w:val="24"/>
        </w:rPr>
        <w:t xml:space="preserve"> and one </w:t>
      </w:r>
      <w:r w:rsidR="00EF33BD" w:rsidRPr="008605F8">
        <w:rPr>
          <w:rFonts w:ascii="Times New Roman" w:hAnsi="Times New Roman" w:cs="Times New Roman"/>
          <w:color w:val="000000"/>
          <w:sz w:val="24"/>
          <w:szCs w:val="24"/>
        </w:rPr>
        <w:t>hematological</w:t>
      </w:r>
      <w:r w:rsidRPr="008605F8">
        <w:rPr>
          <w:rFonts w:ascii="Times New Roman" w:hAnsi="Times New Roman" w:cs="Times New Roman"/>
          <w:color w:val="000000"/>
          <w:sz w:val="24"/>
          <w:szCs w:val="24"/>
        </w:rPr>
        <w:t xml:space="preserve"> marker (platelet count). The score was verified on 604 chronic HCV patients [11].</w:t>
      </w:r>
    </w:p>
    <w:p w14:paraId="181FB896" w14:textId="2D920DDB" w:rsidR="00892D1F" w:rsidRPr="008605F8" w:rsidRDefault="00892D1F" w:rsidP="00892D1F">
      <w:pPr>
        <w:autoSpaceDE w:val="0"/>
        <w:autoSpaceDN w:val="0"/>
        <w:bidi w:val="0"/>
        <w:adjustRightInd w:val="0"/>
        <w:spacing w:after="0" w:line="360" w:lineRule="auto"/>
        <w:ind w:firstLine="720"/>
        <w:jc w:val="both"/>
        <w:rPr>
          <w:rFonts w:asciiTheme="majorBidi" w:eastAsia="Times New Roman" w:hAnsiTheme="majorBidi" w:cstheme="majorBidi"/>
          <w:sz w:val="24"/>
          <w:szCs w:val="24"/>
        </w:rPr>
      </w:pPr>
      <w:r w:rsidRPr="008605F8">
        <w:rPr>
          <w:rFonts w:ascii="Times New Roman" w:eastAsia="Times New Roman" w:hAnsi="Times New Roman" w:cs="Times New Roman"/>
          <w:sz w:val="24"/>
          <w:szCs w:val="24"/>
        </w:rPr>
        <w:t xml:space="preserve">Fibrosis- 4 (FIB-4) is a scoring system to estimate the grade of liver fibrosis using a combination of </w:t>
      </w:r>
      <w:r w:rsidR="00EF33BD" w:rsidRPr="008605F8">
        <w:rPr>
          <w:rFonts w:ascii="Times New Roman" w:eastAsia="Times New Roman" w:hAnsi="Times New Roman" w:cs="Times New Roman"/>
          <w:sz w:val="24"/>
          <w:szCs w:val="24"/>
        </w:rPr>
        <w:t xml:space="preserve">the </w:t>
      </w:r>
      <w:r w:rsidRPr="008605F8">
        <w:rPr>
          <w:rFonts w:ascii="Times New Roman" w:eastAsia="Times New Roman" w:hAnsi="Times New Roman" w:cs="Times New Roman"/>
          <w:sz w:val="24"/>
          <w:szCs w:val="24"/>
        </w:rPr>
        <w:t>patient</w:t>
      </w:r>
      <w:r w:rsidR="00256CE5">
        <w:rPr>
          <w:rFonts w:ascii="Times New Roman" w:eastAsia="Times New Roman" w:hAnsi="Times New Roman" w:cs="Times New Roman"/>
          <w:sz w:val="24"/>
          <w:szCs w:val="24"/>
        </w:rPr>
        <w:t>'</w:t>
      </w:r>
      <w:r w:rsidRPr="008605F8">
        <w:rPr>
          <w:rFonts w:ascii="Times New Roman" w:eastAsia="Times New Roman" w:hAnsi="Times New Roman" w:cs="Times New Roman"/>
          <w:sz w:val="24"/>
          <w:szCs w:val="24"/>
        </w:rPr>
        <w:t>s age, platelet count,</w:t>
      </w:r>
      <w:r w:rsidRPr="006D15CF">
        <w:rPr>
          <w:rFonts w:ascii="Times New Roman" w:eastAsia="Times New Roman" w:hAnsi="Times New Roman" w:cs="Times New Roman"/>
          <w:sz w:val="28"/>
          <w:szCs w:val="28"/>
        </w:rPr>
        <w:t xml:space="preserve"> </w:t>
      </w:r>
      <w:r w:rsidRPr="008605F8">
        <w:rPr>
          <w:rFonts w:ascii="Times New Roman" w:eastAsia="Times New Roman" w:hAnsi="Times New Roman" w:cs="Times New Roman"/>
          <w:sz w:val="24"/>
          <w:szCs w:val="24"/>
        </w:rPr>
        <w:t>aspartate transaminase</w:t>
      </w:r>
      <w:r w:rsidRPr="006D15CF">
        <w:rPr>
          <w:rFonts w:ascii="Times New Roman" w:eastAsia="Times New Roman" w:hAnsi="Times New Roman" w:cs="Times New Roman"/>
          <w:sz w:val="28"/>
          <w:szCs w:val="28"/>
        </w:rPr>
        <w:t xml:space="preserve"> </w:t>
      </w:r>
      <w:r w:rsidRPr="008605F8">
        <w:rPr>
          <w:rFonts w:ascii="Times New Roman" w:eastAsia="Times New Roman" w:hAnsi="Times New Roman" w:cs="Times New Roman"/>
          <w:sz w:val="24"/>
          <w:szCs w:val="24"/>
        </w:rPr>
        <w:t>(AST)</w:t>
      </w:r>
      <w:r w:rsidR="00EF33BD" w:rsidRPr="008605F8">
        <w:rPr>
          <w:rFonts w:ascii="Times New Roman" w:eastAsia="Times New Roman" w:hAnsi="Times New Roman" w:cs="Times New Roman"/>
          <w:sz w:val="24"/>
          <w:szCs w:val="24"/>
        </w:rPr>
        <w:t>,</w:t>
      </w:r>
      <w:r w:rsidRPr="008605F8">
        <w:rPr>
          <w:rFonts w:ascii="Times New Roman" w:eastAsia="Times New Roman" w:hAnsi="Times New Roman" w:cs="Times New Roman"/>
          <w:sz w:val="24"/>
          <w:szCs w:val="24"/>
        </w:rPr>
        <w:t xml:space="preserve"> and alanine transaminase (ALT), all </w:t>
      </w:r>
      <w:r w:rsidR="00EF33BD" w:rsidRPr="008605F8">
        <w:rPr>
          <w:rFonts w:ascii="Times New Roman" w:eastAsia="Times New Roman" w:hAnsi="Times New Roman" w:cs="Times New Roman"/>
          <w:sz w:val="24"/>
          <w:szCs w:val="24"/>
        </w:rPr>
        <w:t>readily</w:t>
      </w:r>
      <w:r w:rsidRPr="008605F8">
        <w:rPr>
          <w:rFonts w:ascii="Times New Roman" w:eastAsia="Times New Roman" w:hAnsi="Times New Roman" w:cs="Times New Roman"/>
          <w:sz w:val="24"/>
          <w:szCs w:val="24"/>
        </w:rPr>
        <w:t xml:space="preserve"> available to a primary care physician, besides being inexpensive </w:t>
      </w:r>
      <w:r w:rsidR="00581C14" w:rsidRPr="008605F8">
        <w:rPr>
          <w:rFonts w:ascii="Times New Roman" w:hAnsi="Times New Roman" w:cs="Times New Roman"/>
          <w:color w:val="000000"/>
          <w:sz w:val="24"/>
          <w:szCs w:val="24"/>
        </w:rPr>
        <w:t>[12</w:t>
      </w:r>
      <w:r w:rsidRPr="008605F8">
        <w:rPr>
          <w:rFonts w:ascii="Times New Roman" w:hAnsi="Times New Roman" w:cs="Times New Roman"/>
          <w:color w:val="000000"/>
          <w:sz w:val="24"/>
          <w:szCs w:val="24"/>
        </w:rPr>
        <w:t>].</w:t>
      </w:r>
    </w:p>
    <w:p w14:paraId="13F9206C" w14:textId="2ABA5B00" w:rsidR="00892D1F" w:rsidRPr="008605F8" w:rsidRDefault="00892D1F" w:rsidP="004C5D06">
      <w:pPr>
        <w:autoSpaceDE w:val="0"/>
        <w:autoSpaceDN w:val="0"/>
        <w:bidi w:val="0"/>
        <w:adjustRightInd w:val="0"/>
        <w:spacing w:after="0" w:line="360" w:lineRule="auto"/>
        <w:ind w:firstLine="720"/>
        <w:jc w:val="both"/>
        <w:rPr>
          <w:rFonts w:asciiTheme="majorBidi" w:eastAsia="Times New Roman" w:hAnsiTheme="majorBidi" w:cstheme="majorBidi"/>
          <w:sz w:val="24"/>
          <w:szCs w:val="24"/>
        </w:rPr>
      </w:pPr>
      <w:r w:rsidRPr="008605F8">
        <w:rPr>
          <w:rFonts w:asciiTheme="majorBidi" w:eastAsia="Times New Roman" w:hAnsiTheme="majorBidi" w:cstheme="majorBidi"/>
          <w:sz w:val="24"/>
          <w:szCs w:val="24"/>
        </w:rPr>
        <w:t xml:space="preserve">The objective of this study was to compare the </w:t>
      </w:r>
      <w:r w:rsidR="00EF33BD" w:rsidRPr="008605F8">
        <w:rPr>
          <w:rFonts w:asciiTheme="majorBidi" w:eastAsia="Times New Roman" w:hAnsiTheme="majorBidi" w:cstheme="majorBidi"/>
          <w:sz w:val="24"/>
          <w:szCs w:val="24"/>
        </w:rPr>
        <w:t>performance</w:t>
      </w:r>
      <w:r w:rsidRPr="008605F8">
        <w:rPr>
          <w:rFonts w:asciiTheme="majorBidi" w:eastAsia="Times New Roman" w:hAnsiTheme="majorBidi" w:cstheme="majorBidi"/>
          <w:sz w:val="24"/>
          <w:szCs w:val="24"/>
        </w:rPr>
        <w:t xml:space="preserve"> of simple biochemical scores</w:t>
      </w:r>
      <w:r w:rsidR="004C5D06" w:rsidRPr="008605F8">
        <w:rPr>
          <w:rFonts w:asciiTheme="majorBidi" w:eastAsia="Times New Roman" w:hAnsiTheme="majorBidi" w:cstheme="majorBidi"/>
          <w:sz w:val="24"/>
          <w:szCs w:val="24"/>
        </w:rPr>
        <w:t>;</w:t>
      </w:r>
      <w:r w:rsidRPr="008605F8">
        <w:rPr>
          <w:rFonts w:asciiTheme="majorBidi" w:eastAsia="Times New Roman" w:hAnsiTheme="majorBidi" w:cstheme="majorBidi"/>
          <w:sz w:val="24"/>
          <w:szCs w:val="24"/>
        </w:rPr>
        <w:t xml:space="preserve"> FIB-5 and FIB-4</w:t>
      </w:r>
      <w:r w:rsidR="00EF33BD" w:rsidRPr="008605F8">
        <w:rPr>
          <w:rFonts w:asciiTheme="majorBidi" w:eastAsia="Times New Roman" w:hAnsiTheme="majorBidi" w:cstheme="majorBidi"/>
          <w:sz w:val="24"/>
          <w:szCs w:val="24"/>
        </w:rPr>
        <w:t>,</w:t>
      </w:r>
      <w:r w:rsidRPr="008605F8">
        <w:rPr>
          <w:rFonts w:asciiTheme="majorBidi" w:eastAsia="Times New Roman" w:hAnsiTheme="majorBidi" w:cstheme="majorBidi"/>
          <w:sz w:val="24"/>
          <w:szCs w:val="24"/>
        </w:rPr>
        <w:t xml:space="preserve"> with fibroscan to </w:t>
      </w:r>
      <w:r w:rsidR="004C5D06" w:rsidRPr="008605F8">
        <w:rPr>
          <w:rFonts w:asciiTheme="majorBidi" w:eastAsia="Times New Roman" w:hAnsiTheme="majorBidi" w:cstheme="majorBidi"/>
          <w:sz w:val="24"/>
          <w:szCs w:val="24"/>
        </w:rPr>
        <w:t xml:space="preserve">differentiate </w:t>
      </w:r>
      <w:r w:rsidR="004C5D06" w:rsidRPr="00790B32">
        <w:rPr>
          <w:rFonts w:asciiTheme="majorBidi" w:eastAsia="Times New Roman" w:hAnsiTheme="majorBidi" w:cstheme="majorBidi"/>
          <w:sz w:val="24"/>
          <w:szCs w:val="24"/>
        </w:rPr>
        <w:t>mild to moderate</w:t>
      </w:r>
      <w:r w:rsidRPr="00790B32">
        <w:rPr>
          <w:rFonts w:asciiTheme="majorBidi" w:eastAsia="Times New Roman" w:hAnsiTheme="majorBidi" w:cstheme="majorBidi"/>
          <w:sz w:val="24"/>
          <w:szCs w:val="24"/>
        </w:rPr>
        <w:t xml:space="preserve"> fibrosis</w:t>
      </w:r>
      <w:r w:rsidRPr="008605F8">
        <w:rPr>
          <w:rFonts w:asciiTheme="majorBidi" w:eastAsia="Times New Roman" w:hAnsiTheme="majorBidi" w:cstheme="majorBidi"/>
          <w:sz w:val="24"/>
          <w:szCs w:val="24"/>
        </w:rPr>
        <w:t xml:space="preserve"> </w:t>
      </w:r>
      <w:r w:rsidRPr="00790B32">
        <w:rPr>
          <w:rFonts w:asciiTheme="majorBidi" w:eastAsia="Times New Roman" w:hAnsiTheme="majorBidi" w:cstheme="majorBidi"/>
          <w:sz w:val="24"/>
          <w:szCs w:val="24"/>
        </w:rPr>
        <w:t>(</w:t>
      </w:r>
      <w:r w:rsidR="004C5D06" w:rsidRPr="00790B32">
        <w:rPr>
          <w:rFonts w:asciiTheme="majorBidi" w:eastAsia="Times New Roman" w:hAnsiTheme="majorBidi" w:cstheme="majorBidi"/>
          <w:sz w:val="24"/>
          <w:szCs w:val="24"/>
        </w:rPr>
        <w:t xml:space="preserve">MF; </w:t>
      </w:r>
      <w:r w:rsidRPr="00790B32">
        <w:rPr>
          <w:rFonts w:asciiTheme="majorBidi" w:eastAsia="Times New Roman" w:hAnsiTheme="majorBidi" w:cstheme="majorBidi"/>
          <w:sz w:val="24"/>
          <w:szCs w:val="24"/>
        </w:rPr>
        <w:t>F0 to F</w:t>
      </w:r>
      <w:r w:rsidR="004C5D06" w:rsidRPr="00790B32">
        <w:rPr>
          <w:rFonts w:asciiTheme="majorBidi" w:eastAsia="Times New Roman" w:hAnsiTheme="majorBidi" w:cstheme="majorBidi"/>
          <w:sz w:val="24"/>
          <w:szCs w:val="24"/>
        </w:rPr>
        <w:t>2</w:t>
      </w:r>
      <w:r w:rsidRPr="00790B32">
        <w:rPr>
          <w:rFonts w:asciiTheme="majorBidi" w:eastAsia="Times New Roman" w:hAnsiTheme="majorBidi" w:cstheme="majorBidi"/>
          <w:sz w:val="24"/>
          <w:szCs w:val="24"/>
        </w:rPr>
        <w:t>)</w:t>
      </w:r>
      <w:r w:rsidRPr="008605F8">
        <w:rPr>
          <w:rFonts w:asciiTheme="majorBidi" w:eastAsia="Times New Roman" w:hAnsiTheme="majorBidi" w:cstheme="majorBidi"/>
          <w:sz w:val="24"/>
          <w:szCs w:val="24"/>
        </w:rPr>
        <w:t xml:space="preserve"> and advanced </w:t>
      </w:r>
      <w:r w:rsidR="004C5D06" w:rsidRPr="00790B32">
        <w:rPr>
          <w:rFonts w:asciiTheme="majorBidi" w:eastAsia="Times New Roman" w:hAnsiTheme="majorBidi" w:cstheme="majorBidi"/>
          <w:sz w:val="24"/>
          <w:szCs w:val="24"/>
        </w:rPr>
        <w:t>fibrosis (AF; F3</w:t>
      </w:r>
      <w:r w:rsidRPr="00790B32">
        <w:rPr>
          <w:rFonts w:asciiTheme="majorBidi" w:eastAsia="Times New Roman" w:hAnsiTheme="majorBidi" w:cstheme="majorBidi"/>
          <w:sz w:val="24"/>
          <w:szCs w:val="24"/>
        </w:rPr>
        <w:t xml:space="preserve"> to F4)</w:t>
      </w:r>
      <w:r w:rsidRPr="008605F8">
        <w:rPr>
          <w:rFonts w:asciiTheme="majorBidi" w:eastAsia="Times New Roman" w:hAnsiTheme="majorBidi" w:cstheme="majorBidi"/>
          <w:sz w:val="24"/>
          <w:szCs w:val="24"/>
        </w:rPr>
        <w:t xml:space="preserve"> </w:t>
      </w:r>
      <w:r w:rsidR="004023C1" w:rsidRPr="008605F8">
        <w:rPr>
          <w:rFonts w:asciiTheme="majorBidi" w:eastAsia="Times New Roman" w:hAnsiTheme="majorBidi" w:cstheme="majorBidi"/>
          <w:sz w:val="24"/>
          <w:szCs w:val="24"/>
        </w:rPr>
        <w:t>in patients</w:t>
      </w:r>
      <w:r w:rsidRPr="008605F8">
        <w:rPr>
          <w:rFonts w:asciiTheme="majorBidi" w:eastAsia="Times New Roman" w:hAnsiTheme="majorBidi" w:cstheme="majorBidi"/>
          <w:sz w:val="24"/>
          <w:szCs w:val="24"/>
        </w:rPr>
        <w:t xml:space="preserve"> with NAFLD.</w:t>
      </w:r>
    </w:p>
    <w:p w14:paraId="575D7F1D" w14:textId="0C7606E3" w:rsidR="00892D1F" w:rsidRPr="006D15CF" w:rsidRDefault="00892D1F" w:rsidP="00BB0C2D">
      <w:pPr>
        <w:bidi w:val="0"/>
        <w:spacing w:after="0" w:line="360" w:lineRule="auto"/>
        <w:jc w:val="both"/>
        <w:rPr>
          <w:rFonts w:asciiTheme="majorBidi" w:eastAsia="Calibri" w:hAnsiTheme="majorBidi" w:cstheme="majorBidi"/>
          <w:b/>
          <w:bCs/>
          <w:sz w:val="28"/>
          <w:szCs w:val="28"/>
        </w:rPr>
      </w:pPr>
      <w:r w:rsidRPr="006D15CF">
        <w:rPr>
          <w:rFonts w:asciiTheme="majorBidi" w:eastAsia="Calibri" w:hAnsiTheme="majorBidi" w:cstheme="majorBidi"/>
          <w:b/>
          <w:bCs/>
          <w:sz w:val="28"/>
          <w:szCs w:val="28"/>
        </w:rPr>
        <w:t>Patients and methods</w:t>
      </w:r>
      <w:r w:rsidR="00DE60B6" w:rsidRPr="006D15CF">
        <w:rPr>
          <w:rFonts w:asciiTheme="majorBidi" w:eastAsia="Calibri" w:hAnsiTheme="majorBidi" w:cstheme="majorBidi"/>
          <w:b/>
          <w:bCs/>
          <w:sz w:val="28"/>
          <w:szCs w:val="28"/>
        </w:rPr>
        <w:t>:</w:t>
      </w:r>
    </w:p>
    <w:p w14:paraId="670380EE" w14:textId="3482EA4B" w:rsidR="00DE60B6" w:rsidRPr="00790B32" w:rsidRDefault="00DE60B6"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The site, Type, and Study Period</w:t>
      </w:r>
    </w:p>
    <w:p w14:paraId="38E257FF" w14:textId="77777777" w:rsidR="00892D1F" w:rsidRPr="00790B32" w:rsidRDefault="00892D1F"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This cross-sectional study was done on 116 patients who presented to Tanta University Hospital's Department of Tropical Medicine and Infectious Diseases between December 2021 and June 2022.</w:t>
      </w:r>
    </w:p>
    <w:p w14:paraId="16DADD93" w14:textId="7E52510B" w:rsidR="00892D1F" w:rsidRPr="00790B32" w:rsidRDefault="00892D1F"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 xml:space="preserve">Before the study began, the Ethical Committee approved it </w:t>
      </w:r>
      <w:r w:rsidR="00EF33BD" w:rsidRPr="00790B32">
        <w:rPr>
          <w:rFonts w:asciiTheme="majorBidi" w:eastAsia="Times New Roman" w:hAnsiTheme="majorBidi" w:cstheme="majorBidi"/>
          <w:sz w:val="24"/>
          <w:szCs w:val="24"/>
        </w:rPr>
        <w:t>following</w:t>
      </w:r>
      <w:r w:rsidRPr="00790B32">
        <w:rPr>
          <w:rFonts w:asciiTheme="majorBidi" w:eastAsia="Times New Roman" w:hAnsiTheme="majorBidi" w:cstheme="majorBidi"/>
          <w:sz w:val="24"/>
          <w:szCs w:val="24"/>
        </w:rPr>
        <w:t xml:space="preserve"> the Helsinki Declaration (approval number:35108 \12\ 21). The purpose of the research was explained to all participants, and each patient signed an informed consent form before being enrolled in the study.</w:t>
      </w:r>
    </w:p>
    <w:p w14:paraId="0C62ABD2" w14:textId="36FC00D8" w:rsidR="00DE6420" w:rsidRPr="00790B32" w:rsidRDefault="00EF33BD" w:rsidP="004C5D06">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Three hundred fifteen</w:t>
      </w:r>
      <w:r w:rsidR="00E545C2" w:rsidRPr="00790B32">
        <w:rPr>
          <w:rFonts w:asciiTheme="majorBidi" w:eastAsia="Times New Roman" w:hAnsiTheme="majorBidi" w:cstheme="majorBidi"/>
          <w:sz w:val="24"/>
          <w:szCs w:val="24"/>
        </w:rPr>
        <w:t xml:space="preserve"> patients were screened by abdominal ultrasound for the presence of bright liver</w:t>
      </w:r>
      <w:r w:rsidR="00A50BBA" w:rsidRPr="00790B32">
        <w:rPr>
          <w:rFonts w:asciiTheme="majorBidi" w:eastAsia="Times New Roman" w:hAnsiTheme="majorBidi" w:cstheme="majorBidi"/>
          <w:sz w:val="24"/>
          <w:szCs w:val="24"/>
        </w:rPr>
        <w:t xml:space="preserve">. </w:t>
      </w:r>
      <w:r w:rsidRPr="00790B32">
        <w:rPr>
          <w:rFonts w:asciiTheme="majorBidi" w:eastAsia="Times New Roman" w:hAnsiTheme="majorBidi" w:cstheme="majorBidi"/>
          <w:sz w:val="24"/>
          <w:szCs w:val="24"/>
        </w:rPr>
        <w:t>Grading</w:t>
      </w:r>
      <w:r w:rsidR="00DE6420" w:rsidRPr="00790B32">
        <w:rPr>
          <w:rFonts w:asciiTheme="majorBidi" w:eastAsia="Times New Roman" w:hAnsiTheme="majorBidi" w:cstheme="majorBidi"/>
          <w:sz w:val="24"/>
          <w:szCs w:val="24"/>
        </w:rPr>
        <w:t xml:space="preserve"> of steatosis revealed by ultrasound was done according to Saadeh </w:t>
      </w:r>
      <w:r w:rsidRPr="00790B32">
        <w:rPr>
          <w:rFonts w:asciiTheme="majorBidi" w:eastAsia="Times New Roman" w:hAnsiTheme="majorBidi" w:cstheme="majorBidi"/>
          <w:sz w:val="24"/>
          <w:szCs w:val="24"/>
        </w:rPr>
        <w:t>et al.</w:t>
      </w:r>
      <w:r w:rsidR="00DE6420" w:rsidRPr="00790B32">
        <w:rPr>
          <w:rFonts w:asciiTheme="majorBidi" w:eastAsia="Times New Roman" w:hAnsiTheme="majorBidi" w:cstheme="majorBidi"/>
          <w:sz w:val="24"/>
          <w:szCs w:val="24"/>
        </w:rPr>
        <w:t xml:space="preserve"> as follows</w:t>
      </w:r>
      <w:r w:rsidR="00DF5FA9" w:rsidRPr="00790B32">
        <w:rPr>
          <w:rFonts w:asciiTheme="majorBidi" w:eastAsia="Times New Roman" w:hAnsiTheme="majorBidi" w:cstheme="majorBidi"/>
          <w:sz w:val="24"/>
          <w:szCs w:val="24"/>
        </w:rPr>
        <w:t xml:space="preserve"> [29]</w:t>
      </w:r>
      <w:r w:rsidR="00DE6420" w:rsidRPr="00790B32">
        <w:rPr>
          <w:rFonts w:asciiTheme="majorBidi" w:eastAsia="Times New Roman" w:hAnsiTheme="majorBidi" w:cstheme="majorBidi"/>
          <w:sz w:val="24"/>
          <w:szCs w:val="24"/>
        </w:rPr>
        <w:t>:</w:t>
      </w:r>
    </w:p>
    <w:p w14:paraId="40665D0C" w14:textId="77777777" w:rsidR="00DE6420" w:rsidRPr="00790B32" w:rsidRDefault="00DE6420" w:rsidP="00DE6420">
      <w:pPr>
        <w:numPr>
          <w:ilvl w:val="0"/>
          <w:numId w:val="5"/>
        </w:numPr>
        <w:bidi w:val="0"/>
        <w:spacing w:after="0" w:line="360" w:lineRule="auto"/>
        <w:ind w:left="0" w:firstLine="0"/>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Grade 1: the echogenicity of the liver is just increased.</w:t>
      </w:r>
    </w:p>
    <w:p w14:paraId="320C7352" w14:textId="77777777" w:rsidR="00DE6420" w:rsidRPr="00790B32" w:rsidRDefault="00DE6420" w:rsidP="00DE6420">
      <w:pPr>
        <w:numPr>
          <w:ilvl w:val="0"/>
          <w:numId w:val="5"/>
        </w:numPr>
        <w:bidi w:val="0"/>
        <w:spacing w:after="0" w:line="360" w:lineRule="auto"/>
        <w:ind w:left="0" w:firstLine="0"/>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Grade 2: echogenicity of liver obscures the echogenicity of walls of portal vein branches.</w:t>
      </w:r>
    </w:p>
    <w:p w14:paraId="625EB851" w14:textId="40DF30CF" w:rsidR="00DE6420" w:rsidRPr="00790B32" w:rsidRDefault="00DE6420" w:rsidP="00581C14">
      <w:pPr>
        <w:numPr>
          <w:ilvl w:val="0"/>
          <w:numId w:val="5"/>
        </w:numPr>
        <w:bidi w:val="0"/>
        <w:spacing w:after="0" w:line="360" w:lineRule="auto"/>
        <w:ind w:left="0" w:firstLine="0"/>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 xml:space="preserve">Grade 3: echogenicity </w:t>
      </w:r>
      <w:r w:rsidR="00EF33BD" w:rsidRPr="00790B32">
        <w:rPr>
          <w:rFonts w:asciiTheme="majorBidi" w:eastAsia="Times New Roman" w:hAnsiTheme="majorBidi" w:cstheme="majorBidi"/>
          <w:sz w:val="24"/>
          <w:szCs w:val="24"/>
        </w:rPr>
        <w:t xml:space="preserve">of </w:t>
      </w:r>
      <w:r w:rsidRPr="00790B32">
        <w:rPr>
          <w:rFonts w:asciiTheme="majorBidi" w:eastAsia="Times New Roman" w:hAnsiTheme="majorBidi" w:cstheme="majorBidi"/>
          <w:sz w:val="24"/>
          <w:szCs w:val="24"/>
        </w:rPr>
        <w:t xml:space="preserve">the f liver obscures the diaphragmatic </w:t>
      </w:r>
      <w:r w:rsidR="004C5D06" w:rsidRPr="00790B32">
        <w:rPr>
          <w:rFonts w:asciiTheme="majorBidi" w:eastAsia="Times New Roman" w:hAnsiTheme="majorBidi" w:cstheme="majorBidi"/>
          <w:sz w:val="24"/>
          <w:szCs w:val="24"/>
        </w:rPr>
        <w:t>outline</w:t>
      </w:r>
      <w:r w:rsidRPr="00790B32">
        <w:rPr>
          <w:rFonts w:asciiTheme="majorBidi" w:eastAsia="Times New Roman" w:hAnsiTheme="majorBidi" w:cstheme="majorBidi"/>
          <w:sz w:val="24"/>
          <w:szCs w:val="24"/>
        </w:rPr>
        <w:t>.</w:t>
      </w:r>
    </w:p>
    <w:p w14:paraId="77AAD220" w14:textId="00016830" w:rsidR="00B41CE9" w:rsidRPr="00790B32" w:rsidRDefault="004C5D06" w:rsidP="004C5D06">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 xml:space="preserve">200 Patients with bright liver then undergo fibroscan examination. </w:t>
      </w:r>
    </w:p>
    <w:p w14:paraId="0AD2A49C" w14:textId="7CB91D08" w:rsidR="00892D1F" w:rsidRDefault="00A50BBA" w:rsidP="004C5D06">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 xml:space="preserve">The diagnosis of hepatic steatosis in NAFLD </w:t>
      </w:r>
      <w:r w:rsidR="005275ED" w:rsidRPr="00790B32">
        <w:rPr>
          <w:rFonts w:asciiTheme="majorBidi" w:eastAsia="Times New Roman" w:hAnsiTheme="majorBidi" w:cstheme="majorBidi"/>
          <w:sz w:val="24"/>
          <w:szCs w:val="24"/>
        </w:rPr>
        <w:t>patients</w:t>
      </w:r>
      <w:r w:rsidR="003337C1" w:rsidRPr="00790B32">
        <w:rPr>
          <w:rFonts w:asciiTheme="majorBidi" w:eastAsia="Times New Roman" w:hAnsiTheme="majorBidi" w:cstheme="majorBidi"/>
          <w:sz w:val="24"/>
          <w:szCs w:val="24"/>
        </w:rPr>
        <w:t xml:space="preserve"> was confirmed</w:t>
      </w:r>
      <w:r w:rsidR="005275ED" w:rsidRPr="00790B32">
        <w:rPr>
          <w:rFonts w:asciiTheme="majorBidi" w:eastAsia="Times New Roman" w:hAnsiTheme="majorBidi" w:cstheme="majorBidi"/>
          <w:sz w:val="24"/>
          <w:szCs w:val="24"/>
        </w:rPr>
        <w:t xml:space="preserve"> by</w:t>
      </w:r>
      <w:r w:rsidRPr="00790B32">
        <w:rPr>
          <w:rFonts w:asciiTheme="majorBidi" w:eastAsia="Times New Roman" w:hAnsiTheme="majorBidi" w:cstheme="majorBidi"/>
          <w:sz w:val="24"/>
          <w:szCs w:val="24"/>
        </w:rPr>
        <w:t xml:space="preserve"> </w:t>
      </w:r>
      <w:r w:rsidR="00EF33BD" w:rsidRPr="00790B32">
        <w:rPr>
          <w:rFonts w:asciiTheme="majorBidi" w:eastAsia="Times New Roman" w:hAnsiTheme="majorBidi" w:cstheme="majorBidi"/>
          <w:sz w:val="24"/>
          <w:szCs w:val="24"/>
        </w:rPr>
        <w:t xml:space="preserve">a </w:t>
      </w:r>
      <w:r w:rsidRPr="00790B32">
        <w:rPr>
          <w:rFonts w:asciiTheme="majorBidi" w:eastAsia="Times New Roman" w:hAnsiTheme="majorBidi" w:cstheme="majorBidi"/>
          <w:sz w:val="24"/>
          <w:szCs w:val="24"/>
        </w:rPr>
        <w:t>CAP score of more than 2</w:t>
      </w:r>
      <w:r w:rsidR="004C5D06" w:rsidRPr="00790B32">
        <w:rPr>
          <w:rFonts w:asciiTheme="majorBidi" w:eastAsia="Times New Roman" w:hAnsiTheme="majorBidi" w:cstheme="majorBidi"/>
          <w:sz w:val="24"/>
          <w:szCs w:val="24"/>
        </w:rPr>
        <w:t>37</w:t>
      </w:r>
      <w:r w:rsidRPr="00790B32">
        <w:rPr>
          <w:rFonts w:asciiTheme="majorBidi" w:eastAsia="Times New Roman" w:hAnsiTheme="majorBidi" w:cstheme="majorBidi"/>
          <w:sz w:val="24"/>
          <w:szCs w:val="24"/>
        </w:rPr>
        <w:t xml:space="preserve"> dB/ </w:t>
      </w:r>
      <w:r w:rsidR="005275ED" w:rsidRPr="00790B32">
        <w:rPr>
          <w:rFonts w:asciiTheme="majorBidi" w:eastAsia="Times New Roman" w:hAnsiTheme="majorBidi" w:cstheme="majorBidi"/>
          <w:sz w:val="24"/>
          <w:szCs w:val="24"/>
        </w:rPr>
        <w:t xml:space="preserve">m. </w:t>
      </w:r>
      <w:r w:rsidRPr="00790B32">
        <w:rPr>
          <w:rFonts w:asciiTheme="majorBidi" w:eastAsia="Times New Roman" w:hAnsiTheme="majorBidi" w:cstheme="majorBidi"/>
          <w:sz w:val="24"/>
          <w:szCs w:val="24"/>
        </w:rPr>
        <w:t xml:space="preserve">Of </w:t>
      </w:r>
      <w:r w:rsidR="005F2EAB" w:rsidRPr="00790B32">
        <w:rPr>
          <w:rFonts w:asciiTheme="majorBidi" w:eastAsia="Times New Roman" w:hAnsiTheme="majorBidi" w:cstheme="majorBidi"/>
          <w:sz w:val="24"/>
          <w:szCs w:val="24"/>
        </w:rPr>
        <w:t>these, 116</w:t>
      </w:r>
      <w:r w:rsidR="00E545C2" w:rsidRPr="00790B32">
        <w:rPr>
          <w:rFonts w:asciiTheme="majorBidi" w:eastAsia="Times New Roman" w:hAnsiTheme="majorBidi" w:cstheme="majorBidi"/>
          <w:sz w:val="24"/>
          <w:szCs w:val="24"/>
        </w:rPr>
        <w:t xml:space="preserve"> </w:t>
      </w:r>
      <w:r w:rsidR="00E279B0">
        <w:rPr>
          <w:rFonts w:asciiTheme="majorBidi" w:eastAsia="Times New Roman" w:hAnsiTheme="majorBidi" w:cstheme="majorBidi"/>
          <w:sz w:val="24"/>
          <w:szCs w:val="24"/>
        </w:rPr>
        <w:t>male or female patients</w:t>
      </w:r>
      <w:r w:rsidR="00E545C2" w:rsidRPr="00790B32">
        <w:rPr>
          <w:rFonts w:asciiTheme="majorBidi" w:eastAsia="Times New Roman" w:hAnsiTheme="majorBidi" w:cstheme="majorBidi"/>
          <w:sz w:val="24"/>
          <w:szCs w:val="24"/>
        </w:rPr>
        <w:t xml:space="preserve"> </w:t>
      </w:r>
      <w:r w:rsidR="00EF33BD" w:rsidRPr="00790B32">
        <w:rPr>
          <w:rFonts w:asciiTheme="majorBidi" w:eastAsia="Times New Roman" w:hAnsiTheme="majorBidi" w:cstheme="majorBidi"/>
          <w:sz w:val="24"/>
          <w:szCs w:val="24"/>
        </w:rPr>
        <w:t>older</w:t>
      </w:r>
      <w:r w:rsidR="00E545C2" w:rsidRPr="00790B32">
        <w:rPr>
          <w:rFonts w:asciiTheme="majorBidi" w:eastAsia="Times New Roman" w:hAnsiTheme="majorBidi" w:cstheme="majorBidi"/>
          <w:sz w:val="24"/>
          <w:szCs w:val="24"/>
        </w:rPr>
        <w:t xml:space="preserve"> than 18 with CAP score </w:t>
      </w:r>
      <w:r w:rsidRPr="00790B32">
        <w:rPr>
          <w:rFonts w:asciiTheme="majorBidi" w:eastAsia="Times New Roman" w:hAnsiTheme="majorBidi" w:cstheme="majorBidi"/>
          <w:sz w:val="24"/>
          <w:szCs w:val="24"/>
        </w:rPr>
        <w:t>More than 2</w:t>
      </w:r>
      <w:r w:rsidR="004C5D06" w:rsidRPr="00790B32">
        <w:rPr>
          <w:rFonts w:asciiTheme="majorBidi" w:eastAsia="Times New Roman" w:hAnsiTheme="majorBidi" w:cstheme="majorBidi"/>
          <w:sz w:val="24"/>
          <w:szCs w:val="24"/>
        </w:rPr>
        <w:t>37</w:t>
      </w:r>
      <w:r w:rsidRPr="00790B32">
        <w:rPr>
          <w:rFonts w:asciiTheme="majorBidi" w:eastAsia="Times New Roman" w:hAnsiTheme="majorBidi" w:cstheme="majorBidi"/>
          <w:sz w:val="24"/>
          <w:szCs w:val="24"/>
        </w:rPr>
        <w:t xml:space="preserve"> dB/ m are included in the study</w:t>
      </w:r>
      <w:r w:rsidR="003337C1" w:rsidRPr="00790B32">
        <w:rPr>
          <w:rFonts w:asciiTheme="majorBidi" w:eastAsia="Times New Roman" w:hAnsiTheme="majorBidi" w:cstheme="majorBidi"/>
          <w:sz w:val="24"/>
          <w:szCs w:val="24"/>
        </w:rPr>
        <w:t xml:space="preserve"> (figure 1)</w:t>
      </w:r>
      <w:r w:rsidR="00892D1F" w:rsidRPr="00790B32">
        <w:rPr>
          <w:rFonts w:asciiTheme="majorBidi" w:eastAsia="Times New Roman" w:hAnsiTheme="majorBidi" w:cstheme="majorBidi"/>
          <w:sz w:val="24"/>
          <w:szCs w:val="24"/>
        </w:rPr>
        <w:t>.</w:t>
      </w:r>
    </w:p>
    <w:p w14:paraId="607614BC" w14:textId="77777777" w:rsidR="00A86D91" w:rsidRDefault="00A86D91" w:rsidP="00A86D91">
      <w:pPr>
        <w:keepNext/>
        <w:bidi w:val="0"/>
        <w:spacing w:after="0" w:line="360" w:lineRule="auto"/>
        <w:jc w:val="both"/>
      </w:pPr>
      <w:r>
        <w:rPr>
          <w:noProof/>
        </w:rPr>
        <w:drawing>
          <wp:inline distT="0" distB="0" distL="0" distR="0" wp14:anchorId="3D459935" wp14:editId="3213529B">
            <wp:extent cx="5273675" cy="5328285"/>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5328285"/>
                    </a:xfrm>
                    <a:prstGeom prst="rect">
                      <a:avLst/>
                    </a:prstGeom>
                    <a:noFill/>
                  </pic:spPr>
                </pic:pic>
              </a:graphicData>
            </a:graphic>
          </wp:inline>
        </w:drawing>
      </w:r>
    </w:p>
    <w:p w14:paraId="5C8C39FD" w14:textId="1840937F" w:rsidR="00A86D91" w:rsidRPr="00790B32" w:rsidRDefault="00A86D91" w:rsidP="00A86D91">
      <w:pPr>
        <w:pStyle w:val="Caption"/>
        <w:bidi w:val="0"/>
        <w:jc w:val="both"/>
        <w:rPr>
          <w:rFonts w:asciiTheme="majorBidi" w:eastAsia="Times New Roman" w:hAnsiTheme="majorBidi" w:cstheme="majorBidi"/>
          <w:sz w:val="24"/>
          <w:szCs w:val="24"/>
        </w:rPr>
      </w:pPr>
      <w:r>
        <w:t xml:space="preserve">Fig </w:t>
      </w:r>
      <w:fldSimple w:instr=" SEQ Figure \* ARABIC ">
        <w:r w:rsidR="003A33F5">
          <w:rPr>
            <w:noProof/>
          </w:rPr>
          <w:t>1</w:t>
        </w:r>
      </w:fldSimple>
      <w:r>
        <w:t xml:space="preserve">: </w:t>
      </w:r>
      <w:r w:rsidRPr="00A86D91">
        <w:t>Flowchart of the patients</w:t>
      </w:r>
    </w:p>
    <w:p w14:paraId="4E01A407" w14:textId="17DE5130" w:rsidR="00892D1F" w:rsidRPr="00790B32" w:rsidRDefault="00892D1F"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 xml:space="preserve">Any patient </w:t>
      </w:r>
      <w:r w:rsidR="008717CE" w:rsidRPr="008717CE">
        <w:rPr>
          <w:rFonts w:asciiTheme="majorBidi" w:eastAsia="Times New Roman" w:hAnsiTheme="majorBidi" w:cstheme="majorBidi"/>
          <w:sz w:val="24"/>
          <w:szCs w:val="24"/>
        </w:rPr>
        <w:t>with chronic hepatitis B, hepatitis C, drug-induced liver disease, autoimmune liver disease, renal failure, febrile patients</w:t>
      </w:r>
      <w:r w:rsidR="00EF33BD"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 xml:space="preserve"> or any stress condition</w:t>
      </w:r>
      <w:r w:rsidR="005275ED" w:rsidRPr="00790B32">
        <w:rPr>
          <w:rFonts w:asciiTheme="majorBidi" w:eastAsia="Times New Roman" w:hAnsiTheme="majorBidi" w:cstheme="majorBidi"/>
          <w:sz w:val="24"/>
          <w:szCs w:val="24"/>
        </w:rPr>
        <w:t xml:space="preserve"> </w:t>
      </w:r>
      <w:r w:rsidR="00EF33BD" w:rsidRPr="00790B32">
        <w:rPr>
          <w:rFonts w:asciiTheme="majorBidi" w:eastAsia="Times New Roman" w:hAnsiTheme="majorBidi" w:cstheme="majorBidi"/>
          <w:sz w:val="24"/>
          <w:szCs w:val="24"/>
        </w:rPr>
        <w:t>was</w:t>
      </w:r>
      <w:r w:rsidR="005275ED" w:rsidRPr="00790B32">
        <w:rPr>
          <w:rFonts w:asciiTheme="majorBidi" w:eastAsia="Times New Roman" w:hAnsiTheme="majorBidi" w:cstheme="majorBidi"/>
          <w:sz w:val="24"/>
          <w:szCs w:val="24"/>
        </w:rPr>
        <w:t xml:space="preserve"> excluded from the study</w:t>
      </w:r>
      <w:r w:rsidRPr="00790B32">
        <w:rPr>
          <w:rFonts w:asciiTheme="majorBidi" w:eastAsia="Times New Roman" w:hAnsiTheme="majorBidi" w:cstheme="majorBidi"/>
          <w:sz w:val="24"/>
          <w:szCs w:val="24"/>
        </w:rPr>
        <w:t>.</w:t>
      </w:r>
    </w:p>
    <w:p w14:paraId="4F7EE0B9" w14:textId="0BEDE1AF" w:rsidR="00892D1F" w:rsidRPr="00790B32" w:rsidRDefault="00892D1F"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All patients who fulfilled the inclusion criteria were encouraged to get a detailed history.</w:t>
      </w:r>
      <w:r w:rsidR="00256CE5">
        <w:rPr>
          <w:rFonts w:asciiTheme="majorBidi" w:eastAsia="Times New Roman" w:hAnsiTheme="majorBidi" w:cstheme="majorBidi"/>
          <w:sz w:val="24"/>
          <w:szCs w:val="24"/>
        </w:rPr>
        <w:t xml:space="preserve"> Therefore, t</w:t>
      </w:r>
      <w:r w:rsidRPr="00790B32">
        <w:rPr>
          <w:rFonts w:asciiTheme="majorBidi" w:eastAsia="Times New Roman" w:hAnsiTheme="majorBidi" w:cstheme="majorBidi"/>
          <w:sz w:val="24"/>
          <w:szCs w:val="24"/>
        </w:rPr>
        <w:t>hey were subjected to thorough clinical examination</w:t>
      </w:r>
      <w:r w:rsidR="00EF33BD" w:rsidRPr="00790B32">
        <w:rPr>
          <w:rFonts w:asciiTheme="majorBidi" w:eastAsia="Times New Roman" w:hAnsiTheme="majorBidi" w:cstheme="majorBidi"/>
          <w:sz w:val="24"/>
          <w:szCs w:val="24"/>
        </w:rPr>
        <w:t xml:space="preserve">, </w:t>
      </w:r>
      <w:r w:rsidR="00DC22E1" w:rsidRPr="00790B32">
        <w:rPr>
          <w:rFonts w:asciiTheme="majorBidi" w:eastAsia="Times New Roman" w:hAnsiTheme="majorBidi" w:cstheme="majorBidi"/>
          <w:sz w:val="24"/>
          <w:szCs w:val="24"/>
        </w:rPr>
        <w:t xml:space="preserve">including height, weight, body mass index, </w:t>
      </w:r>
      <w:r w:rsidR="00EF33BD" w:rsidRPr="00790B32">
        <w:rPr>
          <w:rFonts w:asciiTheme="majorBidi" w:eastAsia="Times New Roman" w:hAnsiTheme="majorBidi" w:cstheme="majorBidi"/>
          <w:sz w:val="24"/>
          <w:szCs w:val="24"/>
        </w:rPr>
        <w:t>waist-hip</w:t>
      </w:r>
      <w:r w:rsidR="00DC22E1" w:rsidRPr="00790B32">
        <w:rPr>
          <w:rFonts w:asciiTheme="majorBidi" w:eastAsia="Times New Roman" w:hAnsiTheme="majorBidi" w:cstheme="majorBidi"/>
          <w:sz w:val="24"/>
          <w:szCs w:val="24"/>
        </w:rPr>
        <w:t xml:space="preserve"> ratio (WHR)</w:t>
      </w:r>
      <w:r w:rsidRPr="00790B32">
        <w:rPr>
          <w:rFonts w:asciiTheme="majorBidi" w:eastAsia="Times New Roman" w:hAnsiTheme="majorBidi" w:cstheme="majorBidi"/>
          <w:sz w:val="24"/>
          <w:szCs w:val="24"/>
        </w:rPr>
        <w:t>,</w:t>
      </w:r>
      <w:r w:rsidR="00DC22E1" w:rsidRPr="00790B32">
        <w:rPr>
          <w:rFonts w:asciiTheme="majorBidi" w:eastAsia="Times New Roman" w:hAnsiTheme="majorBidi" w:cstheme="majorBidi"/>
          <w:sz w:val="24"/>
          <w:szCs w:val="24"/>
        </w:rPr>
        <w:t xml:space="preserve"> history of other metabolic diseases</w:t>
      </w:r>
      <w:r w:rsidR="00EF33BD" w:rsidRPr="00790B32">
        <w:rPr>
          <w:rFonts w:asciiTheme="majorBidi" w:eastAsia="Times New Roman" w:hAnsiTheme="majorBidi" w:cstheme="majorBidi"/>
          <w:sz w:val="24"/>
          <w:szCs w:val="24"/>
        </w:rPr>
        <w:t>,</w:t>
      </w:r>
      <w:r w:rsidR="00DC22E1" w:rsidRPr="00790B32">
        <w:rPr>
          <w:rFonts w:asciiTheme="majorBidi" w:eastAsia="Times New Roman" w:hAnsiTheme="majorBidi" w:cstheme="majorBidi"/>
          <w:sz w:val="24"/>
          <w:szCs w:val="24"/>
        </w:rPr>
        <w:t xml:space="preserve"> </w:t>
      </w:r>
      <w:r w:rsidR="00EF33BD" w:rsidRPr="00790B32">
        <w:rPr>
          <w:rFonts w:asciiTheme="majorBidi" w:eastAsia="Times New Roman" w:hAnsiTheme="majorBidi" w:cstheme="majorBidi"/>
          <w:sz w:val="24"/>
          <w:szCs w:val="24"/>
        </w:rPr>
        <w:t>e.g.,</w:t>
      </w:r>
      <w:r w:rsidR="00DC22E1" w:rsidRPr="00790B32">
        <w:rPr>
          <w:rFonts w:asciiTheme="majorBidi" w:eastAsia="Times New Roman" w:hAnsiTheme="majorBidi" w:cstheme="majorBidi"/>
          <w:sz w:val="24"/>
          <w:szCs w:val="24"/>
        </w:rPr>
        <w:t xml:space="preserve"> diabetes mellitus and hypertension</w:t>
      </w:r>
      <w:r w:rsidR="00C44BB7"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 xml:space="preserve"> as well as basic laboratory tests such </w:t>
      </w:r>
      <w:r w:rsidR="00AE4F92" w:rsidRPr="00790B32">
        <w:rPr>
          <w:rFonts w:asciiTheme="majorBidi" w:eastAsia="Times New Roman" w:hAnsiTheme="majorBidi" w:cstheme="majorBidi"/>
          <w:sz w:val="24"/>
          <w:szCs w:val="24"/>
        </w:rPr>
        <w:t>as complete blood count (</w:t>
      </w:r>
      <w:r w:rsidRPr="00790B32">
        <w:rPr>
          <w:rFonts w:asciiTheme="majorBidi" w:eastAsia="Times New Roman" w:hAnsiTheme="majorBidi" w:cstheme="majorBidi"/>
          <w:sz w:val="24"/>
          <w:szCs w:val="24"/>
        </w:rPr>
        <w:t>CBC</w:t>
      </w:r>
      <w:r w:rsidR="00AE4F92"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 blood urea, serum creatine, ALT, AST,</w:t>
      </w:r>
      <w:r w:rsidR="00AE4F92" w:rsidRPr="00790B32">
        <w:rPr>
          <w:rFonts w:asciiTheme="majorBidi" w:eastAsia="Times New Roman" w:hAnsiTheme="majorBidi" w:cstheme="majorBidi"/>
          <w:sz w:val="24"/>
          <w:szCs w:val="24"/>
        </w:rPr>
        <w:t xml:space="preserve"> international normalization ratio</w:t>
      </w:r>
      <w:r w:rsidRPr="00790B32">
        <w:rPr>
          <w:rFonts w:asciiTheme="majorBidi" w:eastAsia="Times New Roman" w:hAnsiTheme="majorBidi" w:cstheme="majorBidi"/>
          <w:sz w:val="24"/>
          <w:szCs w:val="24"/>
        </w:rPr>
        <w:t xml:space="preserve"> </w:t>
      </w:r>
      <w:r w:rsidR="00AE4F92"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INR</w:t>
      </w:r>
      <w:r w:rsidR="00AE4F92"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 total bilirubin, serum albumin,</w:t>
      </w:r>
      <w:r w:rsidR="00837C51" w:rsidRPr="00790B32">
        <w:rPr>
          <w:rFonts w:asciiTheme="majorBidi" w:eastAsia="Times New Roman" w:hAnsiTheme="majorBidi" w:cstheme="majorBidi"/>
          <w:sz w:val="24"/>
          <w:szCs w:val="24"/>
        </w:rPr>
        <w:t xml:space="preserve"> </w:t>
      </w:r>
      <w:r w:rsidRPr="00790B32">
        <w:rPr>
          <w:rFonts w:asciiTheme="majorBidi" w:eastAsia="Times New Roman" w:hAnsiTheme="majorBidi" w:cstheme="majorBidi"/>
          <w:sz w:val="24"/>
          <w:szCs w:val="24"/>
        </w:rPr>
        <w:t xml:space="preserve">alkaline </w:t>
      </w:r>
      <w:r w:rsidR="00C44BB7" w:rsidRPr="00790B32">
        <w:rPr>
          <w:rFonts w:asciiTheme="majorBidi" w:eastAsia="Times New Roman" w:hAnsiTheme="majorBidi" w:cstheme="majorBidi"/>
          <w:sz w:val="24"/>
          <w:szCs w:val="24"/>
        </w:rPr>
        <w:t>phosphatase,</w:t>
      </w:r>
      <w:r w:rsidRPr="00790B32">
        <w:rPr>
          <w:rFonts w:asciiTheme="majorBidi" w:eastAsia="Times New Roman" w:hAnsiTheme="majorBidi" w:cstheme="majorBidi"/>
          <w:sz w:val="24"/>
          <w:szCs w:val="24"/>
        </w:rPr>
        <w:t xml:space="preserve"> and total lipid profile.</w:t>
      </w:r>
    </w:p>
    <w:p w14:paraId="485C4231" w14:textId="43A685DA" w:rsidR="00941018" w:rsidRPr="00790B32" w:rsidRDefault="00941018"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 xml:space="preserve">The laboratory investigations were carried out in </w:t>
      </w:r>
      <w:r w:rsidR="00C44BB7" w:rsidRPr="00790B32">
        <w:rPr>
          <w:rFonts w:asciiTheme="majorBidi" w:eastAsia="Times New Roman" w:hAnsiTheme="majorBidi" w:cstheme="majorBidi"/>
          <w:sz w:val="24"/>
          <w:szCs w:val="24"/>
        </w:rPr>
        <w:t xml:space="preserve">the </w:t>
      </w:r>
      <w:r w:rsidRPr="00790B32">
        <w:rPr>
          <w:rFonts w:asciiTheme="majorBidi" w:eastAsia="Times New Roman" w:hAnsiTheme="majorBidi" w:cstheme="majorBidi"/>
          <w:sz w:val="24"/>
          <w:szCs w:val="24"/>
        </w:rPr>
        <w:t xml:space="preserve">clinical pathology department, faculty of medicine, Tanta </w:t>
      </w:r>
      <w:r w:rsidR="005275ED" w:rsidRPr="00790B32">
        <w:rPr>
          <w:rFonts w:asciiTheme="majorBidi" w:eastAsia="Times New Roman" w:hAnsiTheme="majorBidi" w:cstheme="majorBidi"/>
          <w:sz w:val="24"/>
          <w:szCs w:val="24"/>
        </w:rPr>
        <w:t>University</w:t>
      </w:r>
      <w:r w:rsidRPr="00790B32">
        <w:rPr>
          <w:rFonts w:asciiTheme="majorBidi" w:eastAsia="Times New Roman" w:hAnsiTheme="majorBidi" w:cstheme="majorBidi"/>
          <w:sz w:val="24"/>
          <w:szCs w:val="24"/>
        </w:rPr>
        <w:t xml:space="preserve">. CBC was performed on K3 EDTA blood using </w:t>
      </w:r>
      <w:r w:rsidR="00C44BB7" w:rsidRPr="00790B32">
        <w:rPr>
          <w:rFonts w:asciiTheme="majorBidi" w:eastAsia="Times New Roman" w:hAnsiTheme="majorBidi" w:cstheme="majorBidi"/>
          <w:sz w:val="24"/>
          <w:szCs w:val="24"/>
        </w:rPr>
        <w:t xml:space="preserve">an </w:t>
      </w:r>
      <w:r w:rsidRPr="00790B32">
        <w:rPr>
          <w:rFonts w:asciiTheme="majorBidi" w:eastAsia="Times New Roman" w:hAnsiTheme="majorBidi" w:cstheme="majorBidi"/>
          <w:sz w:val="24"/>
          <w:szCs w:val="24"/>
        </w:rPr>
        <w:t>automated cell coulter (ERMA PCE 210, Tokyo, Japan). Serum levels of urea, creatinine, total bilirubin, albumin</w:t>
      </w:r>
      <w:r w:rsidR="00C44BB7"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 xml:space="preserve"> and complete lipid profile</w:t>
      </w:r>
      <w:r w:rsidR="0022436C" w:rsidRPr="00790B32">
        <w:rPr>
          <w:rFonts w:asciiTheme="majorBidi" w:eastAsia="Times New Roman" w:hAnsiTheme="majorBidi" w:cstheme="majorBidi"/>
          <w:sz w:val="24"/>
          <w:szCs w:val="24"/>
        </w:rPr>
        <w:t>,</w:t>
      </w:r>
      <w:r w:rsidRPr="00790B32">
        <w:rPr>
          <w:rFonts w:asciiTheme="majorBidi" w:eastAsia="Times New Roman" w:hAnsiTheme="majorBidi" w:cstheme="majorBidi"/>
          <w:sz w:val="24"/>
          <w:szCs w:val="24"/>
        </w:rPr>
        <w:t xml:space="preserve"> as well as ALT, AST, </w:t>
      </w:r>
      <w:r w:rsidR="0022436C" w:rsidRPr="00790B32">
        <w:rPr>
          <w:rFonts w:asciiTheme="majorBidi" w:eastAsia="Times New Roman" w:hAnsiTheme="majorBidi" w:cstheme="majorBidi"/>
          <w:sz w:val="24"/>
          <w:szCs w:val="24"/>
        </w:rPr>
        <w:t xml:space="preserve">and </w:t>
      </w:r>
      <w:r w:rsidRPr="00790B32">
        <w:rPr>
          <w:rFonts w:asciiTheme="majorBidi" w:eastAsia="Times New Roman" w:hAnsiTheme="majorBidi" w:cstheme="majorBidi"/>
          <w:sz w:val="24"/>
          <w:szCs w:val="24"/>
        </w:rPr>
        <w:t xml:space="preserve">ALP enzymes activity were measured using </w:t>
      </w:r>
      <w:r w:rsidR="005D7DCA" w:rsidRPr="00790B32">
        <w:rPr>
          <w:rFonts w:asciiTheme="majorBidi" w:eastAsia="Times New Roman" w:hAnsiTheme="majorBidi" w:cstheme="majorBidi"/>
          <w:sz w:val="24"/>
          <w:szCs w:val="24"/>
        </w:rPr>
        <w:t xml:space="preserve">a </w:t>
      </w:r>
      <w:r w:rsidRPr="00790B32">
        <w:rPr>
          <w:rFonts w:asciiTheme="majorBidi" w:eastAsia="Times New Roman" w:hAnsiTheme="majorBidi" w:cstheme="majorBidi"/>
          <w:sz w:val="24"/>
          <w:szCs w:val="24"/>
        </w:rPr>
        <w:t>fully automated chemistry analyzer (Konelab Prime 60i, Konelab, Helsinki, Finland) with the compatible chemicals supplied from ThermoFisher scientific ™.</w:t>
      </w:r>
    </w:p>
    <w:p w14:paraId="517FF930" w14:textId="7DFDD25F" w:rsidR="00892D1F" w:rsidRPr="00790B32" w:rsidRDefault="0022663F" w:rsidP="00583939">
      <w:pPr>
        <w:bidi w:val="0"/>
        <w:spacing w:after="0" w:line="360" w:lineRule="auto"/>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The score was calculated using the following equation:</w:t>
      </w:r>
    </w:p>
    <w:p w14:paraId="2E3C2855" w14:textId="171D59E5" w:rsidR="00892D1F" w:rsidRPr="00790B32" w:rsidRDefault="00892D1F" w:rsidP="00583939">
      <w:pPr>
        <w:numPr>
          <w:ilvl w:val="0"/>
          <w:numId w:val="3"/>
        </w:numPr>
        <w:bidi w:val="0"/>
        <w:spacing w:after="0" w:line="360" w:lineRule="auto"/>
        <w:ind w:left="0" w:firstLine="0"/>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FIB 5 score = [albumin (g/L) x 0.3+ platelet count (10 (9) /L) x 0.05] - [alkaline phosphatase (IU/L) x 0.014+AST/ALT ratio x6+14</w:t>
      </w:r>
      <w:r w:rsidR="0022663F" w:rsidRPr="00790B32">
        <w:rPr>
          <w:rFonts w:asciiTheme="majorBidi" w:eastAsia="Times New Roman" w:hAnsiTheme="majorBidi" w:cstheme="majorBidi"/>
          <w:sz w:val="24"/>
          <w:szCs w:val="24"/>
        </w:rPr>
        <w:t>[11]</w:t>
      </w:r>
    </w:p>
    <w:p w14:paraId="54E40B76" w14:textId="1BD032D2" w:rsidR="00892D1F" w:rsidRPr="00790B32" w:rsidRDefault="00892D1F" w:rsidP="00583939">
      <w:pPr>
        <w:pStyle w:val="ListParagraph"/>
        <w:numPr>
          <w:ilvl w:val="0"/>
          <w:numId w:val="3"/>
        </w:numPr>
        <w:spacing w:after="0" w:line="360" w:lineRule="auto"/>
        <w:ind w:left="0" w:firstLine="0"/>
        <w:jc w:val="both"/>
        <w:rPr>
          <w:rFonts w:asciiTheme="majorBidi" w:eastAsia="Times New Roman" w:hAnsiTheme="majorBidi" w:cstheme="majorBidi"/>
          <w:sz w:val="24"/>
          <w:szCs w:val="24"/>
        </w:rPr>
      </w:pPr>
      <w:r w:rsidRPr="00790B32">
        <w:rPr>
          <w:rFonts w:asciiTheme="majorBidi" w:eastAsia="Times New Roman" w:hAnsiTheme="majorBidi" w:cstheme="majorBidi"/>
          <w:sz w:val="24"/>
          <w:szCs w:val="24"/>
        </w:rPr>
        <w:t>FIB-4 score= Age [years]×AST(IU/L))/(platelet count(109/L)×(ALT (IU/L))1\2</w:t>
      </w:r>
      <w:r w:rsidR="0022663F" w:rsidRPr="00790B32">
        <w:rPr>
          <w:rFonts w:asciiTheme="majorBidi" w:eastAsia="Times New Roman" w:hAnsiTheme="majorBidi" w:cstheme="majorBidi"/>
          <w:sz w:val="24"/>
          <w:szCs w:val="24"/>
        </w:rPr>
        <w:t>[13]</w:t>
      </w:r>
    </w:p>
    <w:p w14:paraId="4B988BC1" w14:textId="77777777" w:rsidR="00892D1F" w:rsidRPr="006D15CF" w:rsidRDefault="00892D1F" w:rsidP="00583939">
      <w:pPr>
        <w:bidi w:val="0"/>
        <w:spacing w:after="0" w:line="360" w:lineRule="auto"/>
        <w:jc w:val="both"/>
        <w:rPr>
          <w:rFonts w:asciiTheme="majorBidi" w:eastAsia="Calibri" w:hAnsiTheme="majorBidi" w:cstheme="majorBidi"/>
          <w:b/>
          <w:bCs/>
          <w:i/>
          <w:iCs/>
          <w:sz w:val="28"/>
          <w:szCs w:val="28"/>
        </w:rPr>
      </w:pPr>
      <w:r w:rsidRPr="006D15CF">
        <w:rPr>
          <w:rFonts w:asciiTheme="majorBidi" w:eastAsia="Calibri" w:hAnsiTheme="majorBidi" w:cstheme="majorBidi"/>
          <w:b/>
          <w:bCs/>
          <w:i/>
          <w:iCs/>
          <w:sz w:val="28"/>
          <w:szCs w:val="28"/>
        </w:rPr>
        <w:t>Fibroscan; Transient Elastography</w:t>
      </w:r>
    </w:p>
    <w:p w14:paraId="36363571" w14:textId="6669C313" w:rsidR="00892D1F" w:rsidRPr="00BB0C2D" w:rsidRDefault="00892D1F" w:rsidP="00583939">
      <w:pPr>
        <w:bidi w:val="0"/>
        <w:spacing w:after="0"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All patients were scanned with the EchosensTM FibroScan. A 3.5 MHz ultrasonic transducer is installed on the axis of a low amplitude vibrator in the Fibroscan® probe (frequency of 50 Hz and amplitude of 2 mm </w:t>
      </w:r>
      <w:r w:rsidR="005D7DCA" w:rsidRPr="00BB0C2D">
        <w:rPr>
          <w:rFonts w:asciiTheme="majorBidi" w:eastAsia="Calibri" w:hAnsiTheme="majorBidi" w:cstheme="majorBidi"/>
          <w:sz w:val="24"/>
          <w:szCs w:val="24"/>
        </w:rPr>
        <w:t>peak-to-peak</w:t>
      </w:r>
      <w:r w:rsidRPr="00BB0C2D">
        <w:rPr>
          <w:rFonts w:asciiTheme="majorBidi" w:eastAsia="Calibri" w:hAnsiTheme="majorBidi" w:cstheme="majorBidi"/>
          <w:sz w:val="24"/>
          <w:szCs w:val="24"/>
        </w:rPr>
        <w:t>).</w:t>
      </w:r>
    </w:p>
    <w:p w14:paraId="58AD1115" w14:textId="4412989A" w:rsidR="00892D1F" w:rsidRPr="00BB0C2D" w:rsidRDefault="00892D1F" w:rsidP="00583939">
      <w:pPr>
        <w:bidi w:val="0"/>
        <w:spacing w:after="0"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An experienced operator blinded to the patient's diagnosis and data performed the liver stiffness measurement (LSM) and Controlled Attenuation Parameter (CAP). Only findings with </w:t>
      </w:r>
      <w:r w:rsidR="005D7DCA" w:rsidRPr="00BB0C2D">
        <w:rPr>
          <w:rFonts w:asciiTheme="majorBidi" w:eastAsia="Calibri" w:hAnsiTheme="majorBidi" w:cstheme="majorBidi"/>
          <w:sz w:val="24"/>
          <w:szCs w:val="24"/>
        </w:rPr>
        <w:t>ten</w:t>
      </w:r>
      <w:r w:rsidRPr="00BB0C2D">
        <w:rPr>
          <w:rFonts w:asciiTheme="majorBidi" w:eastAsia="Calibri" w:hAnsiTheme="majorBidi" w:cstheme="majorBidi"/>
          <w:sz w:val="24"/>
          <w:szCs w:val="24"/>
        </w:rPr>
        <w:t xml:space="preserve"> </w:t>
      </w:r>
      <w:r w:rsidR="005D7DCA" w:rsidRPr="00BB0C2D">
        <w:rPr>
          <w:rFonts w:asciiTheme="majorBidi" w:eastAsia="Calibri" w:hAnsiTheme="majorBidi" w:cstheme="majorBidi"/>
          <w:sz w:val="24"/>
          <w:szCs w:val="24"/>
        </w:rPr>
        <w:t>accurate</w:t>
      </w:r>
      <w:r w:rsidRPr="00BB0C2D">
        <w:rPr>
          <w:rFonts w:asciiTheme="majorBidi" w:eastAsia="Calibri" w:hAnsiTheme="majorBidi" w:cstheme="majorBidi"/>
          <w:sz w:val="24"/>
          <w:szCs w:val="24"/>
        </w:rPr>
        <w:t xml:space="preserve"> shots and an interquartile range IQR/median liver stiffness ratio of 30% were considered credible. Both</w:t>
      </w:r>
      <w:r w:rsidR="00AE4F92" w:rsidRPr="00BB0C2D">
        <w:rPr>
          <w:rFonts w:asciiTheme="majorBidi" w:eastAsia="Calibri" w:hAnsiTheme="majorBidi" w:cstheme="majorBidi"/>
          <w:sz w:val="24"/>
          <w:szCs w:val="24"/>
        </w:rPr>
        <w:t xml:space="preserve"> liver stiffness measurement</w:t>
      </w:r>
      <w:r w:rsidRPr="00BB0C2D">
        <w:rPr>
          <w:rFonts w:asciiTheme="majorBidi" w:eastAsia="Calibri" w:hAnsiTheme="majorBidi" w:cstheme="majorBidi"/>
          <w:sz w:val="24"/>
          <w:szCs w:val="24"/>
        </w:rPr>
        <w:t xml:space="preserve"> </w:t>
      </w:r>
      <w:r w:rsidR="00AE4F92"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LSM</w:t>
      </w:r>
      <w:r w:rsidR="00AE4F92"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and CAP were collected from the same region of the liver parenchyma (between 25 and 65mm in depth</w:t>
      </w:r>
      <w:r w:rsidR="00EB1DFF" w:rsidRPr="00BB0C2D">
        <w:rPr>
          <w:rFonts w:asciiTheme="majorBidi" w:eastAsia="Calibri" w:hAnsiTheme="majorBidi" w:cstheme="majorBidi"/>
          <w:sz w:val="24"/>
          <w:szCs w:val="24"/>
        </w:rPr>
        <w:t xml:space="preserve">) </w:t>
      </w:r>
      <w:r w:rsidR="00EB1DFF" w:rsidRPr="00470F60">
        <w:rPr>
          <w:rFonts w:asciiTheme="majorBidi" w:eastAsia="Calibri" w:hAnsiTheme="majorBidi" w:cstheme="majorBidi"/>
          <w:sz w:val="24"/>
          <w:szCs w:val="24"/>
        </w:rPr>
        <w:t>[</w:t>
      </w:r>
      <w:r w:rsidRPr="00470F60">
        <w:rPr>
          <w:rFonts w:asciiTheme="majorBidi" w:eastAsia="Calibri" w:hAnsiTheme="majorBidi" w:cstheme="majorBidi"/>
          <w:sz w:val="24"/>
          <w:szCs w:val="24"/>
        </w:rPr>
        <w:t>14].</w:t>
      </w:r>
    </w:p>
    <w:p w14:paraId="65825A64" w14:textId="12EE260E" w:rsidR="00892D1F" w:rsidRPr="00BB0C2D" w:rsidRDefault="00892D1F" w:rsidP="00583939">
      <w:pPr>
        <w:bidi w:val="0"/>
        <w:spacing w:after="0"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The final LSM and CAP values were presented in Kpa and </w:t>
      </w:r>
      <w:r w:rsidR="00EB1DFF" w:rsidRPr="00BB0C2D">
        <w:rPr>
          <w:rFonts w:asciiTheme="majorBidi" w:eastAsia="Calibri" w:hAnsiTheme="majorBidi" w:cstheme="majorBidi"/>
          <w:sz w:val="24"/>
          <w:szCs w:val="24"/>
        </w:rPr>
        <w:t>dB/ m,</w:t>
      </w:r>
      <w:r w:rsidRPr="00BB0C2D">
        <w:rPr>
          <w:rFonts w:asciiTheme="majorBidi" w:eastAsia="Calibri" w:hAnsiTheme="majorBidi" w:cstheme="majorBidi"/>
          <w:sz w:val="24"/>
          <w:szCs w:val="24"/>
        </w:rPr>
        <w:t xml:space="preserve"> respectively [15]. </w:t>
      </w:r>
    </w:p>
    <w:p w14:paraId="12D3B5D1" w14:textId="18752E7B" w:rsidR="0071112B" w:rsidRPr="00BB0C2D" w:rsidRDefault="00892D1F" w:rsidP="00583939">
      <w:pPr>
        <w:bidi w:val="0"/>
        <w:spacing w:after="0"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According to the METAVIR scoring system, significant fibrosis was classified as fibrosis stage ≥ F2, severe fibrosis was defined as fibrosis stage ≥ F3, and cirrhosis was defined as fibrosis stage = F4. These categories constituted at least significant fibrosis and </w:t>
      </w:r>
      <w:r w:rsidR="005D7DCA" w:rsidRPr="00BB0C2D">
        <w:rPr>
          <w:rFonts w:asciiTheme="majorBidi" w:eastAsia="Calibri" w:hAnsiTheme="majorBidi" w:cstheme="majorBidi"/>
          <w:sz w:val="24"/>
          <w:szCs w:val="24"/>
        </w:rPr>
        <w:t>impacted</w:t>
      </w:r>
      <w:r w:rsidRPr="00BB0C2D">
        <w:rPr>
          <w:rFonts w:asciiTheme="majorBidi" w:eastAsia="Calibri" w:hAnsiTheme="majorBidi" w:cstheme="majorBidi"/>
          <w:sz w:val="24"/>
          <w:szCs w:val="24"/>
        </w:rPr>
        <w:t xml:space="preserve"> patient management in therapy indications [16, 17].</w:t>
      </w:r>
    </w:p>
    <w:p w14:paraId="347EAD4E" w14:textId="5DCBD1AE" w:rsidR="0071112B" w:rsidRPr="00BB0C2D" w:rsidRDefault="0071112B" w:rsidP="00583939">
      <w:pPr>
        <w:bidi w:val="0"/>
        <w:spacing w:after="0"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The following CAP cut-off values were adopted from another investigation to indicate liver steatosis (S): S0 denotes no steatosis (237 dB/m), S1 represents mild steatosis</w:t>
      </w:r>
      <w:r w:rsidRPr="003D38BF">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 xml:space="preserve">(that range from 237.0 to 259.0 dB/m), S2 represents moderate steatosis </w:t>
      </w:r>
      <w:r w:rsidR="005D7DCA" w:rsidRPr="00BB0C2D">
        <w:rPr>
          <w:rFonts w:asciiTheme="majorBidi" w:eastAsia="Calibri" w:hAnsiTheme="majorBidi" w:cstheme="majorBidi"/>
          <w:sz w:val="24"/>
          <w:szCs w:val="24"/>
        </w:rPr>
        <w:t>(that</w:t>
      </w:r>
      <w:r w:rsidRPr="00BB0C2D">
        <w:rPr>
          <w:rFonts w:asciiTheme="majorBidi" w:eastAsia="Calibri" w:hAnsiTheme="majorBidi" w:cstheme="majorBidi"/>
          <w:sz w:val="24"/>
          <w:szCs w:val="24"/>
        </w:rPr>
        <w:t xml:space="preserve"> range from 259. To 291.0 dB/m), and S3 denotes severe steatosis (that range from 291.0 to 400.0 dB/m)</w:t>
      </w:r>
      <w:r w:rsidR="00DF5FA9" w:rsidRPr="00BB0C2D">
        <w:rPr>
          <w:rFonts w:asciiTheme="majorBidi" w:eastAsia="Calibri" w:hAnsiTheme="majorBidi" w:cstheme="majorBidi"/>
          <w:sz w:val="24"/>
          <w:szCs w:val="24"/>
        </w:rPr>
        <w:t xml:space="preserve"> [30]</w:t>
      </w:r>
      <w:r w:rsidR="00812D92" w:rsidRPr="00BB0C2D">
        <w:rPr>
          <w:rFonts w:asciiTheme="majorBidi" w:eastAsia="Calibri" w:hAnsiTheme="majorBidi" w:cstheme="majorBidi"/>
          <w:sz w:val="24"/>
          <w:szCs w:val="24"/>
        </w:rPr>
        <w:t>.</w:t>
      </w:r>
    </w:p>
    <w:p w14:paraId="7B862F1D" w14:textId="2006104E" w:rsidR="009863AD" w:rsidRPr="00BB0C2D" w:rsidRDefault="00892D1F" w:rsidP="008B69AB">
      <w:pPr>
        <w:bidi w:val="0"/>
        <w:spacing w:after="16" w:line="360" w:lineRule="auto"/>
        <w:jc w:val="both"/>
        <w:rPr>
          <w:rFonts w:asciiTheme="majorBidi" w:eastAsia="Calibri" w:hAnsiTheme="majorBidi" w:cstheme="majorBidi"/>
          <w:sz w:val="24"/>
          <w:szCs w:val="24"/>
        </w:rPr>
      </w:pPr>
      <w:r w:rsidRPr="006D15CF">
        <w:rPr>
          <w:rFonts w:asciiTheme="majorBidi" w:eastAsia="Calibri" w:hAnsiTheme="majorBidi" w:cstheme="majorBidi"/>
          <w:b/>
          <w:bCs/>
          <w:sz w:val="28"/>
          <w:szCs w:val="28"/>
        </w:rPr>
        <w:t xml:space="preserve">Statistical analysis: </w:t>
      </w:r>
      <w:r w:rsidRPr="00BB0C2D">
        <w:rPr>
          <w:rFonts w:asciiTheme="majorBidi" w:eastAsia="Calibri" w:hAnsiTheme="majorBidi" w:cstheme="majorBidi"/>
          <w:sz w:val="24"/>
          <w:szCs w:val="24"/>
        </w:rPr>
        <w:t xml:space="preserve">Data </w:t>
      </w:r>
      <w:r w:rsidR="005D7DCA" w:rsidRPr="00BB0C2D">
        <w:rPr>
          <w:rFonts w:asciiTheme="majorBidi" w:eastAsia="Calibri" w:hAnsiTheme="majorBidi" w:cstheme="majorBidi"/>
          <w:sz w:val="24"/>
          <w:szCs w:val="24"/>
        </w:rPr>
        <w:t xml:space="preserve">was </w:t>
      </w:r>
      <w:r w:rsidRPr="00BB0C2D">
        <w:rPr>
          <w:rFonts w:asciiTheme="majorBidi" w:eastAsia="Calibri" w:hAnsiTheme="majorBidi" w:cstheme="majorBidi"/>
          <w:sz w:val="24"/>
          <w:szCs w:val="24"/>
        </w:rPr>
        <w:t>analyzed using the Statistical Package for Social Sciences program (SPSS), version 21.0.</w:t>
      </w:r>
      <w:r w:rsidR="00652770" w:rsidRPr="00BB0C2D">
        <w:rPr>
          <w:rFonts w:asciiTheme="majorBidi" w:eastAsia="Calibri" w:hAnsiTheme="majorBidi" w:cstheme="majorBidi"/>
          <w:sz w:val="24"/>
          <w:szCs w:val="24"/>
        </w:rPr>
        <w:t xml:space="preserve"> For categorical variables, the descriptive analysis is reported as frequency, proportion, and percent; for continuous variables, it is presented as mean, standard deviation, median, or </w:t>
      </w:r>
      <w:r w:rsidR="005D7DCA" w:rsidRPr="00BB0C2D">
        <w:rPr>
          <w:rFonts w:asciiTheme="majorBidi" w:eastAsia="Calibri" w:hAnsiTheme="majorBidi" w:cstheme="majorBidi"/>
          <w:sz w:val="24"/>
          <w:szCs w:val="24"/>
        </w:rPr>
        <w:t>interquartile</w:t>
      </w:r>
      <w:r w:rsidR="00652770" w:rsidRPr="00BB0C2D">
        <w:rPr>
          <w:rFonts w:asciiTheme="majorBidi" w:eastAsia="Calibri" w:hAnsiTheme="majorBidi" w:cstheme="majorBidi"/>
          <w:sz w:val="24"/>
          <w:szCs w:val="24"/>
        </w:rPr>
        <w:t xml:space="preserve"> range</w:t>
      </w:r>
      <w:r w:rsidR="005D7DCA" w:rsidRPr="00BB0C2D">
        <w:rPr>
          <w:rFonts w:asciiTheme="majorBidi" w:eastAsia="Calibri" w:hAnsiTheme="majorBidi" w:cstheme="majorBidi"/>
          <w:sz w:val="24"/>
          <w:szCs w:val="24"/>
        </w:rPr>
        <w:t>,</w:t>
      </w:r>
      <w:r w:rsidR="00652770" w:rsidRPr="00BB0C2D">
        <w:rPr>
          <w:rFonts w:asciiTheme="majorBidi" w:eastAsia="Calibri" w:hAnsiTheme="majorBidi" w:cstheme="majorBidi"/>
          <w:sz w:val="24"/>
          <w:szCs w:val="24"/>
        </w:rPr>
        <w:t xml:space="preserve"> depending on whether the data are distributed or abnormally distributed.</w:t>
      </w:r>
      <w:r w:rsidR="009863AD" w:rsidRPr="00BB0C2D">
        <w:rPr>
          <w:rFonts w:asciiTheme="majorBidi" w:eastAsia="Calibri" w:hAnsiTheme="majorBidi" w:cstheme="majorBidi"/>
          <w:sz w:val="24"/>
          <w:szCs w:val="24"/>
        </w:rPr>
        <w:t xml:space="preserve"> The </w:t>
      </w:r>
      <w:r w:rsidR="00D46309" w:rsidRPr="00BB0C2D">
        <w:rPr>
          <w:rFonts w:asciiTheme="majorBidi" w:eastAsia="Calibri" w:hAnsiTheme="majorBidi" w:cstheme="majorBidi"/>
          <w:sz w:val="24"/>
          <w:szCs w:val="24"/>
        </w:rPr>
        <w:t xml:space="preserve">continuous </w:t>
      </w:r>
      <w:r w:rsidR="009863AD" w:rsidRPr="00BB0C2D">
        <w:rPr>
          <w:rFonts w:asciiTheme="majorBidi" w:eastAsia="Calibri" w:hAnsiTheme="majorBidi" w:cstheme="majorBidi"/>
          <w:sz w:val="24"/>
          <w:szCs w:val="24"/>
        </w:rPr>
        <w:t xml:space="preserve">s data was tested for normal distribution using the one sample </w:t>
      </w:r>
      <w:r w:rsidR="00B7476C" w:rsidRPr="00BB0C2D">
        <w:rPr>
          <w:rFonts w:asciiTheme="majorBidi" w:eastAsia="Calibri" w:hAnsiTheme="majorBidi" w:cstheme="majorBidi"/>
          <w:sz w:val="24"/>
          <w:szCs w:val="24"/>
        </w:rPr>
        <w:t>Shapiro-Wilk</w:t>
      </w:r>
      <w:r w:rsidR="009863AD" w:rsidRPr="00BB0C2D">
        <w:rPr>
          <w:rFonts w:asciiTheme="majorBidi" w:eastAsia="Calibri" w:hAnsiTheme="majorBidi" w:cstheme="majorBidi"/>
          <w:sz w:val="24"/>
          <w:szCs w:val="24"/>
        </w:rPr>
        <w:t xml:space="preserve"> test. </w:t>
      </w:r>
    </w:p>
    <w:p w14:paraId="54D2A085" w14:textId="2531CBDA" w:rsidR="00892D1F" w:rsidRPr="00BB0C2D" w:rsidRDefault="009863AD" w:rsidP="008B69AB">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The </w:t>
      </w:r>
      <w:r w:rsidR="00652770" w:rsidRPr="00BB0C2D">
        <w:rPr>
          <w:rFonts w:asciiTheme="majorBidi" w:eastAsia="Calibri" w:hAnsiTheme="majorBidi" w:cstheme="majorBidi"/>
          <w:sz w:val="24"/>
          <w:szCs w:val="24"/>
        </w:rPr>
        <w:t xml:space="preserve">association between normally distributed continuous </w:t>
      </w:r>
      <w:r w:rsidR="00B7476C" w:rsidRPr="00BB0C2D">
        <w:rPr>
          <w:rFonts w:asciiTheme="majorBidi" w:eastAsia="Calibri" w:hAnsiTheme="majorBidi" w:cstheme="majorBidi"/>
          <w:sz w:val="24"/>
          <w:szCs w:val="24"/>
        </w:rPr>
        <w:t>variables</w:t>
      </w:r>
      <w:r w:rsidR="00652770" w:rsidRPr="00BB0C2D">
        <w:rPr>
          <w:rFonts w:asciiTheme="majorBidi" w:eastAsia="Calibri" w:hAnsiTheme="majorBidi" w:cstheme="majorBidi"/>
          <w:sz w:val="24"/>
          <w:szCs w:val="24"/>
        </w:rPr>
        <w:t xml:space="preserve"> was tested using </w:t>
      </w:r>
      <w:r w:rsidR="00B7476C" w:rsidRPr="00BB0C2D">
        <w:rPr>
          <w:rFonts w:asciiTheme="majorBidi" w:eastAsia="Calibri" w:hAnsiTheme="majorBidi" w:cstheme="majorBidi"/>
          <w:sz w:val="24"/>
          <w:szCs w:val="24"/>
        </w:rPr>
        <w:t xml:space="preserve">an </w:t>
      </w:r>
      <w:r w:rsidR="00652770" w:rsidRPr="00BB0C2D">
        <w:rPr>
          <w:rFonts w:asciiTheme="majorBidi" w:eastAsia="Calibri" w:hAnsiTheme="majorBidi" w:cstheme="majorBidi"/>
          <w:sz w:val="24"/>
          <w:szCs w:val="24"/>
        </w:rPr>
        <w:t>independent sample t-test</w:t>
      </w:r>
      <w:r w:rsidR="00E279B0">
        <w:rPr>
          <w:rFonts w:asciiTheme="majorBidi" w:eastAsia="Calibri" w:hAnsiTheme="majorBidi" w:cstheme="majorBidi"/>
          <w:sz w:val="24"/>
          <w:szCs w:val="24"/>
        </w:rPr>
        <w:t>. In contrast, the</w:t>
      </w:r>
      <w:r w:rsidR="00B7476C" w:rsidRPr="00BB0C2D">
        <w:rPr>
          <w:rFonts w:asciiTheme="majorBidi" w:eastAsia="Calibri" w:hAnsiTheme="majorBidi" w:cstheme="majorBidi"/>
          <w:sz w:val="24"/>
          <w:szCs w:val="24"/>
        </w:rPr>
        <w:t xml:space="preserve"> </w:t>
      </w:r>
      <w:r w:rsidR="00652770" w:rsidRPr="00BB0C2D">
        <w:rPr>
          <w:rFonts w:asciiTheme="majorBidi" w:eastAsia="Calibri" w:hAnsiTheme="majorBidi" w:cstheme="majorBidi"/>
          <w:sz w:val="24"/>
          <w:szCs w:val="24"/>
        </w:rPr>
        <w:t>Mann-Whitney U test was used for continuous data</w:t>
      </w:r>
      <w:r w:rsidR="00B7476C" w:rsidRPr="00BB0C2D">
        <w:rPr>
          <w:rFonts w:asciiTheme="majorBidi" w:eastAsia="Calibri" w:hAnsiTheme="majorBidi" w:cstheme="majorBidi"/>
          <w:sz w:val="24"/>
          <w:szCs w:val="24"/>
        </w:rPr>
        <w:t>,</w:t>
      </w:r>
      <w:r w:rsidR="00652770" w:rsidRPr="00BB0C2D">
        <w:rPr>
          <w:rFonts w:asciiTheme="majorBidi" w:eastAsia="Calibri" w:hAnsiTheme="majorBidi" w:cstheme="majorBidi"/>
          <w:sz w:val="24"/>
          <w:szCs w:val="24"/>
        </w:rPr>
        <w:t xml:space="preserve"> which is not normally distributed.</w:t>
      </w:r>
      <w:r w:rsidR="00892D1F" w:rsidRPr="00BB0C2D">
        <w:rPr>
          <w:rFonts w:asciiTheme="majorBidi" w:eastAsia="Calibri" w:hAnsiTheme="majorBidi" w:cstheme="majorBidi"/>
          <w:sz w:val="24"/>
          <w:szCs w:val="24"/>
        </w:rPr>
        <w:t xml:space="preserve"> </w:t>
      </w:r>
      <w:r w:rsidR="00B7476C" w:rsidRPr="00BB0C2D">
        <w:rPr>
          <w:rFonts w:asciiTheme="majorBidi" w:eastAsia="Calibri" w:hAnsiTheme="majorBidi" w:cstheme="majorBidi"/>
          <w:sz w:val="24"/>
          <w:szCs w:val="24"/>
        </w:rPr>
        <w:t xml:space="preserve">The </w:t>
      </w:r>
      <w:r w:rsidR="00892D1F" w:rsidRPr="00BB0C2D">
        <w:rPr>
          <w:rFonts w:asciiTheme="majorBidi" w:eastAsia="Calibri" w:hAnsiTheme="majorBidi" w:cstheme="majorBidi"/>
          <w:sz w:val="24"/>
          <w:szCs w:val="24"/>
        </w:rPr>
        <w:t>Chi-square test was used to test an association between two categorical variables.</w:t>
      </w:r>
    </w:p>
    <w:p w14:paraId="2F64F844" w14:textId="4956E7CE" w:rsidR="00892D1F" w:rsidRPr="00BB0C2D" w:rsidRDefault="00892D1F" w:rsidP="008B69AB">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FIB-4 and FIB-5 scores were calculated. </w:t>
      </w:r>
      <w:r w:rsidR="00B7476C" w:rsidRPr="00BB0C2D">
        <w:rPr>
          <w:rFonts w:asciiTheme="majorBidi" w:eastAsia="Calibri" w:hAnsiTheme="majorBidi" w:cstheme="majorBidi"/>
          <w:sz w:val="24"/>
          <w:szCs w:val="24"/>
        </w:rPr>
        <w:t>T</w:t>
      </w:r>
      <w:r w:rsidR="0038369E">
        <w:rPr>
          <w:rFonts w:asciiTheme="majorBidi" w:eastAsia="Calibri" w:hAnsiTheme="majorBidi" w:cstheme="majorBidi"/>
          <w:sz w:val="24"/>
          <w:szCs w:val="24"/>
        </w:rPr>
        <w:t>hen, t</w:t>
      </w:r>
      <w:r w:rsidR="00B7476C" w:rsidRPr="00BB0C2D">
        <w:rPr>
          <w:rFonts w:asciiTheme="majorBidi" w:eastAsia="Calibri" w:hAnsiTheme="majorBidi" w:cstheme="majorBidi"/>
          <w:sz w:val="24"/>
          <w:szCs w:val="24"/>
        </w:rPr>
        <w:t>he receiver</w:t>
      </w:r>
      <w:r w:rsidRPr="00BB0C2D">
        <w:rPr>
          <w:rFonts w:asciiTheme="majorBidi" w:eastAsia="Calibri" w:hAnsiTheme="majorBidi" w:cstheme="majorBidi"/>
          <w:sz w:val="24"/>
          <w:szCs w:val="24"/>
        </w:rPr>
        <w:t xml:space="preserve"> operating characteristic (ROC) curve was plotted for FIB-4 and FIB-5 to obtain the area under the curve (AUROC), cut-off score</w:t>
      </w:r>
      <w:r w:rsidR="009863AD"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t>
      </w:r>
      <w:r w:rsidR="00B7476C" w:rsidRPr="00BB0C2D">
        <w:rPr>
          <w:rFonts w:asciiTheme="majorBidi" w:eastAsia="Calibri" w:hAnsiTheme="majorBidi" w:cstheme="majorBidi"/>
          <w:sz w:val="24"/>
          <w:szCs w:val="24"/>
        </w:rPr>
        <w:t xml:space="preserve">the </w:t>
      </w:r>
      <w:r w:rsidRPr="00BB0C2D">
        <w:rPr>
          <w:rFonts w:asciiTheme="majorBidi" w:eastAsia="Calibri" w:hAnsiTheme="majorBidi" w:cstheme="majorBidi"/>
          <w:sz w:val="24"/>
          <w:szCs w:val="24"/>
        </w:rPr>
        <w:t>se</w:t>
      </w:r>
      <w:r w:rsidR="009863AD" w:rsidRPr="00BB0C2D">
        <w:rPr>
          <w:rFonts w:asciiTheme="majorBidi" w:eastAsia="Calibri" w:hAnsiTheme="majorBidi" w:cstheme="majorBidi"/>
          <w:sz w:val="24"/>
          <w:szCs w:val="24"/>
        </w:rPr>
        <w:t>nsitivity of the cut-off score, p</w:t>
      </w:r>
      <w:r w:rsidRPr="00BB0C2D">
        <w:rPr>
          <w:rFonts w:asciiTheme="majorBidi" w:eastAsia="Calibri" w:hAnsiTheme="majorBidi" w:cstheme="majorBidi"/>
          <w:sz w:val="24"/>
          <w:szCs w:val="24"/>
        </w:rPr>
        <w:t>ositive predictive value (PPV)</w:t>
      </w:r>
      <w:r w:rsidR="009863AD" w:rsidRPr="00BB0C2D">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 xml:space="preserve">and negative predictive value (NPV) were calculated. </w:t>
      </w:r>
      <w:r w:rsidR="00B7476C" w:rsidRPr="00BB0C2D">
        <w:rPr>
          <w:rFonts w:asciiTheme="majorBidi" w:eastAsia="Calibri" w:hAnsiTheme="majorBidi" w:cstheme="majorBidi"/>
          <w:sz w:val="24"/>
          <w:szCs w:val="24"/>
        </w:rPr>
        <w:t xml:space="preserve">A </w:t>
      </w:r>
      <w:r w:rsidRPr="00BB0C2D">
        <w:rPr>
          <w:rFonts w:asciiTheme="majorBidi" w:eastAsia="Calibri" w:hAnsiTheme="majorBidi" w:cstheme="majorBidi"/>
          <w:sz w:val="24"/>
          <w:szCs w:val="24"/>
        </w:rPr>
        <w:t>P-value of ≤ 0.05 was considered statistically significant.</w:t>
      </w:r>
    </w:p>
    <w:p w14:paraId="266F4AC6" w14:textId="602A9B4A" w:rsidR="00892D1F" w:rsidRPr="006D15CF" w:rsidRDefault="00892D1F" w:rsidP="00B7476C">
      <w:pPr>
        <w:bidi w:val="0"/>
        <w:spacing w:after="0" w:line="360" w:lineRule="auto"/>
        <w:jc w:val="both"/>
        <w:rPr>
          <w:rFonts w:asciiTheme="majorBidi" w:eastAsia="Calibri" w:hAnsiTheme="majorBidi" w:cstheme="majorBidi"/>
          <w:b/>
          <w:bCs/>
          <w:sz w:val="28"/>
          <w:szCs w:val="28"/>
        </w:rPr>
      </w:pPr>
      <w:r w:rsidRPr="006D15CF">
        <w:rPr>
          <w:rFonts w:asciiTheme="majorBidi" w:eastAsia="Calibri" w:hAnsiTheme="majorBidi" w:cstheme="majorBidi"/>
          <w:b/>
          <w:bCs/>
          <w:sz w:val="28"/>
          <w:szCs w:val="28"/>
        </w:rPr>
        <w:t>Results</w:t>
      </w:r>
    </w:p>
    <w:p w14:paraId="02A10F34" w14:textId="34B21865" w:rsidR="003C55EC"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The present study included 116</w:t>
      </w:r>
      <w:r w:rsidR="00D46309" w:rsidRPr="00BB0C2D">
        <w:rPr>
          <w:rFonts w:asciiTheme="majorBidi" w:eastAsia="Calibri" w:hAnsiTheme="majorBidi" w:cstheme="majorBidi"/>
          <w:sz w:val="24"/>
          <w:szCs w:val="24"/>
        </w:rPr>
        <w:t xml:space="preserve"> patients. </w:t>
      </w:r>
      <w:r w:rsidRPr="00BB0C2D">
        <w:rPr>
          <w:rFonts w:asciiTheme="majorBidi" w:eastAsia="Calibri" w:hAnsiTheme="majorBidi" w:cstheme="majorBidi"/>
          <w:sz w:val="24"/>
          <w:szCs w:val="24"/>
        </w:rPr>
        <w:t xml:space="preserve">The mean age of </w:t>
      </w:r>
      <w:r w:rsidR="00FC0366" w:rsidRPr="00BB0C2D">
        <w:rPr>
          <w:rFonts w:asciiTheme="majorBidi" w:eastAsia="Calibri" w:hAnsiTheme="majorBidi" w:cstheme="majorBidi"/>
          <w:sz w:val="24"/>
          <w:szCs w:val="24"/>
        </w:rPr>
        <w:t>patients was 45.47 ± 9.01 years</w:t>
      </w:r>
      <w:r w:rsidR="00B7476C" w:rsidRPr="00BB0C2D">
        <w:rPr>
          <w:rFonts w:asciiTheme="majorBidi" w:eastAsia="Calibri" w:hAnsiTheme="majorBidi" w:cstheme="majorBidi"/>
          <w:sz w:val="24"/>
          <w:szCs w:val="24"/>
        </w:rPr>
        <w:t>,</w:t>
      </w:r>
      <w:r w:rsidR="00FC0366" w:rsidRPr="00BB0C2D">
        <w:rPr>
          <w:rFonts w:asciiTheme="majorBidi" w:eastAsia="Calibri" w:hAnsiTheme="majorBidi" w:cstheme="majorBidi"/>
          <w:sz w:val="24"/>
          <w:szCs w:val="24"/>
        </w:rPr>
        <w:t xml:space="preserve"> w</w:t>
      </w:r>
      <w:r w:rsidRPr="00BB0C2D">
        <w:rPr>
          <w:rFonts w:asciiTheme="majorBidi" w:eastAsia="Calibri" w:hAnsiTheme="majorBidi" w:cstheme="majorBidi"/>
          <w:sz w:val="24"/>
          <w:szCs w:val="24"/>
        </w:rPr>
        <w:t>ith no significant ag</w:t>
      </w:r>
      <w:r w:rsidR="00D46309" w:rsidRPr="00BB0C2D">
        <w:rPr>
          <w:rFonts w:asciiTheme="majorBidi" w:eastAsia="Calibri" w:hAnsiTheme="majorBidi" w:cstheme="majorBidi"/>
          <w:sz w:val="24"/>
          <w:szCs w:val="24"/>
        </w:rPr>
        <w:t xml:space="preserve">e difference between </w:t>
      </w:r>
      <w:r w:rsidR="00B7476C" w:rsidRPr="00BB0C2D">
        <w:rPr>
          <w:rFonts w:asciiTheme="majorBidi" w:eastAsia="Calibri" w:hAnsiTheme="majorBidi" w:cstheme="majorBidi"/>
          <w:sz w:val="24"/>
          <w:szCs w:val="24"/>
        </w:rPr>
        <w:t xml:space="preserve">the </w:t>
      </w:r>
      <w:r w:rsidR="00D46309" w:rsidRPr="00BB0C2D">
        <w:rPr>
          <w:rFonts w:asciiTheme="majorBidi" w:eastAsia="Calibri" w:hAnsiTheme="majorBidi" w:cstheme="majorBidi"/>
          <w:sz w:val="24"/>
          <w:szCs w:val="24"/>
        </w:rPr>
        <w:t>advanced</w:t>
      </w:r>
      <w:r w:rsidRPr="00BB0C2D">
        <w:rPr>
          <w:rFonts w:asciiTheme="majorBidi" w:eastAsia="Calibri" w:hAnsiTheme="majorBidi" w:cstheme="majorBidi"/>
          <w:sz w:val="24"/>
          <w:szCs w:val="24"/>
        </w:rPr>
        <w:t xml:space="preserve"> fibrosis </w:t>
      </w:r>
      <w:r w:rsidR="00D46309" w:rsidRPr="00BB0C2D">
        <w:rPr>
          <w:rFonts w:asciiTheme="majorBidi" w:eastAsia="Calibri" w:hAnsiTheme="majorBidi" w:cstheme="majorBidi"/>
          <w:sz w:val="24"/>
          <w:szCs w:val="24"/>
        </w:rPr>
        <w:t xml:space="preserve">group (group II) and mild to moderate </w:t>
      </w:r>
      <w:r w:rsidRPr="00BB0C2D">
        <w:rPr>
          <w:rFonts w:asciiTheme="majorBidi" w:eastAsia="Calibri" w:hAnsiTheme="majorBidi" w:cstheme="majorBidi"/>
          <w:sz w:val="24"/>
          <w:szCs w:val="24"/>
        </w:rPr>
        <w:t xml:space="preserve">fibrosis group </w:t>
      </w:r>
      <w:r w:rsidR="00D46309" w:rsidRPr="00BB0C2D">
        <w:rPr>
          <w:rFonts w:asciiTheme="majorBidi" w:eastAsia="Calibri" w:hAnsiTheme="majorBidi" w:cstheme="majorBidi"/>
          <w:sz w:val="24"/>
          <w:szCs w:val="24"/>
        </w:rPr>
        <w:t>(group I)</w:t>
      </w:r>
      <w:r w:rsidRPr="00BB0C2D">
        <w:rPr>
          <w:rFonts w:asciiTheme="majorBidi" w:eastAsia="Calibri" w:hAnsiTheme="majorBidi" w:cstheme="majorBidi"/>
          <w:sz w:val="24"/>
          <w:szCs w:val="24"/>
        </w:rPr>
        <w:t>.</w:t>
      </w:r>
      <w:r w:rsidR="00256CE5">
        <w:rPr>
          <w:rFonts w:asciiTheme="majorBidi" w:eastAsia="Calibri" w:hAnsiTheme="majorBidi" w:cstheme="majorBidi"/>
          <w:sz w:val="24"/>
          <w:szCs w:val="24"/>
        </w:rPr>
        <w:t xml:space="preserve"> </w:t>
      </w:r>
      <w:r w:rsidR="00E279B0">
        <w:rPr>
          <w:rFonts w:asciiTheme="majorBidi" w:eastAsia="Calibri" w:hAnsiTheme="majorBidi" w:cstheme="majorBidi"/>
          <w:sz w:val="24"/>
          <w:szCs w:val="24"/>
        </w:rPr>
        <w:t>Seventy</w:t>
      </w:r>
      <w:r w:rsidR="00FC0366" w:rsidRPr="00BB0C2D">
        <w:rPr>
          <w:rFonts w:asciiTheme="majorBidi" w:eastAsia="Calibri" w:hAnsiTheme="majorBidi" w:cstheme="majorBidi"/>
          <w:sz w:val="24"/>
          <w:szCs w:val="24"/>
        </w:rPr>
        <w:t xml:space="preserve"> patients were females (60.34%)</w:t>
      </w:r>
      <w:r w:rsidR="00B7476C" w:rsidRPr="00BB0C2D">
        <w:rPr>
          <w:rFonts w:asciiTheme="majorBidi" w:eastAsia="Calibri" w:hAnsiTheme="majorBidi" w:cstheme="majorBidi"/>
          <w:sz w:val="24"/>
          <w:szCs w:val="24"/>
        </w:rPr>
        <w:t>,</w:t>
      </w:r>
      <w:r w:rsidR="00FC0366" w:rsidRPr="00BB0C2D">
        <w:rPr>
          <w:rFonts w:asciiTheme="majorBidi" w:eastAsia="Calibri" w:hAnsiTheme="majorBidi" w:cstheme="majorBidi"/>
          <w:sz w:val="24"/>
          <w:szCs w:val="24"/>
        </w:rPr>
        <w:t xml:space="preserve"> while 46 patients were males (39.65</w:t>
      </w:r>
      <w:r w:rsidR="00A84AB8" w:rsidRPr="00BB0C2D">
        <w:rPr>
          <w:rFonts w:asciiTheme="majorBidi" w:eastAsia="Calibri" w:hAnsiTheme="majorBidi" w:cstheme="majorBidi"/>
          <w:sz w:val="24"/>
          <w:szCs w:val="24"/>
        </w:rPr>
        <w:t>%)</w:t>
      </w:r>
      <w:r w:rsidR="00824C9D" w:rsidRPr="00BB0C2D">
        <w:rPr>
          <w:rFonts w:asciiTheme="majorBidi" w:eastAsia="Calibri" w:hAnsiTheme="majorBidi" w:cstheme="majorBidi"/>
          <w:sz w:val="24"/>
          <w:szCs w:val="24"/>
        </w:rPr>
        <w:t xml:space="preserve"> </w:t>
      </w:r>
      <w:r w:rsidR="00B7476C" w:rsidRPr="00BB0C2D">
        <w:rPr>
          <w:rFonts w:asciiTheme="majorBidi" w:eastAsia="Calibri" w:hAnsiTheme="majorBidi" w:cstheme="majorBidi"/>
          <w:sz w:val="24"/>
          <w:szCs w:val="24"/>
        </w:rPr>
        <w:t>(Tab</w:t>
      </w:r>
      <w:r w:rsidR="00824C9D" w:rsidRPr="00BB0C2D">
        <w:rPr>
          <w:rFonts w:asciiTheme="majorBidi" w:eastAsia="Calibri" w:hAnsiTheme="majorBidi" w:cstheme="majorBidi"/>
          <w:sz w:val="24"/>
          <w:szCs w:val="24"/>
        </w:rPr>
        <w:t xml:space="preserve"> 1</w:t>
      </w:r>
      <w:r w:rsidR="00D44BBB" w:rsidRPr="00BB0C2D">
        <w:rPr>
          <w:rFonts w:asciiTheme="majorBidi" w:eastAsia="Calibri" w:hAnsiTheme="majorBidi" w:cstheme="majorBidi"/>
          <w:sz w:val="24"/>
          <w:szCs w:val="24"/>
        </w:rPr>
        <w:t>).</w:t>
      </w:r>
    </w:p>
    <w:p w14:paraId="3CB1D8E6" w14:textId="1CC3A4BC" w:rsidR="003C55EC" w:rsidRDefault="003C55EC" w:rsidP="003C55EC">
      <w:pPr>
        <w:pStyle w:val="Caption"/>
        <w:keepNext/>
        <w:bidi w:val="0"/>
        <w:jc w:val="both"/>
      </w:pPr>
      <w:r>
        <w:t>Table</w:t>
      </w:r>
      <w:r>
        <w:rPr>
          <w:rtl/>
        </w:rPr>
        <w:t xml:space="preserve"> </w:t>
      </w:r>
      <w:r w:rsidR="00B160C8">
        <w:rPr>
          <w:rtl/>
        </w:rPr>
        <w:fldChar w:fldCharType="begin"/>
      </w:r>
      <w:r w:rsidR="00B160C8">
        <w:rPr>
          <w:rtl/>
        </w:rPr>
        <w:instrText xml:space="preserve"> </w:instrText>
      </w:r>
      <w:r w:rsidR="00B160C8">
        <w:instrText>SEQ</w:instrText>
      </w:r>
      <w:r w:rsidR="00B160C8">
        <w:rPr>
          <w:rtl/>
        </w:rPr>
        <w:instrText xml:space="preserve"> </w:instrText>
      </w:r>
      <w:r w:rsidR="00B160C8">
        <w:instrText>Table \* ARABIC</w:instrText>
      </w:r>
      <w:r w:rsidR="00B160C8">
        <w:rPr>
          <w:rtl/>
        </w:rPr>
        <w:instrText xml:space="preserve"> </w:instrText>
      </w:r>
      <w:r w:rsidR="00B160C8">
        <w:rPr>
          <w:rtl/>
        </w:rPr>
        <w:fldChar w:fldCharType="separate"/>
      </w:r>
      <w:r w:rsidR="000066D3">
        <w:rPr>
          <w:noProof/>
          <w:rtl/>
        </w:rPr>
        <w:t>1</w:t>
      </w:r>
      <w:r w:rsidR="00B160C8">
        <w:rPr>
          <w:rtl/>
        </w:rPr>
        <w:fldChar w:fldCharType="end"/>
      </w:r>
      <w:r w:rsidRPr="003C55EC">
        <w:t xml:space="preserve"> Demographic characteristics of the patients according to the stage of fibrosis</w:t>
      </w:r>
    </w:p>
    <w:tbl>
      <w:tblPr>
        <w:tblStyle w:val="TableGrid"/>
        <w:bidiVisual/>
        <w:tblW w:w="979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mographic characteristics of the patients according to the stage of fibrosis"/>
      </w:tblPr>
      <w:tblGrid>
        <w:gridCol w:w="1638"/>
        <w:gridCol w:w="2455"/>
        <w:gridCol w:w="2090"/>
        <w:gridCol w:w="1694"/>
        <w:gridCol w:w="1921"/>
      </w:tblGrid>
      <w:tr w:rsidR="003C55EC" w:rsidRPr="0093794A" w14:paraId="0D142E06" w14:textId="77777777" w:rsidTr="00BE77E5">
        <w:trPr>
          <w:trHeight w:val="1658"/>
          <w:jc w:val="right"/>
        </w:trPr>
        <w:tc>
          <w:tcPr>
            <w:tcW w:w="1638" w:type="dxa"/>
            <w:tcBorders>
              <w:top w:val="single" w:sz="4" w:space="0" w:color="auto"/>
              <w:bottom w:val="single" w:sz="4" w:space="0" w:color="auto"/>
            </w:tcBorders>
            <w:shd w:val="clear" w:color="auto" w:fill="DBE5F1" w:themeFill="accent1" w:themeFillTint="33"/>
          </w:tcPr>
          <w:p w14:paraId="25DE4EA8"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P- value</w:t>
            </w:r>
          </w:p>
        </w:tc>
        <w:tc>
          <w:tcPr>
            <w:tcW w:w="2455" w:type="dxa"/>
            <w:tcBorders>
              <w:top w:val="single" w:sz="4" w:space="0" w:color="auto"/>
              <w:bottom w:val="single" w:sz="4" w:space="0" w:color="auto"/>
            </w:tcBorders>
            <w:shd w:val="clear" w:color="auto" w:fill="DBE5F1" w:themeFill="accent1" w:themeFillTint="33"/>
          </w:tcPr>
          <w:p w14:paraId="5C7C486A"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GroupII, advanced Fibrosis (AF)(n=20)</w:t>
            </w:r>
          </w:p>
        </w:tc>
        <w:tc>
          <w:tcPr>
            <w:tcW w:w="2090" w:type="dxa"/>
            <w:tcBorders>
              <w:top w:val="single" w:sz="4" w:space="0" w:color="auto"/>
              <w:bottom w:val="single" w:sz="4" w:space="0" w:color="auto"/>
            </w:tcBorders>
            <w:shd w:val="clear" w:color="auto" w:fill="DBE5F1" w:themeFill="accent1" w:themeFillTint="33"/>
          </w:tcPr>
          <w:p w14:paraId="26F2EBFE"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Group I, Mild/ Moderate (MF) Fibrosis (n=96)</w:t>
            </w:r>
          </w:p>
        </w:tc>
        <w:tc>
          <w:tcPr>
            <w:tcW w:w="1694" w:type="dxa"/>
            <w:tcBorders>
              <w:top w:val="single" w:sz="4" w:space="0" w:color="auto"/>
              <w:bottom w:val="single" w:sz="4" w:space="0" w:color="auto"/>
            </w:tcBorders>
            <w:shd w:val="clear" w:color="auto" w:fill="DBE5F1" w:themeFill="accent1" w:themeFillTint="33"/>
          </w:tcPr>
          <w:p w14:paraId="50542ED0"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 xml:space="preserve">Overall </w:t>
            </w:r>
          </w:p>
        </w:tc>
        <w:tc>
          <w:tcPr>
            <w:tcW w:w="1921" w:type="dxa"/>
            <w:tcBorders>
              <w:top w:val="single" w:sz="4" w:space="0" w:color="auto"/>
              <w:bottom w:val="single" w:sz="4" w:space="0" w:color="auto"/>
            </w:tcBorders>
            <w:shd w:val="clear" w:color="auto" w:fill="DBE5F1" w:themeFill="accent1" w:themeFillTint="33"/>
          </w:tcPr>
          <w:p w14:paraId="4894BC9A"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 xml:space="preserve">Character </w:t>
            </w:r>
          </w:p>
        </w:tc>
      </w:tr>
      <w:tr w:rsidR="003C55EC" w:rsidRPr="0093794A" w14:paraId="4C559FC8" w14:textId="77777777" w:rsidTr="00BE77E5">
        <w:trPr>
          <w:trHeight w:val="2050"/>
          <w:jc w:val="right"/>
        </w:trPr>
        <w:tc>
          <w:tcPr>
            <w:tcW w:w="1638" w:type="dxa"/>
            <w:tcBorders>
              <w:top w:val="single" w:sz="4" w:space="0" w:color="auto"/>
            </w:tcBorders>
          </w:tcPr>
          <w:p w14:paraId="5A3659FF"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72275FDA"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0.269</w:t>
            </w:r>
          </w:p>
        </w:tc>
        <w:tc>
          <w:tcPr>
            <w:tcW w:w="2455" w:type="dxa"/>
            <w:tcBorders>
              <w:top w:val="single" w:sz="4" w:space="0" w:color="auto"/>
            </w:tcBorders>
          </w:tcPr>
          <w:p w14:paraId="6B9534B0"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561345F0"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47.50 ± 9.09</w:t>
            </w:r>
          </w:p>
          <w:p w14:paraId="3C6EE7B9"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36- 66</w:t>
            </w:r>
          </w:p>
        </w:tc>
        <w:tc>
          <w:tcPr>
            <w:tcW w:w="2090" w:type="dxa"/>
            <w:tcBorders>
              <w:top w:val="single" w:sz="4" w:space="0" w:color="auto"/>
            </w:tcBorders>
          </w:tcPr>
          <w:p w14:paraId="05BC6E64"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28E39F10"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45.04 ± 8.79</w:t>
            </w:r>
          </w:p>
          <w:p w14:paraId="3F59ED26"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21- 67</w:t>
            </w:r>
          </w:p>
        </w:tc>
        <w:tc>
          <w:tcPr>
            <w:tcW w:w="1694" w:type="dxa"/>
            <w:tcBorders>
              <w:top w:val="single" w:sz="4" w:space="0" w:color="auto"/>
            </w:tcBorders>
          </w:tcPr>
          <w:p w14:paraId="77EB9774"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241E3660"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45.47± 9.01</w:t>
            </w:r>
          </w:p>
          <w:p w14:paraId="3618D6D2"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21- 67</w:t>
            </w:r>
          </w:p>
        </w:tc>
        <w:tc>
          <w:tcPr>
            <w:tcW w:w="1921" w:type="dxa"/>
            <w:tcBorders>
              <w:top w:val="single" w:sz="4" w:space="0" w:color="auto"/>
            </w:tcBorders>
            <w:shd w:val="clear" w:color="auto" w:fill="DBE5F1" w:themeFill="accent1" w:themeFillTint="33"/>
          </w:tcPr>
          <w:p w14:paraId="71F5F6E0"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Age (years)</w:t>
            </w:r>
          </w:p>
          <w:p w14:paraId="040CDF3F"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Mean (SD)</w:t>
            </w:r>
          </w:p>
          <w:p w14:paraId="7CDD2EB4"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 xml:space="preserve">Range </w:t>
            </w:r>
          </w:p>
        </w:tc>
      </w:tr>
      <w:tr w:rsidR="003C55EC" w:rsidRPr="0093794A" w14:paraId="54DE74B3" w14:textId="77777777" w:rsidTr="003C55EC">
        <w:trPr>
          <w:trHeight w:val="2050"/>
          <w:jc w:val="right"/>
        </w:trPr>
        <w:tc>
          <w:tcPr>
            <w:tcW w:w="1638" w:type="dxa"/>
            <w:tcBorders>
              <w:bottom w:val="single" w:sz="4" w:space="0" w:color="auto"/>
            </w:tcBorders>
          </w:tcPr>
          <w:p w14:paraId="0BDFA72F"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1E1D5C4A"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0.23</w:t>
            </w:r>
          </w:p>
        </w:tc>
        <w:tc>
          <w:tcPr>
            <w:tcW w:w="2455" w:type="dxa"/>
            <w:tcBorders>
              <w:bottom w:val="single" w:sz="4" w:space="0" w:color="auto"/>
            </w:tcBorders>
          </w:tcPr>
          <w:p w14:paraId="676A4EC8"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745D4EEE"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6 (30.0)</w:t>
            </w:r>
          </w:p>
          <w:p w14:paraId="3AA9FF77"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14 (70.0)</w:t>
            </w:r>
          </w:p>
        </w:tc>
        <w:tc>
          <w:tcPr>
            <w:tcW w:w="2090" w:type="dxa"/>
            <w:tcBorders>
              <w:bottom w:val="single" w:sz="4" w:space="0" w:color="auto"/>
            </w:tcBorders>
          </w:tcPr>
          <w:p w14:paraId="26BA4D93"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543ED5F8"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40 (41.7)</w:t>
            </w:r>
          </w:p>
          <w:p w14:paraId="09A37592"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56 (58.2)</w:t>
            </w:r>
          </w:p>
        </w:tc>
        <w:tc>
          <w:tcPr>
            <w:tcW w:w="1694" w:type="dxa"/>
            <w:tcBorders>
              <w:bottom w:val="single" w:sz="4" w:space="0" w:color="auto"/>
            </w:tcBorders>
          </w:tcPr>
          <w:p w14:paraId="5EE219C9" w14:textId="77777777" w:rsidR="003C55EC" w:rsidRPr="000066D3" w:rsidRDefault="003C55EC" w:rsidP="00BE77E5">
            <w:pPr>
              <w:bidi w:val="0"/>
              <w:spacing w:after="200" w:line="360" w:lineRule="auto"/>
              <w:ind w:firstLine="720"/>
              <w:jc w:val="both"/>
              <w:rPr>
                <w:rFonts w:asciiTheme="majorBidi" w:eastAsia="Calibri" w:hAnsiTheme="majorBidi" w:cstheme="majorBidi"/>
                <w:b/>
                <w:bCs/>
                <w:sz w:val="24"/>
                <w:szCs w:val="24"/>
              </w:rPr>
            </w:pPr>
          </w:p>
          <w:p w14:paraId="23041341"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46 (39.65)</w:t>
            </w:r>
          </w:p>
          <w:p w14:paraId="6E637948"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70 (60.34)</w:t>
            </w:r>
          </w:p>
        </w:tc>
        <w:tc>
          <w:tcPr>
            <w:tcW w:w="1921" w:type="dxa"/>
            <w:tcBorders>
              <w:bottom w:val="single" w:sz="4" w:space="0" w:color="auto"/>
            </w:tcBorders>
            <w:shd w:val="clear" w:color="auto" w:fill="DBE5F1" w:themeFill="accent1" w:themeFillTint="33"/>
          </w:tcPr>
          <w:p w14:paraId="7930A2BC"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Sex n (%)</w:t>
            </w:r>
          </w:p>
          <w:p w14:paraId="59DFEF92"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Male</w:t>
            </w:r>
          </w:p>
          <w:p w14:paraId="7EF695D1" w14:textId="77777777" w:rsidR="003C55EC" w:rsidRPr="000066D3" w:rsidRDefault="003C55EC" w:rsidP="00BE77E5">
            <w:pPr>
              <w:bidi w:val="0"/>
              <w:spacing w:after="200" w:line="360" w:lineRule="auto"/>
              <w:jc w:val="both"/>
              <w:rPr>
                <w:rFonts w:asciiTheme="majorBidi" w:eastAsia="Calibri" w:hAnsiTheme="majorBidi" w:cstheme="majorBidi"/>
                <w:b/>
                <w:bCs/>
                <w:sz w:val="24"/>
                <w:szCs w:val="24"/>
                <w:rtl/>
              </w:rPr>
            </w:pPr>
            <w:r w:rsidRPr="000066D3">
              <w:rPr>
                <w:rFonts w:asciiTheme="majorBidi" w:eastAsia="Calibri" w:hAnsiTheme="majorBidi" w:cstheme="majorBidi"/>
                <w:b/>
                <w:bCs/>
                <w:sz w:val="24"/>
                <w:szCs w:val="24"/>
              </w:rPr>
              <w:t xml:space="preserve">Female </w:t>
            </w:r>
          </w:p>
        </w:tc>
      </w:tr>
    </w:tbl>
    <w:p w14:paraId="6921CF09" w14:textId="77777777" w:rsidR="003C55EC" w:rsidRDefault="003C55EC" w:rsidP="003C55EC">
      <w:pPr>
        <w:bidi w:val="0"/>
        <w:spacing w:after="16" w:line="360" w:lineRule="auto"/>
        <w:jc w:val="both"/>
        <w:rPr>
          <w:rFonts w:asciiTheme="majorBidi" w:eastAsia="Calibri" w:hAnsiTheme="majorBidi" w:cstheme="majorBidi"/>
          <w:sz w:val="24"/>
          <w:szCs w:val="24"/>
        </w:rPr>
      </w:pPr>
    </w:p>
    <w:p w14:paraId="78397A24" w14:textId="3B6DC362" w:rsidR="00D46309" w:rsidRDefault="00D46309" w:rsidP="003C55EC">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Advanced fibrosis [F3,</w:t>
      </w:r>
      <w:r w:rsidR="00FC0366" w:rsidRPr="00BB0C2D">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F 4] was reported in 17.3% of patients</w:t>
      </w:r>
      <w:r w:rsidR="00B7476C"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t>
      </w:r>
      <w:r w:rsidR="00FC0366" w:rsidRPr="00BB0C2D">
        <w:rPr>
          <w:rFonts w:asciiTheme="majorBidi" w:eastAsia="Calibri" w:hAnsiTheme="majorBidi" w:cstheme="majorBidi"/>
          <w:sz w:val="24"/>
          <w:szCs w:val="24"/>
        </w:rPr>
        <w:t>whereas 82.7</w:t>
      </w:r>
      <w:r w:rsidRPr="00BB0C2D">
        <w:rPr>
          <w:rFonts w:asciiTheme="majorBidi" w:eastAsia="Calibri" w:hAnsiTheme="majorBidi" w:cstheme="majorBidi"/>
          <w:sz w:val="24"/>
          <w:szCs w:val="24"/>
        </w:rPr>
        <w:t xml:space="preserve">% </w:t>
      </w:r>
      <w:r w:rsidR="00FC0366" w:rsidRPr="00BB0C2D">
        <w:rPr>
          <w:rFonts w:asciiTheme="majorBidi" w:eastAsia="Calibri" w:hAnsiTheme="majorBidi" w:cstheme="majorBidi"/>
          <w:sz w:val="24"/>
          <w:szCs w:val="24"/>
        </w:rPr>
        <w:t>had mild</w:t>
      </w:r>
      <w:r w:rsidRPr="00BB0C2D">
        <w:rPr>
          <w:rFonts w:asciiTheme="majorBidi" w:eastAsia="Calibri" w:hAnsiTheme="majorBidi" w:cstheme="majorBidi"/>
          <w:sz w:val="24"/>
          <w:szCs w:val="24"/>
        </w:rPr>
        <w:t xml:space="preserve">/moderate fibrosis [F0- F2] (Tab </w:t>
      </w:r>
      <w:r w:rsidR="00824C9D" w:rsidRPr="00BB0C2D">
        <w:rPr>
          <w:rFonts w:asciiTheme="majorBidi" w:eastAsia="Calibri" w:hAnsiTheme="majorBidi" w:cstheme="majorBidi"/>
          <w:sz w:val="24"/>
          <w:szCs w:val="24"/>
        </w:rPr>
        <w:t>2</w:t>
      </w:r>
      <w:r w:rsidRPr="00BB0C2D">
        <w:rPr>
          <w:rFonts w:asciiTheme="majorBidi" w:eastAsia="Calibri" w:hAnsiTheme="majorBidi" w:cstheme="majorBidi"/>
          <w:sz w:val="24"/>
          <w:szCs w:val="24"/>
        </w:rPr>
        <w:t>).</w:t>
      </w:r>
    </w:p>
    <w:p w14:paraId="3D94A1D4" w14:textId="7C2A523A" w:rsidR="00875BE3" w:rsidRDefault="00875BE3" w:rsidP="00875BE3">
      <w:pPr>
        <w:pStyle w:val="Caption"/>
        <w:keepNext/>
        <w:bidi w:val="0"/>
      </w:pPr>
      <w:r>
        <w:t xml:space="preserve">Table </w:t>
      </w:r>
      <w:fldSimple w:instr=" SEQ Table \* ARABIC ">
        <w:r w:rsidR="000066D3">
          <w:rPr>
            <w:noProof/>
          </w:rPr>
          <w:t>2</w:t>
        </w:r>
      </w:fldSimple>
      <w:r>
        <w:t xml:space="preserve">: </w:t>
      </w:r>
      <w:r w:rsidRPr="00875BE3">
        <w:t>The distribution of patients according to their degree of liver fibrosis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75BE3" w:rsidRPr="0093794A" w14:paraId="74859043" w14:textId="77777777" w:rsidTr="00042881">
        <w:tc>
          <w:tcPr>
            <w:tcW w:w="4148" w:type="dxa"/>
            <w:tcBorders>
              <w:top w:val="single" w:sz="4" w:space="0" w:color="auto"/>
              <w:bottom w:val="single" w:sz="4" w:space="0" w:color="auto"/>
            </w:tcBorders>
            <w:shd w:val="clear" w:color="auto" w:fill="DBE5F1" w:themeFill="accent1" w:themeFillTint="33"/>
          </w:tcPr>
          <w:p w14:paraId="1AE456D5" w14:textId="77777777" w:rsidR="00875BE3" w:rsidRPr="000066D3" w:rsidRDefault="00875BE3" w:rsidP="00BE77E5">
            <w:pPr>
              <w:bidi w:val="0"/>
              <w:spacing w:after="200" w:line="360" w:lineRule="auto"/>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The degree of liver fibrosis LSM (KPa)</w:t>
            </w:r>
          </w:p>
        </w:tc>
        <w:tc>
          <w:tcPr>
            <w:tcW w:w="4148" w:type="dxa"/>
            <w:tcBorders>
              <w:top w:val="single" w:sz="4" w:space="0" w:color="auto"/>
              <w:bottom w:val="single" w:sz="4" w:space="0" w:color="auto"/>
            </w:tcBorders>
            <w:shd w:val="clear" w:color="auto" w:fill="DBE5F1" w:themeFill="accent1" w:themeFillTint="33"/>
          </w:tcPr>
          <w:p w14:paraId="44E3DC41"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Frequency (%)</w:t>
            </w:r>
          </w:p>
        </w:tc>
      </w:tr>
      <w:tr w:rsidR="00875BE3" w:rsidRPr="0093794A" w14:paraId="6813DF68" w14:textId="77777777" w:rsidTr="00042881">
        <w:tc>
          <w:tcPr>
            <w:tcW w:w="4148" w:type="dxa"/>
            <w:tcBorders>
              <w:top w:val="single" w:sz="4" w:space="0" w:color="auto"/>
            </w:tcBorders>
            <w:shd w:val="clear" w:color="auto" w:fill="DBE5F1" w:themeFill="accent1" w:themeFillTint="33"/>
          </w:tcPr>
          <w:p w14:paraId="42FC54B3" w14:textId="1B54C6C9"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F0 (0-5.9)</w:t>
            </w:r>
          </w:p>
        </w:tc>
        <w:tc>
          <w:tcPr>
            <w:tcW w:w="4148" w:type="dxa"/>
            <w:tcBorders>
              <w:top w:val="single" w:sz="4" w:space="0" w:color="auto"/>
            </w:tcBorders>
          </w:tcPr>
          <w:p w14:paraId="654A2254"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70(60.3)</w:t>
            </w:r>
          </w:p>
        </w:tc>
      </w:tr>
      <w:tr w:rsidR="00875BE3" w:rsidRPr="0093794A" w14:paraId="006C505C" w14:textId="77777777" w:rsidTr="00042881">
        <w:tc>
          <w:tcPr>
            <w:tcW w:w="4148" w:type="dxa"/>
            <w:shd w:val="clear" w:color="auto" w:fill="DBE5F1" w:themeFill="accent1" w:themeFillTint="33"/>
          </w:tcPr>
          <w:p w14:paraId="5D6E9263"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F 1 (6-6.9)</w:t>
            </w:r>
          </w:p>
        </w:tc>
        <w:tc>
          <w:tcPr>
            <w:tcW w:w="4148" w:type="dxa"/>
          </w:tcPr>
          <w:p w14:paraId="75F2D899"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18 (15.5)</w:t>
            </w:r>
          </w:p>
        </w:tc>
      </w:tr>
      <w:tr w:rsidR="00875BE3" w:rsidRPr="0093794A" w14:paraId="17801BE4" w14:textId="77777777" w:rsidTr="00042881">
        <w:tc>
          <w:tcPr>
            <w:tcW w:w="4148" w:type="dxa"/>
            <w:shd w:val="clear" w:color="auto" w:fill="DBE5F1" w:themeFill="accent1" w:themeFillTint="33"/>
          </w:tcPr>
          <w:p w14:paraId="565386C1"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F 2 (7-9)</w:t>
            </w:r>
          </w:p>
        </w:tc>
        <w:tc>
          <w:tcPr>
            <w:tcW w:w="4148" w:type="dxa"/>
          </w:tcPr>
          <w:p w14:paraId="5D656FD5"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8 (6.9)</w:t>
            </w:r>
          </w:p>
        </w:tc>
      </w:tr>
      <w:tr w:rsidR="00875BE3" w:rsidRPr="0093794A" w14:paraId="165CCEA2" w14:textId="77777777" w:rsidTr="00042881">
        <w:tc>
          <w:tcPr>
            <w:tcW w:w="4148" w:type="dxa"/>
            <w:shd w:val="clear" w:color="auto" w:fill="DBE5F1" w:themeFill="accent1" w:themeFillTint="33"/>
          </w:tcPr>
          <w:p w14:paraId="28BAC7AE"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F 3 (9.1- 10.3)</w:t>
            </w:r>
          </w:p>
        </w:tc>
        <w:tc>
          <w:tcPr>
            <w:tcW w:w="4148" w:type="dxa"/>
          </w:tcPr>
          <w:p w14:paraId="208B2D7D"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16 (13.8)</w:t>
            </w:r>
          </w:p>
        </w:tc>
      </w:tr>
      <w:tr w:rsidR="00875BE3" w:rsidRPr="0093794A" w14:paraId="4F13AD49" w14:textId="77777777" w:rsidTr="00042881">
        <w:tc>
          <w:tcPr>
            <w:tcW w:w="4148" w:type="dxa"/>
            <w:tcBorders>
              <w:bottom w:val="single" w:sz="4" w:space="0" w:color="auto"/>
            </w:tcBorders>
            <w:shd w:val="clear" w:color="auto" w:fill="DBE5F1" w:themeFill="accent1" w:themeFillTint="33"/>
          </w:tcPr>
          <w:p w14:paraId="016FD580" w14:textId="77777777" w:rsidR="00875BE3" w:rsidRPr="000066D3" w:rsidRDefault="00875BE3" w:rsidP="00BE77E5">
            <w:pPr>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F 4 (&gt; 10.4)</w:t>
            </w:r>
          </w:p>
        </w:tc>
        <w:tc>
          <w:tcPr>
            <w:tcW w:w="4148" w:type="dxa"/>
            <w:tcBorders>
              <w:bottom w:val="single" w:sz="4" w:space="0" w:color="auto"/>
            </w:tcBorders>
          </w:tcPr>
          <w:p w14:paraId="3A5E4F44" w14:textId="77777777" w:rsidR="00875BE3" w:rsidRPr="000066D3" w:rsidRDefault="00875BE3" w:rsidP="000066D3">
            <w:pPr>
              <w:keepNext/>
              <w:bidi w:val="0"/>
              <w:spacing w:after="200" w:line="360" w:lineRule="auto"/>
              <w:ind w:firstLine="720"/>
              <w:jc w:val="both"/>
              <w:rPr>
                <w:rFonts w:asciiTheme="majorBidi" w:eastAsia="Calibri" w:hAnsiTheme="majorBidi" w:cstheme="majorBidi"/>
                <w:b/>
                <w:bCs/>
                <w:sz w:val="24"/>
                <w:szCs w:val="24"/>
              </w:rPr>
            </w:pPr>
            <w:r w:rsidRPr="000066D3">
              <w:rPr>
                <w:rFonts w:asciiTheme="majorBidi" w:eastAsia="Calibri" w:hAnsiTheme="majorBidi" w:cstheme="majorBidi"/>
                <w:b/>
                <w:bCs/>
                <w:sz w:val="24"/>
                <w:szCs w:val="24"/>
              </w:rPr>
              <w:t>4 (3.5)</w:t>
            </w:r>
          </w:p>
        </w:tc>
      </w:tr>
    </w:tbl>
    <w:p w14:paraId="19E3BC7F" w14:textId="6924AE23" w:rsidR="000066D3" w:rsidRDefault="00603AFB" w:rsidP="000066D3">
      <w:pPr>
        <w:pStyle w:val="Caption"/>
        <w:bidi w:val="0"/>
      </w:pPr>
      <w:r w:rsidRPr="00603AFB">
        <w:t>LSM: liver stiffness measurements</w:t>
      </w:r>
      <w:r w:rsidR="000066D3">
        <w:rPr>
          <w:rtl/>
        </w:rPr>
        <w:t xml:space="preserve"> </w:t>
      </w:r>
    </w:p>
    <w:p w14:paraId="1AF61532" w14:textId="77777777" w:rsidR="00042881" w:rsidRDefault="00824C9D"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The mean</w:t>
      </w:r>
      <w:r w:rsidR="00D44BBB" w:rsidRPr="00BB0C2D">
        <w:rPr>
          <w:rFonts w:asciiTheme="majorBidi" w:eastAsia="Calibri" w:hAnsiTheme="majorBidi" w:cstheme="majorBidi"/>
          <w:sz w:val="24"/>
          <w:szCs w:val="24"/>
        </w:rPr>
        <w:t xml:space="preserve"> liver</w:t>
      </w:r>
      <w:r w:rsidRPr="00BB0C2D">
        <w:rPr>
          <w:rFonts w:asciiTheme="majorBidi" w:eastAsia="Calibri" w:hAnsiTheme="majorBidi" w:cstheme="majorBidi"/>
          <w:sz w:val="24"/>
          <w:szCs w:val="24"/>
        </w:rPr>
        <w:t xml:space="preserve"> </w:t>
      </w:r>
      <w:r w:rsidR="00A73CA4" w:rsidRPr="00BB0C2D">
        <w:rPr>
          <w:rFonts w:asciiTheme="majorBidi" w:eastAsia="Calibri" w:hAnsiTheme="majorBidi" w:cstheme="majorBidi"/>
          <w:sz w:val="24"/>
          <w:szCs w:val="24"/>
        </w:rPr>
        <w:t>stiffness measurement</w:t>
      </w:r>
      <w:r w:rsidR="00D44BBB" w:rsidRPr="00BB0C2D">
        <w:rPr>
          <w:rFonts w:asciiTheme="majorBidi" w:eastAsia="Calibri" w:hAnsiTheme="majorBidi" w:cstheme="majorBidi"/>
          <w:sz w:val="24"/>
          <w:szCs w:val="24"/>
        </w:rPr>
        <w:t xml:space="preserve"> (LSM) </w:t>
      </w:r>
      <w:r w:rsidR="00892D1F" w:rsidRPr="00BB0C2D">
        <w:rPr>
          <w:rFonts w:asciiTheme="majorBidi" w:eastAsia="Calibri" w:hAnsiTheme="majorBidi" w:cstheme="majorBidi"/>
          <w:sz w:val="24"/>
          <w:szCs w:val="24"/>
        </w:rPr>
        <w:t>score of</w:t>
      </w:r>
      <w:r w:rsidRPr="00BB0C2D">
        <w:rPr>
          <w:rFonts w:asciiTheme="majorBidi" w:eastAsia="Calibri" w:hAnsiTheme="majorBidi" w:cstheme="majorBidi"/>
          <w:sz w:val="24"/>
          <w:szCs w:val="24"/>
        </w:rPr>
        <w:t xml:space="preserve"> group II patients was (</w:t>
      </w:r>
      <w:r w:rsidR="00892D1F" w:rsidRPr="00BB0C2D">
        <w:rPr>
          <w:rFonts w:asciiTheme="majorBidi" w:eastAsia="Calibri" w:hAnsiTheme="majorBidi" w:cstheme="majorBidi"/>
          <w:sz w:val="24"/>
          <w:szCs w:val="24"/>
        </w:rPr>
        <w:t>9.53 ± 1.05</w:t>
      </w:r>
      <w:r w:rsidRPr="00BB0C2D">
        <w:rPr>
          <w:rFonts w:asciiTheme="majorBidi" w:eastAsia="Calibri" w:hAnsiTheme="majorBidi" w:cstheme="majorBidi"/>
          <w:sz w:val="24"/>
          <w:szCs w:val="24"/>
        </w:rPr>
        <w:t xml:space="preserve"> kPa) which</w:t>
      </w:r>
      <w:r w:rsidR="00892D1F" w:rsidRPr="00BB0C2D">
        <w:rPr>
          <w:rFonts w:asciiTheme="majorBidi" w:eastAsia="Calibri" w:hAnsiTheme="majorBidi" w:cstheme="majorBidi"/>
          <w:sz w:val="24"/>
          <w:szCs w:val="24"/>
        </w:rPr>
        <w:t xml:space="preserve"> was significantly higher than group I</w:t>
      </w:r>
      <w:r w:rsidRPr="00BB0C2D">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5.18 ± 0.99</w:t>
      </w:r>
      <w:r w:rsidRPr="00BB0C2D">
        <w:rPr>
          <w:rFonts w:asciiTheme="majorBidi" w:eastAsia="Calibri" w:hAnsiTheme="majorBidi" w:cstheme="majorBidi"/>
          <w:sz w:val="24"/>
          <w:szCs w:val="24"/>
        </w:rPr>
        <w:t xml:space="preserve"> </w:t>
      </w:r>
      <w:r w:rsidR="00F34F37" w:rsidRPr="00BB0C2D">
        <w:rPr>
          <w:rFonts w:asciiTheme="majorBidi" w:eastAsia="Calibri" w:hAnsiTheme="majorBidi" w:cstheme="majorBidi"/>
          <w:sz w:val="24"/>
          <w:szCs w:val="24"/>
        </w:rPr>
        <w:t>kPa) (p</w:t>
      </w:r>
      <w:r w:rsidR="00B7476C" w:rsidRPr="00BB0C2D">
        <w:rPr>
          <w:rFonts w:asciiTheme="majorBidi" w:eastAsia="Calibri" w:hAnsiTheme="majorBidi" w:cstheme="majorBidi"/>
          <w:sz w:val="24"/>
          <w:szCs w:val="24"/>
        </w:rPr>
        <w:t>-value</w:t>
      </w:r>
      <w:r w:rsidR="00892D1F" w:rsidRPr="00BB0C2D">
        <w:rPr>
          <w:rFonts w:asciiTheme="majorBidi" w:eastAsia="Calibri" w:hAnsiTheme="majorBidi" w:cstheme="majorBidi"/>
          <w:sz w:val="24"/>
          <w:szCs w:val="24"/>
        </w:rPr>
        <w:t xml:space="preserve"> </w:t>
      </w:r>
      <w:r w:rsidR="00904E15" w:rsidRPr="00BB0C2D">
        <w:rPr>
          <w:rFonts w:asciiTheme="majorBidi" w:eastAsia="Calibri" w:hAnsiTheme="majorBidi" w:cstheme="majorBidi"/>
          <w:sz w:val="24"/>
          <w:szCs w:val="24"/>
        </w:rPr>
        <w:t>&lt;</w:t>
      </w:r>
      <w:r w:rsidR="00892D1F" w:rsidRPr="00BB0C2D">
        <w:rPr>
          <w:rFonts w:asciiTheme="majorBidi" w:eastAsia="Calibri" w:hAnsiTheme="majorBidi" w:cstheme="majorBidi"/>
          <w:sz w:val="24"/>
          <w:szCs w:val="24"/>
        </w:rPr>
        <w:t>0.00</w:t>
      </w:r>
      <w:r w:rsidR="00904E15" w:rsidRPr="00BB0C2D">
        <w:rPr>
          <w:rFonts w:asciiTheme="majorBidi" w:eastAsia="Calibri" w:hAnsiTheme="majorBidi" w:cstheme="majorBidi"/>
          <w:sz w:val="24"/>
          <w:szCs w:val="24"/>
        </w:rPr>
        <w:t>1</w:t>
      </w:r>
      <w:r w:rsidR="0056457E" w:rsidRPr="00BB0C2D">
        <w:rPr>
          <w:rFonts w:asciiTheme="majorBidi" w:eastAsia="Calibri" w:hAnsiTheme="majorBidi" w:cstheme="majorBidi"/>
          <w:sz w:val="24"/>
          <w:szCs w:val="24"/>
        </w:rPr>
        <w:t>) (Table</w:t>
      </w:r>
      <w:r w:rsidR="00892D1F" w:rsidRPr="00BB0C2D">
        <w:rPr>
          <w:rFonts w:asciiTheme="majorBidi" w:eastAsia="Calibri" w:hAnsiTheme="majorBidi" w:cstheme="majorBidi"/>
          <w:sz w:val="24"/>
          <w:szCs w:val="24"/>
        </w:rPr>
        <w:t xml:space="preserve"> </w:t>
      </w:r>
      <w:r w:rsidR="009D32D3" w:rsidRPr="00BB0C2D">
        <w:rPr>
          <w:rFonts w:asciiTheme="majorBidi" w:eastAsia="Calibri" w:hAnsiTheme="majorBidi" w:cstheme="majorBidi"/>
          <w:sz w:val="24"/>
          <w:szCs w:val="24"/>
        </w:rPr>
        <w:t>3</w:t>
      </w:r>
      <w:r w:rsidR="0056457E" w:rsidRPr="00BB0C2D">
        <w:rPr>
          <w:rFonts w:asciiTheme="majorBidi" w:eastAsia="Calibri" w:hAnsiTheme="majorBidi" w:cstheme="majorBidi"/>
          <w:sz w:val="24"/>
          <w:szCs w:val="24"/>
        </w:rPr>
        <w:t>).</w:t>
      </w:r>
      <w:r w:rsidR="009D32D3" w:rsidRPr="00BB0C2D">
        <w:rPr>
          <w:rFonts w:asciiTheme="majorBidi" w:eastAsia="Calibri" w:hAnsiTheme="majorBidi" w:cstheme="majorBidi"/>
          <w:sz w:val="24"/>
          <w:szCs w:val="24"/>
        </w:rPr>
        <w:t xml:space="preserve"> </w:t>
      </w:r>
    </w:p>
    <w:p w14:paraId="4A1FC0E7" w14:textId="6A8751A8" w:rsidR="001C52DA" w:rsidRDefault="001C52DA" w:rsidP="001C52DA">
      <w:pPr>
        <w:pStyle w:val="Caption"/>
        <w:keepNext/>
        <w:bidi w:val="0"/>
      </w:pPr>
      <w:r>
        <w:t xml:space="preserve">Table </w:t>
      </w:r>
      <w:fldSimple w:instr=" SEQ Table \* ARABIC ">
        <w:r w:rsidR="000066D3">
          <w:rPr>
            <w:noProof/>
          </w:rPr>
          <w:t>4</w:t>
        </w:r>
      </w:fldSimple>
      <w:r>
        <w:t xml:space="preserve">: </w:t>
      </w:r>
      <w:r w:rsidRPr="001C52DA">
        <w:t>The distribution of patients according to their degree of liver steatosis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042881" w:rsidRPr="0093794A" w14:paraId="1C347F63" w14:textId="77777777" w:rsidTr="001C52DA">
        <w:tc>
          <w:tcPr>
            <w:tcW w:w="4148" w:type="dxa"/>
            <w:tcBorders>
              <w:top w:val="single" w:sz="4" w:space="0" w:color="auto"/>
              <w:bottom w:val="single" w:sz="4" w:space="0" w:color="auto"/>
            </w:tcBorders>
            <w:shd w:val="clear" w:color="auto" w:fill="DBE5F1" w:themeFill="accent1" w:themeFillTint="33"/>
          </w:tcPr>
          <w:p w14:paraId="4A2ABDC7" w14:textId="77777777"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Segoe UI" w:hAnsi="Segoe UI" w:cs="Segoe UI"/>
                <w:b/>
                <w:bCs/>
                <w:color w:val="333333"/>
                <w:sz w:val="24"/>
                <w:szCs w:val="24"/>
                <w:shd w:val="clear" w:color="auto" w:fill="E6E6E6"/>
              </w:rPr>
              <w:t>U/S finding</w:t>
            </w:r>
          </w:p>
        </w:tc>
        <w:tc>
          <w:tcPr>
            <w:tcW w:w="4148" w:type="dxa"/>
            <w:tcBorders>
              <w:top w:val="single" w:sz="4" w:space="0" w:color="auto"/>
              <w:bottom w:val="single" w:sz="4" w:space="0" w:color="auto"/>
            </w:tcBorders>
          </w:tcPr>
          <w:p w14:paraId="64BF5BE0" w14:textId="024330A8"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Frequency (n=200)</w:t>
            </w:r>
          </w:p>
        </w:tc>
      </w:tr>
      <w:tr w:rsidR="00042881" w:rsidRPr="0093794A" w14:paraId="159534AB" w14:textId="77777777" w:rsidTr="001C52DA">
        <w:tc>
          <w:tcPr>
            <w:tcW w:w="4148" w:type="dxa"/>
            <w:tcBorders>
              <w:top w:val="single" w:sz="4" w:space="0" w:color="auto"/>
            </w:tcBorders>
            <w:shd w:val="clear" w:color="auto" w:fill="DBE5F1" w:themeFill="accent1" w:themeFillTint="33"/>
          </w:tcPr>
          <w:p w14:paraId="2507B8BB" w14:textId="77777777"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hAnsiTheme="majorBidi" w:cstheme="majorBidi"/>
                <w:b/>
                <w:bCs/>
                <w:color w:val="333333"/>
                <w:sz w:val="24"/>
                <w:szCs w:val="24"/>
                <w:shd w:val="clear" w:color="auto" w:fill="FCFCFC"/>
              </w:rPr>
              <w:t>Grade 1 fatty liver</w:t>
            </w:r>
          </w:p>
        </w:tc>
        <w:tc>
          <w:tcPr>
            <w:tcW w:w="4148" w:type="dxa"/>
            <w:tcBorders>
              <w:top w:val="single" w:sz="4" w:space="0" w:color="auto"/>
            </w:tcBorders>
          </w:tcPr>
          <w:p w14:paraId="3446A784" w14:textId="73E6F039"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94</w:t>
            </w:r>
          </w:p>
        </w:tc>
      </w:tr>
      <w:tr w:rsidR="00042881" w:rsidRPr="0093794A" w14:paraId="0F6A7247" w14:textId="77777777" w:rsidTr="001C52DA">
        <w:tc>
          <w:tcPr>
            <w:tcW w:w="4148" w:type="dxa"/>
            <w:shd w:val="clear" w:color="auto" w:fill="DBE5F1" w:themeFill="accent1" w:themeFillTint="33"/>
          </w:tcPr>
          <w:p w14:paraId="18124310" w14:textId="77777777"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hAnsiTheme="majorBidi" w:cstheme="majorBidi"/>
                <w:b/>
                <w:bCs/>
                <w:color w:val="333333"/>
                <w:sz w:val="24"/>
                <w:szCs w:val="24"/>
                <w:shd w:val="clear" w:color="auto" w:fill="FCFCFC"/>
              </w:rPr>
              <w:t>Grade 2 fatty liver</w:t>
            </w:r>
          </w:p>
        </w:tc>
        <w:tc>
          <w:tcPr>
            <w:tcW w:w="4148" w:type="dxa"/>
          </w:tcPr>
          <w:p w14:paraId="0FA38678" w14:textId="63BFA9BF"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44</w:t>
            </w:r>
          </w:p>
        </w:tc>
      </w:tr>
      <w:tr w:rsidR="00042881" w:rsidRPr="0093794A" w14:paraId="6F29C656" w14:textId="77777777" w:rsidTr="001C52DA">
        <w:tc>
          <w:tcPr>
            <w:tcW w:w="4148" w:type="dxa"/>
            <w:shd w:val="clear" w:color="auto" w:fill="DBE5F1" w:themeFill="accent1" w:themeFillTint="33"/>
          </w:tcPr>
          <w:p w14:paraId="01AEC89E" w14:textId="77777777"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hAnsiTheme="majorBidi" w:cstheme="majorBidi"/>
                <w:b/>
                <w:bCs/>
                <w:color w:val="333333"/>
                <w:sz w:val="24"/>
                <w:szCs w:val="24"/>
                <w:shd w:val="clear" w:color="auto" w:fill="FCFCFC"/>
              </w:rPr>
              <w:t>Grade 3 fatty liver</w:t>
            </w:r>
          </w:p>
        </w:tc>
        <w:tc>
          <w:tcPr>
            <w:tcW w:w="4148" w:type="dxa"/>
          </w:tcPr>
          <w:p w14:paraId="2952F911" w14:textId="442A8B04"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62</w:t>
            </w:r>
          </w:p>
        </w:tc>
      </w:tr>
      <w:tr w:rsidR="00042881" w:rsidRPr="0093794A" w14:paraId="19930706" w14:textId="77777777" w:rsidTr="001C52DA">
        <w:tc>
          <w:tcPr>
            <w:tcW w:w="4148" w:type="dxa"/>
            <w:tcBorders>
              <w:bottom w:val="single" w:sz="4" w:space="0" w:color="auto"/>
            </w:tcBorders>
            <w:shd w:val="clear" w:color="auto" w:fill="DBE5F1" w:themeFill="accent1" w:themeFillTint="33"/>
          </w:tcPr>
          <w:p w14:paraId="30AAB4D3" w14:textId="518B869F" w:rsidR="00042881" w:rsidRPr="006844C6" w:rsidRDefault="00042881" w:rsidP="00BE77E5">
            <w:pPr>
              <w:bidi w:val="0"/>
              <w:spacing w:line="360" w:lineRule="auto"/>
              <w:jc w:val="both"/>
              <w:rPr>
                <w:rFonts w:asciiTheme="majorBidi" w:hAnsiTheme="majorBidi" w:cstheme="majorBidi"/>
                <w:b/>
                <w:bCs/>
                <w:color w:val="333333"/>
                <w:sz w:val="24"/>
                <w:szCs w:val="24"/>
                <w:shd w:val="clear" w:color="auto" w:fill="FCFCFC"/>
              </w:rPr>
            </w:pPr>
            <w:r w:rsidRPr="006844C6">
              <w:rPr>
                <w:rFonts w:asciiTheme="majorBidi" w:hAnsiTheme="majorBidi" w:cstheme="majorBidi"/>
                <w:b/>
                <w:bCs/>
                <w:color w:val="333333"/>
                <w:sz w:val="24"/>
                <w:szCs w:val="24"/>
                <w:shd w:val="clear" w:color="auto" w:fill="FCFCFC"/>
              </w:rPr>
              <w:t xml:space="preserve">Total </w:t>
            </w:r>
          </w:p>
        </w:tc>
        <w:tc>
          <w:tcPr>
            <w:tcW w:w="4148" w:type="dxa"/>
            <w:tcBorders>
              <w:bottom w:val="single" w:sz="4" w:space="0" w:color="auto"/>
            </w:tcBorders>
          </w:tcPr>
          <w:p w14:paraId="1FE7C591" w14:textId="5FCB18B2"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200</w:t>
            </w:r>
          </w:p>
        </w:tc>
      </w:tr>
      <w:tr w:rsidR="00042881" w:rsidRPr="0093794A" w14:paraId="28D494A7" w14:textId="77777777" w:rsidTr="001C52DA">
        <w:tc>
          <w:tcPr>
            <w:tcW w:w="4148" w:type="dxa"/>
            <w:tcBorders>
              <w:top w:val="single" w:sz="4" w:space="0" w:color="auto"/>
              <w:bottom w:val="single" w:sz="4" w:space="0" w:color="auto"/>
            </w:tcBorders>
            <w:shd w:val="clear" w:color="auto" w:fill="DBE5F1" w:themeFill="accent1" w:themeFillTint="33"/>
          </w:tcPr>
          <w:p w14:paraId="38811F43" w14:textId="77777777" w:rsidR="00042881" w:rsidRPr="006844C6" w:rsidRDefault="00042881" w:rsidP="00BE77E5">
            <w:pPr>
              <w:bidi w:val="0"/>
              <w:spacing w:line="360" w:lineRule="auto"/>
              <w:jc w:val="both"/>
              <w:rPr>
                <w:rFonts w:asciiTheme="majorBidi" w:hAnsiTheme="majorBidi" w:cstheme="majorBidi"/>
                <w:b/>
                <w:bCs/>
                <w:color w:val="333333"/>
                <w:sz w:val="24"/>
                <w:szCs w:val="24"/>
                <w:shd w:val="clear" w:color="auto" w:fill="FCFCFC"/>
              </w:rPr>
            </w:pPr>
            <w:r w:rsidRPr="006844C6">
              <w:rPr>
                <w:rFonts w:asciiTheme="majorBidi" w:hAnsiTheme="majorBidi" w:cstheme="majorBidi"/>
                <w:b/>
                <w:bCs/>
                <w:color w:val="333333"/>
                <w:sz w:val="24"/>
                <w:szCs w:val="24"/>
                <w:shd w:val="clear" w:color="auto" w:fill="FCFCFC"/>
              </w:rPr>
              <w:t>CAP finding</w:t>
            </w:r>
          </w:p>
        </w:tc>
        <w:tc>
          <w:tcPr>
            <w:tcW w:w="4148" w:type="dxa"/>
            <w:tcBorders>
              <w:top w:val="single" w:sz="4" w:space="0" w:color="auto"/>
              <w:bottom w:val="single" w:sz="4" w:space="0" w:color="auto"/>
            </w:tcBorders>
          </w:tcPr>
          <w:p w14:paraId="4C991C04" w14:textId="3F2D00B5"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Frequency (n=116)</w:t>
            </w:r>
          </w:p>
        </w:tc>
      </w:tr>
      <w:tr w:rsidR="00042881" w:rsidRPr="0093794A" w14:paraId="39437359" w14:textId="77777777" w:rsidTr="001C52DA">
        <w:tc>
          <w:tcPr>
            <w:tcW w:w="4148" w:type="dxa"/>
            <w:tcBorders>
              <w:top w:val="single" w:sz="4" w:space="0" w:color="auto"/>
            </w:tcBorders>
            <w:shd w:val="clear" w:color="auto" w:fill="DBE5F1" w:themeFill="accent1" w:themeFillTint="33"/>
          </w:tcPr>
          <w:p w14:paraId="7E57A447" w14:textId="77777777" w:rsidR="00042881" w:rsidRPr="006844C6" w:rsidRDefault="00042881" w:rsidP="00BE77E5">
            <w:pPr>
              <w:bidi w:val="0"/>
              <w:spacing w:line="360" w:lineRule="auto"/>
              <w:jc w:val="both"/>
              <w:rPr>
                <w:rFonts w:asciiTheme="majorBidi" w:hAnsiTheme="majorBidi" w:cstheme="majorBidi"/>
                <w:b/>
                <w:bCs/>
                <w:color w:val="333333"/>
                <w:sz w:val="24"/>
                <w:szCs w:val="24"/>
                <w:shd w:val="clear" w:color="auto" w:fill="FCFCFC"/>
              </w:rPr>
            </w:pPr>
            <w:r w:rsidRPr="006844C6">
              <w:rPr>
                <w:rFonts w:asciiTheme="majorBidi" w:hAnsiTheme="majorBidi" w:cstheme="majorBidi"/>
                <w:b/>
                <w:bCs/>
                <w:color w:val="333333"/>
                <w:sz w:val="24"/>
                <w:szCs w:val="24"/>
                <w:shd w:val="clear" w:color="auto" w:fill="FCFCFC"/>
              </w:rPr>
              <w:t>Grade 1 steatosis (S1)</w:t>
            </w:r>
          </w:p>
        </w:tc>
        <w:tc>
          <w:tcPr>
            <w:tcW w:w="4148" w:type="dxa"/>
            <w:tcBorders>
              <w:top w:val="single" w:sz="4" w:space="0" w:color="auto"/>
            </w:tcBorders>
          </w:tcPr>
          <w:p w14:paraId="0346414A" w14:textId="73C6137D"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56</w:t>
            </w:r>
          </w:p>
        </w:tc>
      </w:tr>
      <w:tr w:rsidR="00042881" w:rsidRPr="0093794A" w14:paraId="3136B923" w14:textId="77777777" w:rsidTr="001C52DA">
        <w:tc>
          <w:tcPr>
            <w:tcW w:w="4148" w:type="dxa"/>
            <w:shd w:val="clear" w:color="auto" w:fill="DBE5F1" w:themeFill="accent1" w:themeFillTint="33"/>
          </w:tcPr>
          <w:p w14:paraId="6BACF167" w14:textId="77777777" w:rsidR="00042881" w:rsidRPr="006844C6" w:rsidRDefault="00042881" w:rsidP="00BE77E5">
            <w:pPr>
              <w:bidi w:val="0"/>
              <w:spacing w:line="360" w:lineRule="auto"/>
              <w:jc w:val="both"/>
              <w:rPr>
                <w:rFonts w:asciiTheme="majorBidi" w:hAnsiTheme="majorBidi" w:cstheme="majorBidi"/>
                <w:b/>
                <w:bCs/>
                <w:color w:val="333333"/>
                <w:sz w:val="24"/>
                <w:szCs w:val="24"/>
                <w:shd w:val="clear" w:color="auto" w:fill="FCFCFC"/>
              </w:rPr>
            </w:pPr>
            <w:r w:rsidRPr="006844C6">
              <w:rPr>
                <w:rFonts w:asciiTheme="majorBidi" w:hAnsiTheme="majorBidi" w:cstheme="majorBidi"/>
                <w:b/>
                <w:bCs/>
                <w:color w:val="333333"/>
                <w:sz w:val="24"/>
                <w:szCs w:val="24"/>
                <w:shd w:val="clear" w:color="auto" w:fill="FCFCFC"/>
              </w:rPr>
              <w:t>Grade 2 steatosis (S2)</w:t>
            </w:r>
          </w:p>
        </w:tc>
        <w:tc>
          <w:tcPr>
            <w:tcW w:w="4148" w:type="dxa"/>
          </w:tcPr>
          <w:p w14:paraId="64B5E59E" w14:textId="5AAE6939"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28</w:t>
            </w:r>
          </w:p>
        </w:tc>
      </w:tr>
      <w:tr w:rsidR="00042881" w:rsidRPr="0093794A" w14:paraId="6A093F39" w14:textId="77777777" w:rsidTr="001C52DA">
        <w:tc>
          <w:tcPr>
            <w:tcW w:w="4148" w:type="dxa"/>
            <w:shd w:val="clear" w:color="auto" w:fill="DBE5F1" w:themeFill="accent1" w:themeFillTint="33"/>
          </w:tcPr>
          <w:p w14:paraId="1B694C48" w14:textId="77777777" w:rsidR="00042881" w:rsidRPr="006844C6" w:rsidRDefault="00042881" w:rsidP="00BE77E5">
            <w:pPr>
              <w:bidi w:val="0"/>
              <w:spacing w:line="360" w:lineRule="auto"/>
              <w:jc w:val="both"/>
              <w:rPr>
                <w:rFonts w:asciiTheme="majorBidi" w:hAnsiTheme="majorBidi" w:cstheme="majorBidi"/>
                <w:b/>
                <w:bCs/>
                <w:color w:val="333333"/>
                <w:sz w:val="24"/>
                <w:szCs w:val="24"/>
                <w:shd w:val="clear" w:color="auto" w:fill="FCFCFC"/>
              </w:rPr>
            </w:pPr>
            <w:r w:rsidRPr="006844C6">
              <w:rPr>
                <w:rFonts w:asciiTheme="majorBidi" w:hAnsiTheme="majorBidi" w:cstheme="majorBidi"/>
                <w:b/>
                <w:bCs/>
                <w:color w:val="333333"/>
                <w:sz w:val="24"/>
                <w:szCs w:val="24"/>
                <w:shd w:val="clear" w:color="auto" w:fill="FCFCFC"/>
              </w:rPr>
              <w:t>Grade 3 steatosis (S3)</w:t>
            </w:r>
          </w:p>
        </w:tc>
        <w:tc>
          <w:tcPr>
            <w:tcW w:w="4148" w:type="dxa"/>
          </w:tcPr>
          <w:p w14:paraId="31A03475" w14:textId="571822A6"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32</w:t>
            </w:r>
          </w:p>
        </w:tc>
      </w:tr>
      <w:tr w:rsidR="00042881" w:rsidRPr="0093794A" w14:paraId="08869836" w14:textId="77777777" w:rsidTr="001C52DA">
        <w:tc>
          <w:tcPr>
            <w:tcW w:w="4148" w:type="dxa"/>
            <w:tcBorders>
              <w:bottom w:val="single" w:sz="4" w:space="0" w:color="auto"/>
            </w:tcBorders>
            <w:shd w:val="clear" w:color="auto" w:fill="DBE5F1" w:themeFill="accent1" w:themeFillTint="33"/>
          </w:tcPr>
          <w:p w14:paraId="7FCB5BEC" w14:textId="77777777" w:rsidR="00042881" w:rsidRPr="006844C6" w:rsidRDefault="00042881" w:rsidP="00BE77E5">
            <w:pPr>
              <w:bidi w:val="0"/>
              <w:spacing w:line="360" w:lineRule="auto"/>
              <w:jc w:val="both"/>
              <w:rPr>
                <w:rFonts w:asciiTheme="majorBidi" w:hAnsiTheme="majorBidi" w:cstheme="majorBidi"/>
                <w:b/>
                <w:bCs/>
                <w:color w:val="333333"/>
                <w:sz w:val="24"/>
                <w:szCs w:val="24"/>
                <w:shd w:val="clear" w:color="auto" w:fill="FCFCFC"/>
              </w:rPr>
            </w:pPr>
            <w:r w:rsidRPr="006844C6">
              <w:rPr>
                <w:rFonts w:asciiTheme="majorBidi" w:hAnsiTheme="majorBidi" w:cstheme="majorBidi"/>
                <w:b/>
                <w:bCs/>
                <w:color w:val="333333"/>
                <w:sz w:val="24"/>
                <w:szCs w:val="24"/>
                <w:shd w:val="clear" w:color="auto" w:fill="FCFCFC"/>
              </w:rPr>
              <w:t>Total</w:t>
            </w:r>
          </w:p>
        </w:tc>
        <w:tc>
          <w:tcPr>
            <w:tcW w:w="4148" w:type="dxa"/>
            <w:tcBorders>
              <w:bottom w:val="single" w:sz="4" w:space="0" w:color="auto"/>
            </w:tcBorders>
          </w:tcPr>
          <w:p w14:paraId="3792745B" w14:textId="080B7C4E" w:rsidR="00042881" w:rsidRPr="006844C6" w:rsidRDefault="00042881" w:rsidP="00BE77E5">
            <w:pPr>
              <w:bidi w:val="0"/>
              <w:spacing w:line="360" w:lineRule="auto"/>
              <w:jc w:val="both"/>
              <w:rPr>
                <w:rFonts w:asciiTheme="majorBidi" w:eastAsia="Calibri" w:hAnsiTheme="majorBidi" w:cstheme="majorBidi"/>
                <w:b/>
                <w:bCs/>
                <w:sz w:val="24"/>
                <w:szCs w:val="24"/>
              </w:rPr>
            </w:pPr>
            <w:r w:rsidRPr="006844C6">
              <w:rPr>
                <w:rFonts w:asciiTheme="majorBidi" w:eastAsia="Calibri" w:hAnsiTheme="majorBidi" w:cstheme="majorBidi"/>
                <w:b/>
                <w:bCs/>
                <w:sz w:val="24"/>
                <w:szCs w:val="24"/>
              </w:rPr>
              <w:t>116</w:t>
            </w:r>
          </w:p>
        </w:tc>
      </w:tr>
    </w:tbl>
    <w:p w14:paraId="74A3CD4F" w14:textId="77777777" w:rsidR="00042881" w:rsidRDefault="00042881" w:rsidP="00042881">
      <w:pPr>
        <w:bidi w:val="0"/>
        <w:spacing w:after="16" w:line="360" w:lineRule="auto"/>
        <w:jc w:val="both"/>
        <w:rPr>
          <w:rFonts w:asciiTheme="majorBidi" w:eastAsia="Calibri" w:hAnsiTheme="majorBidi" w:cstheme="majorBidi"/>
          <w:sz w:val="24"/>
          <w:szCs w:val="24"/>
        </w:rPr>
      </w:pPr>
    </w:p>
    <w:p w14:paraId="5BAAF385" w14:textId="3C0824D3" w:rsidR="006765F2" w:rsidRPr="006765F2" w:rsidRDefault="00E70772" w:rsidP="006765F2">
      <w:pPr>
        <w:pStyle w:val="Caption"/>
        <w:keepNext/>
        <w:bidi w:val="0"/>
        <w:jc w:val="both"/>
        <w:rPr>
          <w:sz w:val="22"/>
          <w:szCs w:val="22"/>
        </w:rPr>
      </w:pPr>
      <w:r w:rsidRPr="006765F2">
        <w:rPr>
          <w:sz w:val="22"/>
          <w:szCs w:val="22"/>
        </w:rPr>
        <w:t xml:space="preserve">Table4: </w:t>
      </w:r>
      <w:r w:rsidRPr="006765F2">
        <w:rPr>
          <w:sz w:val="22"/>
          <w:szCs w:val="22"/>
          <w:rtl/>
        </w:rPr>
        <w:t xml:space="preserve"> </w:t>
      </w:r>
      <w:r w:rsidRPr="006765F2">
        <w:rPr>
          <w:sz w:val="22"/>
          <w:szCs w:val="22"/>
        </w:rPr>
        <w:t>laboratory findings of patients according to the stage of fibrosis</w:t>
      </w:r>
    </w:p>
    <w:p w14:paraId="19C41CED" w14:textId="69099671" w:rsidR="00E70772" w:rsidRDefault="00E70772" w:rsidP="00E05653">
      <w:pPr>
        <w:pStyle w:val="Caption"/>
        <w:keepNext/>
        <w:bidi w:val="0"/>
      </w:pPr>
    </w:p>
    <w:tbl>
      <w:tblPr>
        <w:tblStyle w:val="TableGrid"/>
        <w:tblpPr w:leftFromText="180" w:rightFromText="180" w:vertAnchor="text" w:horzAnchor="margin" w:tblpXSpec="center" w:tblpY="-323"/>
        <w:bidiVisual/>
        <w:tblW w:w="10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8"/>
        <w:gridCol w:w="34"/>
        <w:gridCol w:w="2204"/>
        <w:gridCol w:w="2411"/>
        <w:gridCol w:w="1770"/>
        <w:gridCol w:w="2519"/>
      </w:tblGrid>
      <w:tr w:rsidR="008D2695" w:rsidRPr="00E70772" w14:paraId="10A37803" w14:textId="77777777" w:rsidTr="002F694E">
        <w:trPr>
          <w:trHeight w:val="1340"/>
        </w:trPr>
        <w:tc>
          <w:tcPr>
            <w:tcW w:w="1352" w:type="dxa"/>
            <w:gridSpan w:val="2"/>
            <w:tcBorders>
              <w:top w:val="single" w:sz="4" w:space="0" w:color="auto"/>
              <w:bottom w:val="single" w:sz="4" w:space="0" w:color="auto"/>
            </w:tcBorders>
            <w:shd w:val="clear" w:color="auto" w:fill="DBE5F1" w:themeFill="accent1" w:themeFillTint="33"/>
          </w:tcPr>
          <w:p w14:paraId="4F2E43EB"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P- value</w:t>
            </w:r>
          </w:p>
        </w:tc>
        <w:tc>
          <w:tcPr>
            <w:tcW w:w="2204" w:type="dxa"/>
            <w:tcBorders>
              <w:top w:val="single" w:sz="4" w:space="0" w:color="auto"/>
              <w:bottom w:val="single" w:sz="4" w:space="0" w:color="auto"/>
            </w:tcBorders>
            <w:shd w:val="clear" w:color="auto" w:fill="DBE5F1" w:themeFill="accent1" w:themeFillTint="33"/>
          </w:tcPr>
          <w:p w14:paraId="3CF068C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GroupII, advanced Fibrosis (AF)</w:t>
            </w:r>
          </w:p>
          <w:p w14:paraId="6DF1B040"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(n=20)</w:t>
            </w:r>
          </w:p>
        </w:tc>
        <w:tc>
          <w:tcPr>
            <w:tcW w:w="2411" w:type="dxa"/>
            <w:tcBorders>
              <w:top w:val="single" w:sz="4" w:space="0" w:color="auto"/>
              <w:bottom w:val="single" w:sz="4" w:space="0" w:color="auto"/>
            </w:tcBorders>
            <w:shd w:val="clear" w:color="auto" w:fill="DBE5F1" w:themeFill="accent1" w:themeFillTint="33"/>
          </w:tcPr>
          <w:p w14:paraId="6C038C65"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Group I, Mild/ Moderate Fibrosis (MF) (n=96)</w:t>
            </w:r>
          </w:p>
        </w:tc>
        <w:tc>
          <w:tcPr>
            <w:tcW w:w="1770" w:type="dxa"/>
            <w:tcBorders>
              <w:top w:val="single" w:sz="4" w:space="0" w:color="auto"/>
              <w:bottom w:val="single" w:sz="4" w:space="0" w:color="auto"/>
            </w:tcBorders>
            <w:shd w:val="clear" w:color="auto" w:fill="DBE5F1" w:themeFill="accent1" w:themeFillTint="33"/>
          </w:tcPr>
          <w:p w14:paraId="5F2DF65A"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 xml:space="preserve">Overall </w:t>
            </w:r>
          </w:p>
        </w:tc>
        <w:tc>
          <w:tcPr>
            <w:tcW w:w="2519" w:type="dxa"/>
            <w:tcBorders>
              <w:top w:val="single" w:sz="4" w:space="0" w:color="auto"/>
              <w:bottom w:val="single" w:sz="4" w:space="0" w:color="auto"/>
            </w:tcBorders>
            <w:shd w:val="clear" w:color="auto" w:fill="DBE5F1" w:themeFill="accent1" w:themeFillTint="33"/>
          </w:tcPr>
          <w:p w14:paraId="0150B7A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 xml:space="preserve">Character </w:t>
            </w:r>
          </w:p>
        </w:tc>
      </w:tr>
      <w:tr w:rsidR="001C52DA" w:rsidRPr="00E70772" w14:paraId="1B257D54" w14:textId="77777777" w:rsidTr="008D2695">
        <w:tc>
          <w:tcPr>
            <w:tcW w:w="1318" w:type="dxa"/>
            <w:tcBorders>
              <w:top w:val="single" w:sz="4" w:space="0" w:color="auto"/>
            </w:tcBorders>
          </w:tcPr>
          <w:p w14:paraId="6A3FD0D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0.005*</w:t>
            </w:r>
          </w:p>
        </w:tc>
        <w:tc>
          <w:tcPr>
            <w:tcW w:w="2238" w:type="dxa"/>
            <w:gridSpan w:val="2"/>
            <w:tcBorders>
              <w:top w:val="single" w:sz="4" w:space="0" w:color="auto"/>
            </w:tcBorders>
          </w:tcPr>
          <w:p w14:paraId="2D3BFE4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32 (32- 33.14)</w:t>
            </w:r>
          </w:p>
        </w:tc>
        <w:tc>
          <w:tcPr>
            <w:tcW w:w="2411" w:type="dxa"/>
            <w:tcBorders>
              <w:top w:val="single" w:sz="4" w:space="0" w:color="auto"/>
            </w:tcBorders>
          </w:tcPr>
          <w:p w14:paraId="7197632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 xml:space="preserve">41.5 (33- 53) </w:t>
            </w:r>
          </w:p>
        </w:tc>
        <w:tc>
          <w:tcPr>
            <w:tcW w:w="1770" w:type="dxa"/>
            <w:tcBorders>
              <w:top w:val="single" w:sz="4" w:space="0" w:color="auto"/>
            </w:tcBorders>
          </w:tcPr>
          <w:p w14:paraId="57C3BC30"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39.0(32-50)</w:t>
            </w:r>
          </w:p>
        </w:tc>
        <w:tc>
          <w:tcPr>
            <w:tcW w:w="2519" w:type="dxa"/>
            <w:tcBorders>
              <w:top w:val="single" w:sz="4" w:space="0" w:color="auto"/>
            </w:tcBorders>
            <w:shd w:val="clear" w:color="auto" w:fill="DBE5F1" w:themeFill="accent1" w:themeFillTint="33"/>
          </w:tcPr>
          <w:p w14:paraId="0B17625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ALT</w:t>
            </w:r>
            <w:r w:rsidRPr="00E70772">
              <w:rPr>
                <w:rFonts w:ascii="Times New Roman" w:eastAsia="Calibri" w:hAnsi="Times New Roman" w:cs="Times New Roman"/>
                <w:sz w:val="20"/>
                <w:szCs w:val="20"/>
              </w:rPr>
              <w:t>(IU/L)</w:t>
            </w:r>
          </w:p>
        </w:tc>
      </w:tr>
      <w:tr w:rsidR="001C52DA" w:rsidRPr="00E70772" w14:paraId="4C9FA1E4" w14:textId="77777777" w:rsidTr="008D2695">
        <w:tc>
          <w:tcPr>
            <w:tcW w:w="1318" w:type="dxa"/>
          </w:tcPr>
          <w:p w14:paraId="0845B671"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0.16</w:t>
            </w:r>
          </w:p>
        </w:tc>
        <w:tc>
          <w:tcPr>
            <w:tcW w:w="2238" w:type="dxa"/>
            <w:gridSpan w:val="2"/>
          </w:tcPr>
          <w:p w14:paraId="7574C5FE"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36 (33- 37)</w:t>
            </w:r>
          </w:p>
        </w:tc>
        <w:tc>
          <w:tcPr>
            <w:tcW w:w="2411" w:type="dxa"/>
          </w:tcPr>
          <w:p w14:paraId="1BDCA34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39.5 (32.5- 63.75)</w:t>
            </w:r>
          </w:p>
        </w:tc>
        <w:tc>
          <w:tcPr>
            <w:tcW w:w="1770" w:type="dxa"/>
          </w:tcPr>
          <w:p w14:paraId="7A7093F6"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37.0 (33- 60)</w:t>
            </w:r>
          </w:p>
        </w:tc>
        <w:tc>
          <w:tcPr>
            <w:tcW w:w="2519" w:type="dxa"/>
            <w:shd w:val="clear" w:color="auto" w:fill="DBE5F1" w:themeFill="accent1" w:themeFillTint="33"/>
          </w:tcPr>
          <w:p w14:paraId="4BE934E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AST</w:t>
            </w:r>
            <w:r w:rsidRPr="00E70772">
              <w:rPr>
                <w:rFonts w:ascii="Times New Roman" w:eastAsia="Calibri" w:hAnsi="Times New Roman" w:cs="Times New Roman"/>
                <w:sz w:val="20"/>
                <w:szCs w:val="20"/>
              </w:rPr>
              <w:t>(IU/L)</w:t>
            </w:r>
          </w:p>
        </w:tc>
      </w:tr>
      <w:tr w:rsidR="001C52DA" w:rsidRPr="00E70772" w14:paraId="69992EC3" w14:textId="77777777" w:rsidTr="008D2695">
        <w:tc>
          <w:tcPr>
            <w:tcW w:w="1318" w:type="dxa"/>
          </w:tcPr>
          <w:p w14:paraId="23127A1A"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0.153</w:t>
            </w:r>
          </w:p>
        </w:tc>
        <w:tc>
          <w:tcPr>
            <w:tcW w:w="2238" w:type="dxa"/>
            <w:gridSpan w:val="2"/>
          </w:tcPr>
          <w:p w14:paraId="16E2FBD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4.2 ± 0.33</w:t>
            </w:r>
          </w:p>
        </w:tc>
        <w:tc>
          <w:tcPr>
            <w:tcW w:w="2411" w:type="dxa"/>
          </w:tcPr>
          <w:p w14:paraId="1CE4D42E"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3.89 ± 0.95</w:t>
            </w:r>
          </w:p>
        </w:tc>
        <w:tc>
          <w:tcPr>
            <w:tcW w:w="1770" w:type="dxa"/>
          </w:tcPr>
          <w:p w14:paraId="11ACB77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3.95 ± 0.88</w:t>
            </w:r>
          </w:p>
        </w:tc>
        <w:tc>
          <w:tcPr>
            <w:tcW w:w="2519" w:type="dxa"/>
            <w:shd w:val="clear" w:color="auto" w:fill="DBE5F1" w:themeFill="accent1" w:themeFillTint="33"/>
          </w:tcPr>
          <w:p w14:paraId="2A07000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Albumin</w:t>
            </w:r>
            <w:r w:rsidRPr="00E70772">
              <w:rPr>
                <w:rFonts w:ascii="Times New Roman" w:eastAsia="Calibri" w:hAnsi="Times New Roman" w:cs="Times New Roman"/>
                <w:sz w:val="20"/>
                <w:szCs w:val="20"/>
              </w:rPr>
              <w:t>(gm/dl)</w:t>
            </w:r>
          </w:p>
        </w:tc>
      </w:tr>
      <w:tr w:rsidR="001C52DA" w:rsidRPr="00E70772" w14:paraId="70283D05" w14:textId="77777777" w:rsidTr="008D2695">
        <w:tc>
          <w:tcPr>
            <w:tcW w:w="1318" w:type="dxa"/>
          </w:tcPr>
          <w:p w14:paraId="34A3D258"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0.001*</w:t>
            </w:r>
          </w:p>
        </w:tc>
        <w:tc>
          <w:tcPr>
            <w:tcW w:w="2238" w:type="dxa"/>
            <w:gridSpan w:val="2"/>
          </w:tcPr>
          <w:p w14:paraId="0BC95C34"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11.25 ± 1.02</w:t>
            </w:r>
          </w:p>
        </w:tc>
        <w:tc>
          <w:tcPr>
            <w:tcW w:w="2411" w:type="dxa"/>
          </w:tcPr>
          <w:p w14:paraId="46E2EF63"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12.56 ± 1.24</w:t>
            </w:r>
          </w:p>
        </w:tc>
        <w:tc>
          <w:tcPr>
            <w:tcW w:w="1770" w:type="dxa"/>
          </w:tcPr>
          <w:p w14:paraId="0B06812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12.34 ± 1.29</w:t>
            </w:r>
          </w:p>
        </w:tc>
        <w:tc>
          <w:tcPr>
            <w:tcW w:w="2519" w:type="dxa"/>
            <w:shd w:val="clear" w:color="auto" w:fill="DBE5F1" w:themeFill="accent1" w:themeFillTint="33"/>
          </w:tcPr>
          <w:p w14:paraId="1395AD5B"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Hemoglobin</w:t>
            </w:r>
            <w:r w:rsidRPr="00E70772">
              <w:rPr>
                <w:rFonts w:ascii="Times New Roman" w:eastAsia="Calibri" w:hAnsi="Times New Roman" w:cs="Times New Roman"/>
                <w:sz w:val="20"/>
                <w:szCs w:val="20"/>
              </w:rPr>
              <w:t>(gm/dl)</w:t>
            </w:r>
          </w:p>
        </w:tc>
      </w:tr>
      <w:tr w:rsidR="001C52DA" w:rsidRPr="00E70772" w14:paraId="3C64C72A" w14:textId="77777777" w:rsidTr="008D2695">
        <w:tc>
          <w:tcPr>
            <w:tcW w:w="1318" w:type="dxa"/>
          </w:tcPr>
          <w:p w14:paraId="52B9D52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0.214</w:t>
            </w:r>
          </w:p>
        </w:tc>
        <w:tc>
          <w:tcPr>
            <w:tcW w:w="2238" w:type="dxa"/>
            <w:gridSpan w:val="2"/>
          </w:tcPr>
          <w:p w14:paraId="3E3378E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7.65 ± 2.51</w:t>
            </w:r>
          </w:p>
        </w:tc>
        <w:tc>
          <w:tcPr>
            <w:tcW w:w="2411" w:type="dxa"/>
          </w:tcPr>
          <w:p w14:paraId="57B25584"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7.03 ± 1.93</w:t>
            </w:r>
          </w:p>
        </w:tc>
        <w:tc>
          <w:tcPr>
            <w:tcW w:w="1770" w:type="dxa"/>
          </w:tcPr>
          <w:p w14:paraId="6F877EBE"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7.13 ± 2.04</w:t>
            </w:r>
          </w:p>
        </w:tc>
        <w:tc>
          <w:tcPr>
            <w:tcW w:w="2519" w:type="dxa"/>
            <w:shd w:val="clear" w:color="auto" w:fill="DBE5F1" w:themeFill="accent1" w:themeFillTint="33"/>
          </w:tcPr>
          <w:p w14:paraId="3C163E67" w14:textId="37A79C2E" w:rsidR="001C52DA" w:rsidRPr="00E70772" w:rsidRDefault="006765F2"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WBC</w:t>
            </w:r>
            <w:r w:rsidRPr="00E70772">
              <w:rPr>
                <w:rFonts w:ascii="Times New Roman" w:eastAsia="Calibri" w:hAnsi="Times New Roman" w:cs="Times New Roman"/>
                <w:sz w:val="20"/>
                <w:szCs w:val="20"/>
              </w:rPr>
              <w:t xml:space="preserve"> (</w:t>
            </w:r>
            <w:r w:rsidR="001C52DA" w:rsidRPr="00E70772">
              <w:rPr>
                <w:rFonts w:ascii="Times New Roman" w:eastAsia="Calibri" w:hAnsi="Times New Roman" w:cs="Times New Roman"/>
                <w:sz w:val="20"/>
                <w:szCs w:val="20"/>
              </w:rPr>
              <w:t>×10</w:t>
            </w:r>
            <w:r w:rsidR="001C52DA" w:rsidRPr="00E70772">
              <w:rPr>
                <w:rFonts w:ascii="Times New Roman" w:eastAsia="Calibri" w:hAnsi="Times New Roman" w:cs="Times New Roman"/>
                <w:sz w:val="20"/>
                <w:szCs w:val="20"/>
                <w:vertAlign w:val="superscript"/>
              </w:rPr>
              <w:t>3</w:t>
            </w:r>
            <w:r w:rsidR="001C52DA" w:rsidRPr="00E70772">
              <w:rPr>
                <w:rFonts w:ascii="Times New Roman" w:eastAsia="Calibri" w:hAnsi="Times New Roman" w:cs="Times New Roman"/>
                <w:sz w:val="20"/>
                <w:szCs w:val="20"/>
              </w:rPr>
              <w:t>)</w:t>
            </w:r>
          </w:p>
        </w:tc>
      </w:tr>
      <w:tr w:rsidR="001C52DA" w:rsidRPr="00E70772" w14:paraId="71D3C34F" w14:textId="77777777" w:rsidTr="008D2695">
        <w:tc>
          <w:tcPr>
            <w:tcW w:w="1318" w:type="dxa"/>
          </w:tcPr>
          <w:p w14:paraId="0139769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0.001*</w:t>
            </w:r>
          </w:p>
        </w:tc>
        <w:tc>
          <w:tcPr>
            <w:tcW w:w="2238" w:type="dxa"/>
            <w:gridSpan w:val="2"/>
          </w:tcPr>
          <w:p w14:paraId="14885581"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1.02± 0.22</w:t>
            </w:r>
          </w:p>
        </w:tc>
        <w:tc>
          <w:tcPr>
            <w:tcW w:w="2411" w:type="dxa"/>
          </w:tcPr>
          <w:p w14:paraId="4D4501FE"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0.82 ±0.21</w:t>
            </w:r>
          </w:p>
        </w:tc>
        <w:tc>
          <w:tcPr>
            <w:tcW w:w="1770" w:type="dxa"/>
          </w:tcPr>
          <w:p w14:paraId="6B6A413A"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0.85 ± 0.23</w:t>
            </w:r>
          </w:p>
        </w:tc>
        <w:tc>
          <w:tcPr>
            <w:tcW w:w="2519" w:type="dxa"/>
            <w:shd w:val="clear" w:color="auto" w:fill="DBE5F1" w:themeFill="accent1" w:themeFillTint="33"/>
          </w:tcPr>
          <w:p w14:paraId="66554F65"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 xml:space="preserve">Bilirubin </w:t>
            </w:r>
            <w:r w:rsidRPr="00E70772">
              <w:rPr>
                <w:rFonts w:ascii="Times New Roman" w:eastAsia="Calibri" w:hAnsi="Times New Roman" w:cs="Times New Roman"/>
                <w:sz w:val="20"/>
                <w:szCs w:val="20"/>
              </w:rPr>
              <w:t>(mg/dl)</w:t>
            </w:r>
          </w:p>
        </w:tc>
      </w:tr>
      <w:tr w:rsidR="001C52DA" w:rsidRPr="00E70772" w14:paraId="546D840A" w14:textId="77777777" w:rsidTr="008D2695">
        <w:tc>
          <w:tcPr>
            <w:tcW w:w="1318" w:type="dxa"/>
          </w:tcPr>
          <w:p w14:paraId="63F8A3E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0.199</w:t>
            </w:r>
          </w:p>
        </w:tc>
        <w:tc>
          <w:tcPr>
            <w:tcW w:w="2238" w:type="dxa"/>
            <w:gridSpan w:val="2"/>
          </w:tcPr>
          <w:p w14:paraId="54B5F9F0"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193.70 ± 55.84</w:t>
            </w:r>
          </w:p>
        </w:tc>
        <w:tc>
          <w:tcPr>
            <w:tcW w:w="2411" w:type="dxa"/>
          </w:tcPr>
          <w:p w14:paraId="64425E8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207.28 ± 39.64</w:t>
            </w:r>
          </w:p>
        </w:tc>
        <w:tc>
          <w:tcPr>
            <w:tcW w:w="1770" w:type="dxa"/>
          </w:tcPr>
          <w:p w14:paraId="613141E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204.94±42.89</w:t>
            </w:r>
          </w:p>
        </w:tc>
        <w:tc>
          <w:tcPr>
            <w:tcW w:w="2519" w:type="dxa"/>
            <w:shd w:val="clear" w:color="auto" w:fill="DBE5F1" w:themeFill="accent1" w:themeFillTint="33"/>
          </w:tcPr>
          <w:p w14:paraId="39BAF59E" w14:textId="3F55372F"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 xml:space="preserve">Alkaline </w:t>
            </w:r>
            <w:r w:rsidR="006844C6" w:rsidRPr="00E70772">
              <w:rPr>
                <w:rFonts w:asciiTheme="majorBidi" w:eastAsia="Calibri" w:hAnsiTheme="majorBidi" w:cstheme="majorBidi"/>
                <w:b/>
                <w:bCs/>
                <w:sz w:val="20"/>
                <w:szCs w:val="20"/>
              </w:rPr>
              <w:t>phosphatase</w:t>
            </w:r>
            <w:r w:rsidRPr="00E70772">
              <w:rPr>
                <w:rFonts w:asciiTheme="majorBidi" w:eastAsia="Calibri" w:hAnsiTheme="majorBidi" w:cstheme="majorBidi"/>
                <w:b/>
                <w:bCs/>
                <w:sz w:val="20"/>
                <w:szCs w:val="20"/>
              </w:rPr>
              <w:t xml:space="preserve"> </w:t>
            </w:r>
            <w:r w:rsidRPr="00E70772">
              <w:rPr>
                <w:rFonts w:ascii="Times New Roman" w:eastAsia="Calibri" w:hAnsi="Times New Roman" w:cs="Times New Roman"/>
                <w:sz w:val="20"/>
                <w:szCs w:val="20"/>
              </w:rPr>
              <w:t>(U/L)</w:t>
            </w:r>
          </w:p>
        </w:tc>
      </w:tr>
      <w:tr w:rsidR="001C52DA" w:rsidRPr="00E70772" w14:paraId="6060BD6C" w14:textId="77777777" w:rsidTr="008D2695">
        <w:tc>
          <w:tcPr>
            <w:tcW w:w="1318" w:type="dxa"/>
          </w:tcPr>
          <w:p w14:paraId="086F6514"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0.745</w:t>
            </w:r>
          </w:p>
        </w:tc>
        <w:tc>
          <w:tcPr>
            <w:tcW w:w="2238" w:type="dxa"/>
            <w:gridSpan w:val="2"/>
          </w:tcPr>
          <w:p w14:paraId="348563E4"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273.3 ± 88.34</w:t>
            </w:r>
          </w:p>
        </w:tc>
        <w:tc>
          <w:tcPr>
            <w:tcW w:w="2411" w:type="dxa"/>
          </w:tcPr>
          <w:p w14:paraId="7C56016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268.06 ± 59.60</w:t>
            </w:r>
          </w:p>
        </w:tc>
        <w:tc>
          <w:tcPr>
            <w:tcW w:w="1770" w:type="dxa"/>
          </w:tcPr>
          <w:p w14:paraId="0A81F6D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268.97±65.02</w:t>
            </w:r>
          </w:p>
        </w:tc>
        <w:tc>
          <w:tcPr>
            <w:tcW w:w="2519" w:type="dxa"/>
            <w:shd w:val="clear" w:color="auto" w:fill="DBE5F1" w:themeFill="accent1" w:themeFillTint="33"/>
          </w:tcPr>
          <w:p w14:paraId="36E73ECB"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Platelet count</w:t>
            </w:r>
            <w:r w:rsidRPr="00E70772">
              <w:rPr>
                <w:rFonts w:ascii="Times New Roman" w:eastAsia="Calibri" w:hAnsi="Times New Roman" w:cs="Times New Roman"/>
                <w:sz w:val="20"/>
                <w:szCs w:val="20"/>
              </w:rPr>
              <w:t>(×10³)</w:t>
            </w:r>
          </w:p>
        </w:tc>
      </w:tr>
      <w:tr w:rsidR="001C52DA" w:rsidRPr="00E70772" w14:paraId="294CECB4" w14:textId="77777777" w:rsidTr="008D2695">
        <w:tc>
          <w:tcPr>
            <w:tcW w:w="1318" w:type="dxa"/>
          </w:tcPr>
          <w:p w14:paraId="7A4FC39A"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0.002*</w:t>
            </w:r>
          </w:p>
        </w:tc>
        <w:tc>
          <w:tcPr>
            <w:tcW w:w="2238" w:type="dxa"/>
            <w:gridSpan w:val="2"/>
          </w:tcPr>
          <w:p w14:paraId="610FF64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0.90 ± 0.05</w:t>
            </w:r>
          </w:p>
        </w:tc>
        <w:tc>
          <w:tcPr>
            <w:tcW w:w="2411" w:type="dxa"/>
          </w:tcPr>
          <w:p w14:paraId="3C692F35"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0.86 ± 0.05</w:t>
            </w:r>
          </w:p>
        </w:tc>
        <w:tc>
          <w:tcPr>
            <w:tcW w:w="1770" w:type="dxa"/>
          </w:tcPr>
          <w:p w14:paraId="2A44DD6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0.87 ± 0.06</w:t>
            </w:r>
          </w:p>
        </w:tc>
        <w:tc>
          <w:tcPr>
            <w:tcW w:w="2519" w:type="dxa"/>
            <w:shd w:val="clear" w:color="auto" w:fill="DBE5F1" w:themeFill="accent1" w:themeFillTint="33"/>
          </w:tcPr>
          <w:p w14:paraId="2EEF318E" w14:textId="3E702615" w:rsidR="001C52DA" w:rsidRPr="00E70772" w:rsidRDefault="006765F2"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WHR (</w:t>
            </w:r>
            <w:r w:rsidR="001C52DA" w:rsidRPr="00E70772">
              <w:rPr>
                <w:rFonts w:ascii="Times New Roman" w:eastAsia="Calibri" w:hAnsi="Times New Roman" w:cs="Times New Roman"/>
                <w:sz w:val="20"/>
                <w:szCs w:val="20"/>
              </w:rPr>
              <w:t>waist/hip</w:t>
            </w:r>
            <w:r w:rsidR="001C52DA" w:rsidRPr="00E70772">
              <w:rPr>
                <w:rFonts w:asciiTheme="majorBidi" w:eastAsia="Calibri" w:hAnsiTheme="majorBidi" w:cstheme="majorBidi"/>
                <w:b/>
                <w:bCs/>
                <w:sz w:val="20"/>
                <w:szCs w:val="20"/>
              </w:rPr>
              <w:t xml:space="preserve"> ratio)</w:t>
            </w:r>
          </w:p>
        </w:tc>
      </w:tr>
      <w:tr w:rsidR="001C52DA" w:rsidRPr="00E70772" w14:paraId="61D29D69" w14:textId="77777777" w:rsidTr="008D2695">
        <w:tc>
          <w:tcPr>
            <w:tcW w:w="1318" w:type="dxa"/>
          </w:tcPr>
          <w:p w14:paraId="0721803F"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0.001*</w:t>
            </w:r>
          </w:p>
        </w:tc>
        <w:tc>
          <w:tcPr>
            <w:tcW w:w="2238" w:type="dxa"/>
            <w:gridSpan w:val="2"/>
          </w:tcPr>
          <w:p w14:paraId="2B41B5F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41.73 ± 8.79</w:t>
            </w:r>
          </w:p>
        </w:tc>
        <w:tc>
          <w:tcPr>
            <w:tcW w:w="2411" w:type="dxa"/>
          </w:tcPr>
          <w:p w14:paraId="12EED712"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34.744 ± 8.47</w:t>
            </w:r>
          </w:p>
        </w:tc>
        <w:tc>
          <w:tcPr>
            <w:tcW w:w="1770" w:type="dxa"/>
          </w:tcPr>
          <w:p w14:paraId="6FBD7732"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35.95 ± 8.89</w:t>
            </w:r>
          </w:p>
        </w:tc>
        <w:tc>
          <w:tcPr>
            <w:tcW w:w="2519" w:type="dxa"/>
            <w:shd w:val="clear" w:color="auto" w:fill="DBE5F1" w:themeFill="accent1" w:themeFillTint="33"/>
          </w:tcPr>
          <w:p w14:paraId="5292B911"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imes New Roman" w:eastAsia="Calibri" w:hAnsi="Times New Roman" w:cs="Times New Roman"/>
                <w:b/>
                <w:bCs/>
                <w:sz w:val="20"/>
                <w:szCs w:val="20"/>
              </w:rPr>
              <w:t>BMI</w:t>
            </w:r>
            <w:r w:rsidRPr="00E70772">
              <w:rPr>
                <w:rFonts w:ascii="Times New Roman" w:eastAsia="Calibri" w:hAnsi="Times New Roman" w:cs="Times New Roman"/>
                <w:sz w:val="20"/>
                <w:szCs w:val="20"/>
              </w:rPr>
              <w:t xml:space="preserve"> (kg/ m²)</w:t>
            </w:r>
          </w:p>
        </w:tc>
      </w:tr>
      <w:tr w:rsidR="001C52DA" w:rsidRPr="00E70772" w14:paraId="73037093" w14:textId="77777777" w:rsidTr="008D2695">
        <w:tc>
          <w:tcPr>
            <w:tcW w:w="1318" w:type="dxa"/>
          </w:tcPr>
          <w:p w14:paraId="67EDB5F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0.001*</w:t>
            </w:r>
          </w:p>
        </w:tc>
        <w:tc>
          <w:tcPr>
            <w:tcW w:w="2238" w:type="dxa"/>
            <w:gridSpan w:val="2"/>
          </w:tcPr>
          <w:p w14:paraId="256B7385"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113.50 ± 30.93</w:t>
            </w:r>
          </w:p>
        </w:tc>
        <w:tc>
          <w:tcPr>
            <w:tcW w:w="2411" w:type="dxa"/>
          </w:tcPr>
          <w:p w14:paraId="263B692B"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172.79 ± 57.27</w:t>
            </w:r>
          </w:p>
        </w:tc>
        <w:tc>
          <w:tcPr>
            <w:tcW w:w="1770" w:type="dxa"/>
          </w:tcPr>
          <w:p w14:paraId="503E64C5"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162.56± 8.08</w:t>
            </w:r>
          </w:p>
        </w:tc>
        <w:tc>
          <w:tcPr>
            <w:tcW w:w="2519" w:type="dxa"/>
            <w:shd w:val="clear" w:color="auto" w:fill="DBE5F1" w:themeFill="accent1" w:themeFillTint="33"/>
          </w:tcPr>
          <w:p w14:paraId="04ACC4B8" w14:textId="77777777" w:rsidR="001C52DA" w:rsidRPr="00E70772" w:rsidRDefault="001C52DA" w:rsidP="001C52DA">
            <w:pPr>
              <w:bidi w:val="0"/>
              <w:spacing w:after="200" w:line="360" w:lineRule="auto"/>
              <w:jc w:val="both"/>
              <w:rPr>
                <w:rFonts w:ascii="Times New Roman" w:eastAsia="Calibri" w:hAnsi="Times New Roman" w:cs="Times New Roman"/>
                <w:sz w:val="20"/>
                <w:szCs w:val="20"/>
              </w:rPr>
            </w:pPr>
            <w:r w:rsidRPr="00E70772">
              <w:rPr>
                <w:rFonts w:ascii="Times New Roman" w:eastAsia="Calibri" w:hAnsi="Times New Roman" w:cs="Times New Roman"/>
                <w:b/>
                <w:bCs/>
                <w:sz w:val="20"/>
                <w:szCs w:val="20"/>
              </w:rPr>
              <w:t>LDL</w:t>
            </w:r>
            <w:r w:rsidRPr="00E70772">
              <w:rPr>
                <w:rFonts w:ascii="Times New Roman" w:eastAsia="Calibri" w:hAnsi="Times New Roman" w:cs="Times New Roman"/>
                <w:sz w:val="20"/>
                <w:szCs w:val="20"/>
              </w:rPr>
              <w:t xml:space="preserve"> (mg/dL)</w:t>
            </w:r>
          </w:p>
        </w:tc>
      </w:tr>
      <w:tr w:rsidR="001C52DA" w:rsidRPr="00E70772" w14:paraId="1E9D062D" w14:textId="77777777" w:rsidTr="008D2695">
        <w:tc>
          <w:tcPr>
            <w:tcW w:w="1318" w:type="dxa"/>
          </w:tcPr>
          <w:p w14:paraId="6602BE45"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0.437</w:t>
            </w:r>
          </w:p>
        </w:tc>
        <w:tc>
          <w:tcPr>
            <w:tcW w:w="2238" w:type="dxa"/>
            <w:gridSpan w:val="2"/>
          </w:tcPr>
          <w:p w14:paraId="124A5B7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38.34 ± 9.79</w:t>
            </w:r>
          </w:p>
        </w:tc>
        <w:tc>
          <w:tcPr>
            <w:tcW w:w="2411" w:type="dxa"/>
          </w:tcPr>
          <w:p w14:paraId="49A3F4D8"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36.27 ± 10.93</w:t>
            </w:r>
          </w:p>
        </w:tc>
        <w:tc>
          <w:tcPr>
            <w:tcW w:w="1770" w:type="dxa"/>
          </w:tcPr>
          <w:p w14:paraId="31F4CBAD"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36.63 ± 10.74</w:t>
            </w:r>
          </w:p>
        </w:tc>
        <w:tc>
          <w:tcPr>
            <w:tcW w:w="2519" w:type="dxa"/>
            <w:shd w:val="clear" w:color="auto" w:fill="DBE5F1" w:themeFill="accent1" w:themeFillTint="33"/>
          </w:tcPr>
          <w:p w14:paraId="17367116" w14:textId="77777777" w:rsidR="001C52DA" w:rsidRPr="00E70772" w:rsidRDefault="001C52DA" w:rsidP="001C52DA">
            <w:pPr>
              <w:bidi w:val="0"/>
              <w:spacing w:after="200" w:line="360" w:lineRule="auto"/>
              <w:jc w:val="both"/>
              <w:rPr>
                <w:rFonts w:ascii="Times New Roman" w:eastAsia="Calibri" w:hAnsi="Times New Roman" w:cs="Times New Roman"/>
                <w:sz w:val="20"/>
                <w:szCs w:val="20"/>
              </w:rPr>
            </w:pPr>
            <w:r w:rsidRPr="00E70772">
              <w:rPr>
                <w:rFonts w:ascii="Times New Roman" w:eastAsia="Calibri" w:hAnsi="Times New Roman" w:cs="Times New Roman"/>
                <w:b/>
                <w:bCs/>
                <w:sz w:val="20"/>
                <w:szCs w:val="20"/>
              </w:rPr>
              <w:t>HDL</w:t>
            </w:r>
            <w:r w:rsidRPr="00E70772">
              <w:rPr>
                <w:rFonts w:ascii="Times New Roman" w:eastAsia="Calibri" w:hAnsi="Times New Roman" w:cs="Times New Roman"/>
                <w:sz w:val="20"/>
                <w:szCs w:val="20"/>
              </w:rPr>
              <w:t xml:space="preserve"> (mg/dL)</w:t>
            </w:r>
          </w:p>
        </w:tc>
      </w:tr>
      <w:tr w:rsidR="001C52DA" w:rsidRPr="00E70772" w14:paraId="7AD692DB" w14:textId="77777777" w:rsidTr="008D2695">
        <w:tc>
          <w:tcPr>
            <w:tcW w:w="1318" w:type="dxa"/>
          </w:tcPr>
          <w:p w14:paraId="0902B422"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0.001*</w:t>
            </w:r>
          </w:p>
        </w:tc>
        <w:tc>
          <w:tcPr>
            <w:tcW w:w="2238" w:type="dxa"/>
            <w:gridSpan w:val="2"/>
          </w:tcPr>
          <w:p w14:paraId="47C5304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39.34 ± 15.46</w:t>
            </w:r>
          </w:p>
        </w:tc>
        <w:tc>
          <w:tcPr>
            <w:tcW w:w="2411" w:type="dxa"/>
          </w:tcPr>
          <w:p w14:paraId="72D9E8E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26.30 ±13.81</w:t>
            </w:r>
          </w:p>
        </w:tc>
        <w:tc>
          <w:tcPr>
            <w:tcW w:w="1770" w:type="dxa"/>
          </w:tcPr>
          <w:p w14:paraId="2CC919A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29.37 ± 14.76</w:t>
            </w:r>
          </w:p>
        </w:tc>
        <w:tc>
          <w:tcPr>
            <w:tcW w:w="2519" w:type="dxa"/>
            <w:shd w:val="clear" w:color="auto" w:fill="DBE5F1" w:themeFill="accent1" w:themeFillTint="33"/>
          </w:tcPr>
          <w:p w14:paraId="39EAAC08" w14:textId="77777777" w:rsidR="001C52DA" w:rsidRPr="00E70772" w:rsidRDefault="001C52DA" w:rsidP="001C52DA">
            <w:pPr>
              <w:bidi w:val="0"/>
              <w:spacing w:after="200" w:line="360" w:lineRule="auto"/>
              <w:jc w:val="both"/>
              <w:rPr>
                <w:rFonts w:ascii="Times New Roman" w:eastAsia="Calibri" w:hAnsi="Times New Roman" w:cs="Times New Roman"/>
                <w:sz w:val="20"/>
                <w:szCs w:val="20"/>
              </w:rPr>
            </w:pPr>
            <w:r w:rsidRPr="00E70772">
              <w:rPr>
                <w:rFonts w:ascii="Times New Roman" w:eastAsia="Calibri" w:hAnsi="Times New Roman" w:cs="Times New Roman"/>
                <w:b/>
                <w:bCs/>
                <w:sz w:val="20"/>
                <w:szCs w:val="20"/>
              </w:rPr>
              <w:t>VLDL</w:t>
            </w:r>
            <w:r w:rsidRPr="00E70772">
              <w:rPr>
                <w:rFonts w:ascii="Times New Roman" w:eastAsia="Calibri" w:hAnsi="Times New Roman" w:cs="Times New Roman"/>
                <w:sz w:val="20"/>
                <w:szCs w:val="20"/>
              </w:rPr>
              <w:t xml:space="preserve"> (mg/dL)</w:t>
            </w:r>
          </w:p>
        </w:tc>
      </w:tr>
      <w:tr w:rsidR="001C52DA" w:rsidRPr="00E70772" w14:paraId="27AEBF1F" w14:textId="77777777" w:rsidTr="008D2695">
        <w:tc>
          <w:tcPr>
            <w:tcW w:w="1318" w:type="dxa"/>
          </w:tcPr>
          <w:p w14:paraId="14CCE79A"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0.008*</w:t>
            </w:r>
          </w:p>
        </w:tc>
        <w:tc>
          <w:tcPr>
            <w:tcW w:w="2238" w:type="dxa"/>
            <w:gridSpan w:val="2"/>
          </w:tcPr>
          <w:p w14:paraId="13DDC528"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194.1 ±87.47</w:t>
            </w:r>
          </w:p>
        </w:tc>
        <w:tc>
          <w:tcPr>
            <w:tcW w:w="2411" w:type="dxa"/>
          </w:tcPr>
          <w:p w14:paraId="3DE14A93"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159.69 ± 41.78</w:t>
            </w:r>
          </w:p>
        </w:tc>
        <w:tc>
          <w:tcPr>
            <w:tcW w:w="1770" w:type="dxa"/>
          </w:tcPr>
          <w:p w14:paraId="06F6C857"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Pr>
            </w:pPr>
            <w:r w:rsidRPr="00E70772">
              <w:rPr>
                <w:rFonts w:asciiTheme="majorBidi" w:eastAsia="Calibri" w:hAnsiTheme="majorBidi" w:cstheme="majorBidi"/>
                <w:b/>
                <w:bCs/>
                <w:sz w:val="20"/>
                <w:szCs w:val="20"/>
              </w:rPr>
              <w:t>165.62 ± 53.6</w:t>
            </w:r>
          </w:p>
        </w:tc>
        <w:tc>
          <w:tcPr>
            <w:tcW w:w="2519" w:type="dxa"/>
            <w:shd w:val="clear" w:color="auto" w:fill="DBE5F1" w:themeFill="accent1" w:themeFillTint="33"/>
          </w:tcPr>
          <w:p w14:paraId="44706A67" w14:textId="77777777" w:rsidR="001C52DA" w:rsidRPr="00E70772" w:rsidRDefault="001C52DA" w:rsidP="001C52DA">
            <w:pPr>
              <w:bidi w:val="0"/>
              <w:spacing w:after="200" w:line="360" w:lineRule="auto"/>
              <w:jc w:val="both"/>
              <w:rPr>
                <w:rFonts w:ascii="Times New Roman" w:eastAsia="Calibri" w:hAnsi="Times New Roman" w:cs="Times New Roman"/>
                <w:sz w:val="20"/>
                <w:szCs w:val="20"/>
              </w:rPr>
            </w:pPr>
            <w:r w:rsidRPr="00E70772">
              <w:rPr>
                <w:rFonts w:ascii="Times New Roman" w:eastAsia="Calibri" w:hAnsi="Times New Roman" w:cs="Times New Roman"/>
                <w:b/>
                <w:bCs/>
                <w:sz w:val="20"/>
                <w:szCs w:val="20"/>
              </w:rPr>
              <w:t>TG</w:t>
            </w:r>
            <w:r w:rsidRPr="00E70772">
              <w:rPr>
                <w:rFonts w:ascii="Times New Roman" w:eastAsia="Calibri" w:hAnsi="Times New Roman" w:cs="Times New Roman"/>
                <w:sz w:val="20"/>
                <w:szCs w:val="20"/>
              </w:rPr>
              <w:t xml:space="preserve"> (mg/dL)</w:t>
            </w:r>
          </w:p>
        </w:tc>
      </w:tr>
      <w:tr w:rsidR="001C52DA" w:rsidRPr="00E70772" w14:paraId="627F38DF" w14:textId="77777777" w:rsidTr="008D2695">
        <w:tc>
          <w:tcPr>
            <w:tcW w:w="1318" w:type="dxa"/>
          </w:tcPr>
          <w:p w14:paraId="75E6C999"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0.001</w:t>
            </w:r>
          </w:p>
        </w:tc>
        <w:tc>
          <w:tcPr>
            <w:tcW w:w="2238" w:type="dxa"/>
            <w:gridSpan w:val="2"/>
          </w:tcPr>
          <w:p w14:paraId="31D0DB68"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9.53 ± 1.05</w:t>
            </w:r>
          </w:p>
        </w:tc>
        <w:tc>
          <w:tcPr>
            <w:tcW w:w="2411" w:type="dxa"/>
          </w:tcPr>
          <w:p w14:paraId="347E031E"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5.18 ± 0.99</w:t>
            </w:r>
          </w:p>
        </w:tc>
        <w:tc>
          <w:tcPr>
            <w:tcW w:w="1770" w:type="dxa"/>
          </w:tcPr>
          <w:p w14:paraId="614A63AC"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5.93 ± 1.92</w:t>
            </w:r>
          </w:p>
        </w:tc>
        <w:tc>
          <w:tcPr>
            <w:tcW w:w="2519" w:type="dxa"/>
            <w:shd w:val="clear" w:color="auto" w:fill="DBE5F1" w:themeFill="accent1" w:themeFillTint="33"/>
          </w:tcPr>
          <w:p w14:paraId="7DDEAC26" w14:textId="77777777" w:rsidR="001C52DA" w:rsidRPr="00E70772" w:rsidRDefault="001C52DA" w:rsidP="001C52DA">
            <w:pPr>
              <w:bidi w:val="0"/>
              <w:spacing w:after="200" w:line="360" w:lineRule="auto"/>
              <w:jc w:val="both"/>
              <w:rPr>
                <w:rFonts w:asciiTheme="majorBidi" w:eastAsia="Calibri" w:hAnsiTheme="majorBidi" w:cstheme="majorBidi"/>
                <w:b/>
                <w:bCs/>
                <w:sz w:val="20"/>
                <w:szCs w:val="20"/>
                <w:rtl/>
              </w:rPr>
            </w:pPr>
            <w:r w:rsidRPr="00E70772">
              <w:rPr>
                <w:rFonts w:asciiTheme="majorBidi" w:eastAsia="Calibri" w:hAnsiTheme="majorBidi" w:cstheme="majorBidi"/>
                <w:b/>
                <w:bCs/>
                <w:sz w:val="20"/>
                <w:szCs w:val="20"/>
              </w:rPr>
              <w:t>Mean fibrosis score KPa (SD)</w:t>
            </w:r>
          </w:p>
        </w:tc>
      </w:tr>
      <w:tr w:rsidR="001C52DA" w:rsidRPr="00E70772" w14:paraId="556B084D" w14:textId="77777777" w:rsidTr="008D2695">
        <w:tc>
          <w:tcPr>
            <w:tcW w:w="1318" w:type="dxa"/>
            <w:tcBorders>
              <w:bottom w:val="single" w:sz="4" w:space="0" w:color="auto"/>
            </w:tcBorders>
          </w:tcPr>
          <w:p w14:paraId="45B5A1A5" w14:textId="77777777" w:rsidR="001C52DA" w:rsidRPr="00E70772" w:rsidRDefault="001C52DA" w:rsidP="001C52DA">
            <w:pPr>
              <w:bidi w:val="0"/>
              <w:spacing w:line="360" w:lineRule="auto"/>
              <w:jc w:val="both"/>
              <w:rPr>
                <w:rFonts w:asciiTheme="majorBidi" w:eastAsia="Calibri" w:hAnsiTheme="majorBidi" w:cstheme="majorBidi"/>
                <w:b/>
                <w:bCs/>
                <w:sz w:val="20"/>
                <w:szCs w:val="20"/>
                <w:highlight w:val="yellow"/>
              </w:rPr>
            </w:pPr>
            <w:r w:rsidRPr="006A202F">
              <w:rPr>
                <w:rFonts w:asciiTheme="majorBidi" w:eastAsia="Calibri" w:hAnsiTheme="majorBidi" w:cstheme="majorBidi"/>
                <w:b/>
                <w:bCs/>
                <w:sz w:val="20"/>
                <w:szCs w:val="20"/>
              </w:rPr>
              <w:t>0.640</w:t>
            </w:r>
          </w:p>
        </w:tc>
        <w:tc>
          <w:tcPr>
            <w:tcW w:w="2238" w:type="dxa"/>
            <w:gridSpan w:val="2"/>
            <w:tcBorders>
              <w:bottom w:val="single" w:sz="4" w:space="0" w:color="auto"/>
            </w:tcBorders>
          </w:tcPr>
          <w:p w14:paraId="64072097" w14:textId="77777777" w:rsidR="001C52DA" w:rsidRPr="00E70772" w:rsidRDefault="001C52DA" w:rsidP="001C52DA">
            <w:pPr>
              <w:bidi w:val="0"/>
              <w:spacing w:line="360" w:lineRule="auto"/>
              <w:jc w:val="both"/>
              <w:rPr>
                <w:rFonts w:asciiTheme="majorBidi" w:eastAsia="Calibri" w:hAnsiTheme="majorBidi" w:cstheme="majorBidi"/>
                <w:b/>
                <w:bCs/>
                <w:sz w:val="20"/>
                <w:szCs w:val="20"/>
                <w:highlight w:val="yellow"/>
              </w:rPr>
            </w:pPr>
            <w:r w:rsidRPr="006A202F">
              <w:rPr>
                <w:rFonts w:asciiTheme="majorBidi" w:eastAsia="Calibri" w:hAnsiTheme="majorBidi" w:cstheme="majorBidi"/>
                <w:b/>
                <w:bCs/>
                <w:sz w:val="20"/>
                <w:szCs w:val="20"/>
              </w:rPr>
              <w:t>319.4± 43.49</w:t>
            </w:r>
          </w:p>
        </w:tc>
        <w:tc>
          <w:tcPr>
            <w:tcW w:w="2411" w:type="dxa"/>
            <w:tcBorders>
              <w:bottom w:val="single" w:sz="4" w:space="0" w:color="auto"/>
            </w:tcBorders>
          </w:tcPr>
          <w:p w14:paraId="007A1F0B" w14:textId="77777777" w:rsidR="001C52DA" w:rsidRPr="00E70772" w:rsidRDefault="001C52DA" w:rsidP="001C52DA">
            <w:pPr>
              <w:bidi w:val="0"/>
              <w:spacing w:line="360" w:lineRule="auto"/>
              <w:jc w:val="both"/>
              <w:rPr>
                <w:rFonts w:asciiTheme="majorBidi" w:eastAsia="Calibri" w:hAnsiTheme="majorBidi" w:cstheme="majorBidi"/>
                <w:b/>
                <w:bCs/>
                <w:sz w:val="20"/>
                <w:szCs w:val="20"/>
                <w:highlight w:val="yellow"/>
              </w:rPr>
            </w:pPr>
            <w:r w:rsidRPr="006A202F">
              <w:rPr>
                <w:rFonts w:asciiTheme="majorBidi" w:eastAsia="Calibri" w:hAnsiTheme="majorBidi" w:cstheme="majorBidi"/>
                <w:b/>
                <w:bCs/>
                <w:sz w:val="20"/>
                <w:szCs w:val="20"/>
              </w:rPr>
              <w:t>284.5± 38.85</w:t>
            </w:r>
          </w:p>
        </w:tc>
        <w:tc>
          <w:tcPr>
            <w:tcW w:w="1770" w:type="dxa"/>
            <w:tcBorders>
              <w:bottom w:val="single" w:sz="4" w:space="0" w:color="auto"/>
            </w:tcBorders>
          </w:tcPr>
          <w:p w14:paraId="6805A8D5" w14:textId="77777777" w:rsidR="001C52DA" w:rsidRPr="00E70772" w:rsidRDefault="001C52DA" w:rsidP="001C52DA">
            <w:pPr>
              <w:bidi w:val="0"/>
              <w:spacing w:line="360" w:lineRule="auto"/>
              <w:jc w:val="both"/>
              <w:rPr>
                <w:rFonts w:asciiTheme="majorBidi" w:eastAsia="Calibri" w:hAnsiTheme="majorBidi" w:cstheme="majorBidi"/>
                <w:b/>
                <w:bCs/>
                <w:sz w:val="20"/>
                <w:szCs w:val="20"/>
                <w:highlight w:val="yellow"/>
              </w:rPr>
            </w:pPr>
            <w:r w:rsidRPr="006A202F">
              <w:rPr>
                <w:rFonts w:asciiTheme="majorBidi" w:eastAsia="Calibri" w:hAnsiTheme="majorBidi" w:cstheme="majorBidi"/>
                <w:b/>
                <w:bCs/>
                <w:sz w:val="20"/>
                <w:szCs w:val="20"/>
              </w:rPr>
              <w:t>290.51± 41.6</w:t>
            </w:r>
          </w:p>
        </w:tc>
        <w:tc>
          <w:tcPr>
            <w:tcW w:w="2519" w:type="dxa"/>
            <w:tcBorders>
              <w:bottom w:val="single" w:sz="4" w:space="0" w:color="auto"/>
            </w:tcBorders>
            <w:shd w:val="clear" w:color="auto" w:fill="DBE5F1" w:themeFill="accent1" w:themeFillTint="33"/>
          </w:tcPr>
          <w:p w14:paraId="3C2AEA4B" w14:textId="77777777" w:rsidR="001C52DA" w:rsidRPr="00E70772" w:rsidRDefault="001C52DA" w:rsidP="002F694E">
            <w:pPr>
              <w:keepNext/>
              <w:bidi w:val="0"/>
              <w:spacing w:line="360" w:lineRule="auto"/>
              <w:jc w:val="both"/>
              <w:rPr>
                <w:rFonts w:asciiTheme="majorBidi" w:eastAsia="Calibri" w:hAnsiTheme="majorBidi" w:cstheme="majorBidi"/>
                <w:b/>
                <w:bCs/>
                <w:sz w:val="20"/>
                <w:szCs w:val="20"/>
                <w:highlight w:val="yellow"/>
              </w:rPr>
            </w:pPr>
            <w:bookmarkStart w:id="4" w:name="_Hlk113481223"/>
            <w:r w:rsidRPr="006A202F">
              <w:rPr>
                <w:rFonts w:asciiTheme="majorBidi" w:eastAsia="Calibri" w:hAnsiTheme="majorBidi" w:cstheme="majorBidi"/>
                <w:b/>
                <w:bCs/>
                <w:sz w:val="20"/>
                <w:szCs w:val="20"/>
              </w:rPr>
              <w:t>Steatosis score</w:t>
            </w:r>
            <w:bookmarkEnd w:id="4"/>
            <w:r w:rsidRPr="006A202F">
              <w:rPr>
                <w:rFonts w:asciiTheme="majorBidi" w:eastAsia="Calibri" w:hAnsiTheme="majorBidi" w:cstheme="majorBidi"/>
                <w:b/>
                <w:bCs/>
                <w:sz w:val="20"/>
                <w:szCs w:val="20"/>
              </w:rPr>
              <w:t xml:space="preserve"> dB/m</w:t>
            </w:r>
          </w:p>
        </w:tc>
      </w:tr>
    </w:tbl>
    <w:p w14:paraId="0A84FD58" w14:textId="74828B24" w:rsidR="002F694E" w:rsidRDefault="002F694E" w:rsidP="002F694E">
      <w:pPr>
        <w:pStyle w:val="Caption"/>
        <w:framePr w:hSpace="180" w:wrap="around" w:vAnchor="text" w:hAnchor="margin" w:xAlign="center" w:y="-323"/>
        <w:bidi w:val="0"/>
        <w:jc w:val="both"/>
      </w:pPr>
      <w:r w:rsidRPr="002F694E">
        <w:t xml:space="preserve">ALT, alanine transaminase; AST, aspartate transaminase; WBC, white blood cells; BMI, body mass index; LDL, </w:t>
      </w:r>
      <w:r>
        <w:t>low-density</w:t>
      </w:r>
      <w:r w:rsidRPr="002F694E">
        <w:t xml:space="preserve"> lipoprotein;</w:t>
      </w:r>
      <w:r>
        <w:t xml:space="preserve"> </w:t>
      </w:r>
      <w:r w:rsidRPr="002F694E">
        <w:t xml:space="preserve">HDL, lipoprotein; VLDL, very </w:t>
      </w:r>
      <w:r>
        <w:t>low-density</w:t>
      </w:r>
      <w:r w:rsidRPr="002F694E">
        <w:t xml:space="preserve"> lipoprotein; TG, triglyceride</w:t>
      </w:r>
      <w:r w:rsidR="00256CE5">
        <w:t>s</w:t>
      </w:r>
      <w:r w:rsidRPr="002F694E">
        <w:t xml:space="preserve"> </w:t>
      </w:r>
      <w:r>
        <w:rPr>
          <w:rtl/>
        </w:rPr>
        <w:t xml:space="preserve"> </w:t>
      </w:r>
    </w:p>
    <w:p w14:paraId="364FAE59" w14:textId="48D4FF1B" w:rsidR="00A73CA4" w:rsidRPr="00BB0C2D" w:rsidRDefault="00210792" w:rsidP="00042881">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The mean steatosis score of </w:t>
      </w:r>
      <w:r w:rsidR="00F34F37" w:rsidRPr="00BB0C2D">
        <w:rPr>
          <w:rFonts w:asciiTheme="majorBidi" w:eastAsia="Calibri" w:hAnsiTheme="majorBidi" w:cstheme="majorBidi"/>
          <w:sz w:val="24"/>
          <w:szCs w:val="24"/>
        </w:rPr>
        <w:t>groups</w:t>
      </w:r>
      <w:r w:rsidRPr="00BB0C2D">
        <w:rPr>
          <w:rFonts w:asciiTheme="majorBidi" w:eastAsia="Calibri" w:hAnsiTheme="majorBidi" w:cstheme="majorBidi"/>
          <w:sz w:val="24"/>
          <w:szCs w:val="24"/>
        </w:rPr>
        <w:t xml:space="preserve"> II (319.4± 43.49 dB/m) is higher than group I (284.5± 38.85 dB/m) but with no significant difference between </w:t>
      </w:r>
      <w:r w:rsidR="00B7476C" w:rsidRPr="00BB0C2D">
        <w:rPr>
          <w:rFonts w:asciiTheme="majorBidi" w:eastAsia="Calibri" w:hAnsiTheme="majorBidi" w:cstheme="majorBidi"/>
          <w:sz w:val="24"/>
          <w:szCs w:val="24"/>
        </w:rPr>
        <w:t xml:space="preserve">the </w:t>
      </w:r>
      <w:r w:rsidRPr="00BB0C2D">
        <w:rPr>
          <w:rFonts w:asciiTheme="majorBidi" w:eastAsia="Calibri" w:hAnsiTheme="majorBidi" w:cstheme="majorBidi"/>
          <w:sz w:val="24"/>
          <w:szCs w:val="24"/>
        </w:rPr>
        <w:t>two groups (</w:t>
      </w:r>
      <w:r w:rsidR="00B7476C" w:rsidRPr="00BB0C2D">
        <w:rPr>
          <w:rFonts w:asciiTheme="majorBidi" w:eastAsia="Calibri" w:hAnsiTheme="majorBidi" w:cstheme="majorBidi"/>
          <w:sz w:val="24"/>
          <w:szCs w:val="24"/>
        </w:rPr>
        <w:t>p-value</w:t>
      </w:r>
      <w:r w:rsidRPr="00BB0C2D">
        <w:rPr>
          <w:rFonts w:asciiTheme="majorBidi" w:eastAsia="Calibri" w:hAnsiTheme="majorBidi" w:cstheme="majorBidi"/>
          <w:sz w:val="24"/>
          <w:szCs w:val="24"/>
        </w:rPr>
        <w:t xml:space="preserve"> = 0.640).</w:t>
      </w:r>
      <w:r w:rsidR="001173A0" w:rsidRPr="00BB0C2D">
        <w:rPr>
          <w:rFonts w:asciiTheme="majorBidi" w:eastAsia="Calibri" w:hAnsiTheme="majorBidi" w:cstheme="majorBidi"/>
          <w:sz w:val="24"/>
          <w:szCs w:val="24"/>
        </w:rPr>
        <w:t xml:space="preserve"> </w:t>
      </w:r>
      <w:r w:rsidR="00A73CA4" w:rsidRPr="00BB0C2D">
        <w:rPr>
          <w:rFonts w:asciiTheme="majorBidi" w:eastAsia="Calibri" w:hAnsiTheme="majorBidi" w:cstheme="majorBidi"/>
          <w:sz w:val="24"/>
          <w:szCs w:val="24"/>
        </w:rPr>
        <w:t>The frequency of liver steatosis according to ultrasound criteria and fibroscan CAP examination w</w:t>
      </w:r>
      <w:r w:rsidR="0038369E">
        <w:rPr>
          <w:rFonts w:asciiTheme="majorBidi" w:eastAsia="Calibri" w:hAnsiTheme="majorBidi" w:cstheme="majorBidi"/>
          <w:sz w:val="24"/>
          <w:szCs w:val="24"/>
        </w:rPr>
        <w:t>as</w:t>
      </w:r>
      <w:r w:rsidR="00A73CA4" w:rsidRPr="00BB0C2D">
        <w:rPr>
          <w:rFonts w:asciiTheme="majorBidi" w:eastAsia="Calibri" w:hAnsiTheme="majorBidi" w:cstheme="majorBidi"/>
          <w:sz w:val="24"/>
          <w:szCs w:val="24"/>
        </w:rPr>
        <w:t xml:space="preserve"> shown in (Tab</w:t>
      </w:r>
      <w:r w:rsidR="00311C5E">
        <w:rPr>
          <w:rFonts w:asciiTheme="majorBidi" w:eastAsia="Calibri" w:hAnsiTheme="majorBidi" w:cstheme="majorBidi"/>
          <w:sz w:val="24"/>
          <w:szCs w:val="24"/>
        </w:rPr>
        <w:t>.</w:t>
      </w:r>
      <w:r w:rsidR="00A73CA4" w:rsidRPr="00BB0C2D">
        <w:rPr>
          <w:rFonts w:asciiTheme="majorBidi" w:eastAsia="Calibri" w:hAnsiTheme="majorBidi" w:cstheme="majorBidi"/>
          <w:sz w:val="24"/>
          <w:szCs w:val="24"/>
        </w:rPr>
        <w:t xml:space="preserve"> 3)</w:t>
      </w:r>
      <w:r w:rsidR="00B9000E">
        <w:rPr>
          <w:rFonts w:asciiTheme="majorBidi" w:eastAsia="Calibri" w:hAnsiTheme="majorBidi" w:cstheme="majorBidi"/>
          <w:sz w:val="24"/>
          <w:szCs w:val="24"/>
        </w:rPr>
        <w:t>.</w:t>
      </w:r>
    </w:p>
    <w:p w14:paraId="195672EC" w14:textId="165EDD11" w:rsidR="00892D1F" w:rsidRDefault="00824C9D"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In an </w:t>
      </w:r>
      <w:r w:rsidR="004B7E56" w:rsidRPr="00BB0C2D">
        <w:rPr>
          <w:rFonts w:asciiTheme="majorBidi" w:eastAsia="Calibri" w:hAnsiTheme="majorBidi" w:cstheme="majorBidi"/>
          <w:sz w:val="24"/>
          <w:szCs w:val="24"/>
        </w:rPr>
        <w:t>attempt</w:t>
      </w:r>
      <w:r w:rsidRPr="00BB0C2D">
        <w:rPr>
          <w:rFonts w:asciiTheme="majorBidi" w:eastAsia="Calibri" w:hAnsiTheme="majorBidi" w:cstheme="majorBidi"/>
          <w:sz w:val="24"/>
          <w:szCs w:val="24"/>
        </w:rPr>
        <w:t xml:space="preserve"> to compare the laboratory data of both </w:t>
      </w:r>
      <w:r w:rsidR="00F34F37" w:rsidRPr="00BB0C2D">
        <w:rPr>
          <w:rFonts w:asciiTheme="majorBidi" w:eastAsia="Calibri" w:hAnsiTheme="majorBidi" w:cstheme="majorBidi"/>
          <w:sz w:val="24"/>
          <w:szCs w:val="24"/>
        </w:rPr>
        <w:t>groups; the</w:t>
      </w:r>
      <w:r w:rsidR="00892D1F" w:rsidRPr="00BB0C2D">
        <w:rPr>
          <w:rFonts w:asciiTheme="majorBidi" w:eastAsia="Calibri" w:hAnsiTheme="majorBidi" w:cstheme="majorBidi"/>
          <w:sz w:val="24"/>
          <w:szCs w:val="24"/>
        </w:rPr>
        <w:t xml:space="preserve"> patients with </w:t>
      </w:r>
      <w:r w:rsidRPr="00BB0C2D">
        <w:rPr>
          <w:rFonts w:asciiTheme="majorBidi" w:eastAsia="Calibri" w:hAnsiTheme="majorBidi" w:cstheme="majorBidi"/>
          <w:sz w:val="24"/>
          <w:szCs w:val="24"/>
        </w:rPr>
        <w:t>advanced</w:t>
      </w:r>
      <w:r w:rsidR="00892D1F" w:rsidRPr="00BB0C2D">
        <w:rPr>
          <w:rFonts w:asciiTheme="majorBidi" w:eastAsia="Calibri" w:hAnsiTheme="majorBidi" w:cstheme="majorBidi"/>
          <w:sz w:val="24"/>
          <w:szCs w:val="24"/>
        </w:rPr>
        <w:t xml:space="preserve"> fibrosis</w:t>
      </w:r>
      <w:r w:rsidRPr="00BB0C2D">
        <w:rPr>
          <w:rFonts w:asciiTheme="majorBidi" w:eastAsia="Calibri" w:hAnsiTheme="majorBidi" w:cstheme="majorBidi"/>
          <w:sz w:val="24"/>
          <w:szCs w:val="24"/>
        </w:rPr>
        <w:t xml:space="preserve"> (group II)</w:t>
      </w:r>
      <w:r w:rsidR="00892D1F" w:rsidRPr="00BB0C2D">
        <w:rPr>
          <w:rFonts w:asciiTheme="majorBidi" w:eastAsia="Calibri" w:hAnsiTheme="majorBidi" w:cstheme="majorBidi"/>
          <w:sz w:val="24"/>
          <w:szCs w:val="24"/>
        </w:rPr>
        <w:t xml:space="preserve"> had</w:t>
      </w:r>
      <w:r w:rsidR="004B7E56" w:rsidRPr="00BB0C2D">
        <w:rPr>
          <w:rFonts w:asciiTheme="majorBidi" w:eastAsia="Calibri" w:hAnsiTheme="majorBidi" w:cstheme="majorBidi"/>
          <w:sz w:val="24"/>
          <w:szCs w:val="24"/>
        </w:rPr>
        <w:t xml:space="preserve"> statistically </w:t>
      </w:r>
      <w:r w:rsidR="00F34F37" w:rsidRPr="00BB0C2D">
        <w:rPr>
          <w:rFonts w:asciiTheme="majorBidi" w:eastAsia="Calibri" w:hAnsiTheme="majorBidi" w:cstheme="majorBidi"/>
          <w:sz w:val="24"/>
          <w:szCs w:val="24"/>
        </w:rPr>
        <w:t>significant higher</w:t>
      </w:r>
      <w:r w:rsidR="00892D1F" w:rsidRPr="00BB0C2D">
        <w:rPr>
          <w:rFonts w:asciiTheme="majorBidi" w:eastAsia="Calibri" w:hAnsiTheme="majorBidi" w:cstheme="majorBidi"/>
          <w:sz w:val="24"/>
          <w:szCs w:val="24"/>
        </w:rPr>
        <w:t xml:space="preserve"> </w:t>
      </w:r>
      <w:r w:rsidR="00F34F37" w:rsidRPr="00BB0C2D">
        <w:rPr>
          <w:rFonts w:asciiTheme="majorBidi" w:eastAsia="Calibri" w:hAnsiTheme="majorBidi" w:cstheme="majorBidi"/>
          <w:sz w:val="24"/>
          <w:szCs w:val="24"/>
        </w:rPr>
        <w:t>Bilirubin (p</w:t>
      </w:r>
      <w:r w:rsidR="004B7E56" w:rsidRPr="00BB0C2D">
        <w:rPr>
          <w:rFonts w:asciiTheme="majorBidi" w:eastAsia="Calibri" w:hAnsiTheme="majorBidi" w:cstheme="majorBidi"/>
          <w:sz w:val="24"/>
          <w:szCs w:val="24"/>
        </w:rPr>
        <w:t xml:space="preserve"> value </w:t>
      </w:r>
      <w:r w:rsidR="003337C1" w:rsidRPr="00BB0C2D">
        <w:rPr>
          <w:rFonts w:asciiTheme="majorBidi" w:eastAsia="Calibri" w:hAnsiTheme="majorBidi" w:cstheme="majorBidi"/>
          <w:sz w:val="24"/>
          <w:szCs w:val="24"/>
        </w:rPr>
        <w:t xml:space="preserve">= </w:t>
      </w:r>
      <w:r w:rsidR="004B7E56" w:rsidRPr="00BB0C2D">
        <w:rPr>
          <w:rFonts w:asciiTheme="majorBidi" w:eastAsia="Calibri" w:hAnsiTheme="majorBidi" w:cstheme="majorBidi"/>
          <w:sz w:val="24"/>
          <w:szCs w:val="24"/>
        </w:rPr>
        <w:t>0.001)</w:t>
      </w:r>
      <w:r w:rsidR="00892D1F" w:rsidRPr="00BB0C2D">
        <w:rPr>
          <w:rFonts w:asciiTheme="majorBidi" w:eastAsia="Calibri" w:hAnsiTheme="majorBidi" w:cstheme="majorBidi"/>
          <w:sz w:val="24"/>
          <w:szCs w:val="24"/>
        </w:rPr>
        <w:t xml:space="preserve">, </w:t>
      </w:r>
      <w:r w:rsidR="004B7E56" w:rsidRPr="00BB0C2D">
        <w:rPr>
          <w:rFonts w:asciiTheme="majorBidi" w:eastAsia="Calibri" w:hAnsiTheme="majorBidi" w:cstheme="majorBidi"/>
          <w:sz w:val="24"/>
          <w:szCs w:val="24"/>
        </w:rPr>
        <w:t>waist hip ratio</w:t>
      </w:r>
      <w:r w:rsidR="003337C1" w:rsidRPr="00BB0C2D">
        <w:rPr>
          <w:rFonts w:asciiTheme="majorBidi" w:eastAsia="Calibri" w:hAnsiTheme="majorBidi" w:cstheme="majorBidi"/>
          <w:sz w:val="24"/>
          <w:szCs w:val="24"/>
        </w:rPr>
        <w:t xml:space="preserve"> </w:t>
      </w:r>
      <w:r w:rsidR="00F34F37" w:rsidRPr="00BB0C2D">
        <w:rPr>
          <w:rFonts w:asciiTheme="majorBidi" w:eastAsia="Calibri" w:hAnsiTheme="majorBidi" w:cstheme="majorBidi"/>
          <w:sz w:val="24"/>
          <w:szCs w:val="24"/>
        </w:rPr>
        <w:t>(p</w:t>
      </w:r>
      <w:r w:rsidR="004B7E56" w:rsidRPr="00BB0C2D">
        <w:rPr>
          <w:rFonts w:asciiTheme="majorBidi" w:eastAsia="Calibri" w:hAnsiTheme="majorBidi" w:cstheme="majorBidi"/>
          <w:sz w:val="24"/>
          <w:szCs w:val="24"/>
        </w:rPr>
        <w:t xml:space="preserve"> value </w:t>
      </w:r>
      <w:r w:rsidR="003337C1" w:rsidRPr="00BB0C2D">
        <w:rPr>
          <w:rFonts w:asciiTheme="majorBidi" w:eastAsia="Calibri" w:hAnsiTheme="majorBidi" w:cstheme="majorBidi"/>
          <w:sz w:val="24"/>
          <w:szCs w:val="24"/>
        </w:rPr>
        <w:t>=</w:t>
      </w:r>
      <w:r w:rsidR="004B7E56" w:rsidRPr="00BB0C2D">
        <w:rPr>
          <w:rFonts w:asciiTheme="majorBidi" w:eastAsia="Calibri" w:hAnsiTheme="majorBidi" w:cstheme="majorBidi"/>
          <w:sz w:val="24"/>
          <w:szCs w:val="24"/>
        </w:rPr>
        <w:t>0.00</w:t>
      </w:r>
      <w:r w:rsidR="003337C1" w:rsidRPr="00BB0C2D">
        <w:rPr>
          <w:rFonts w:asciiTheme="majorBidi" w:eastAsia="Calibri" w:hAnsiTheme="majorBidi" w:cstheme="majorBidi"/>
          <w:sz w:val="24"/>
          <w:szCs w:val="24"/>
        </w:rPr>
        <w:t>2</w:t>
      </w:r>
      <w:r w:rsidR="004B7E56" w:rsidRPr="00BB0C2D">
        <w:rPr>
          <w:rFonts w:asciiTheme="majorBidi" w:eastAsia="Calibri" w:hAnsiTheme="majorBidi" w:cstheme="majorBidi"/>
          <w:sz w:val="24"/>
          <w:szCs w:val="24"/>
        </w:rPr>
        <w:t>)</w:t>
      </w:r>
      <w:r w:rsidR="00892D1F" w:rsidRPr="00BB0C2D">
        <w:rPr>
          <w:rFonts w:asciiTheme="majorBidi" w:eastAsia="Calibri" w:hAnsiTheme="majorBidi" w:cstheme="majorBidi"/>
          <w:sz w:val="24"/>
          <w:szCs w:val="24"/>
        </w:rPr>
        <w:t>, BMI</w:t>
      </w:r>
      <w:r w:rsidR="003337C1" w:rsidRPr="00BB0C2D">
        <w:rPr>
          <w:rFonts w:asciiTheme="majorBidi" w:eastAsia="Calibri" w:hAnsiTheme="majorBidi" w:cstheme="majorBidi"/>
          <w:sz w:val="24"/>
          <w:szCs w:val="24"/>
        </w:rPr>
        <w:t xml:space="preserve"> </w:t>
      </w:r>
      <w:r w:rsidR="00F34F37" w:rsidRPr="00BB0C2D">
        <w:rPr>
          <w:rFonts w:asciiTheme="majorBidi" w:eastAsia="Calibri" w:hAnsiTheme="majorBidi" w:cstheme="majorBidi"/>
          <w:sz w:val="24"/>
          <w:szCs w:val="24"/>
        </w:rPr>
        <w:t>(p</w:t>
      </w:r>
      <w:r w:rsidR="004B7E56" w:rsidRPr="00BB0C2D">
        <w:rPr>
          <w:rFonts w:asciiTheme="majorBidi" w:eastAsia="Calibri" w:hAnsiTheme="majorBidi" w:cstheme="majorBidi"/>
          <w:sz w:val="24"/>
          <w:szCs w:val="24"/>
        </w:rPr>
        <w:t xml:space="preserve"> value </w:t>
      </w:r>
      <w:r w:rsidR="003337C1" w:rsidRPr="00BB0C2D">
        <w:rPr>
          <w:rFonts w:asciiTheme="majorBidi" w:eastAsia="Calibri" w:hAnsiTheme="majorBidi" w:cstheme="majorBidi"/>
          <w:sz w:val="24"/>
          <w:szCs w:val="24"/>
        </w:rPr>
        <w:t xml:space="preserve">= </w:t>
      </w:r>
      <w:r w:rsidR="004B7E56" w:rsidRPr="00BB0C2D">
        <w:rPr>
          <w:rFonts w:asciiTheme="majorBidi" w:eastAsia="Calibri" w:hAnsiTheme="majorBidi" w:cstheme="majorBidi"/>
          <w:sz w:val="24"/>
          <w:szCs w:val="24"/>
        </w:rPr>
        <w:t>0.001)</w:t>
      </w:r>
      <w:r w:rsidR="00892D1F" w:rsidRPr="00BB0C2D">
        <w:rPr>
          <w:rFonts w:asciiTheme="majorBidi" w:eastAsia="Calibri" w:hAnsiTheme="majorBidi" w:cstheme="majorBidi"/>
          <w:sz w:val="24"/>
          <w:szCs w:val="24"/>
        </w:rPr>
        <w:t xml:space="preserve">, </w:t>
      </w:r>
      <w:r w:rsidR="00F34F37" w:rsidRPr="00BB0C2D">
        <w:rPr>
          <w:rFonts w:asciiTheme="majorBidi" w:eastAsia="Calibri" w:hAnsiTheme="majorBidi" w:cstheme="majorBidi"/>
          <w:sz w:val="24"/>
          <w:szCs w:val="24"/>
        </w:rPr>
        <w:t>VLDL (</w:t>
      </w:r>
      <w:r w:rsidR="004B7E56" w:rsidRPr="00BB0C2D">
        <w:rPr>
          <w:rFonts w:asciiTheme="majorBidi" w:eastAsia="Calibri" w:hAnsiTheme="majorBidi" w:cstheme="majorBidi"/>
          <w:sz w:val="24"/>
          <w:szCs w:val="24"/>
        </w:rPr>
        <w:t xml:space="preserve">p value </w:t>
      </w:r>
      <w:r w:rsidR="003337C1" w:rsidRPr="00BB0C2D">
        <w:rPr>
          <w:rFonts w:asciiTheme="majorBidi" w:eastAsia="Calibri" w:hAnsiTheme="majorBidi" w:cstheme="majorBidi"/>
          <w:sz w:val="24"/>
          <w:szCs w:val="24"/>
        </w:rPr>
        <w:t>=</w:t>
      </w:r>
      <w:r w:rsidR="004B7E56" w:rsidRPr="00BB0C2D">
        <w:rPr>
          <w:rFonts w:asciiTheme="majorBidi" w:eastAsia="Calibri" w:hAnsiTheme="majorBidi" w:cstheme="majorBidi"/>
          <w:sz w:val="24"/>
          <w:szCs w:val="24"/>
        </w:rPr>
        <w:t>0.001</w:t>
      </w:r>
      <w:r w:rsidR="00F34F37" w:rsidRPr="00BB0C2D">
        <w:rPr>
          <w:rFonts w:asciiTheme="majorBidi" w:eastAsia="Calibri" w:hAnsiTheme="majorBidi" w:cstheme="majorBidi"/>
          <w:sz w:val="24"/>
          <w:szCs w:val="24"/>
        </w:rPr>
        <w:t>), TG</w:t>
      </w:r>
      <w:r w:rsidR="003337C1" w:rsidRPr="00BB0C2D">
        <w:rPr>
          <w:rFonts w:asciiTheme="majorBidi" w:eastAsia="Calibri" w:hAnsiTheme="majorBidi" w:cstheme="majorBidi"/>
          <w:sz w:val="24"/>
          <w:szCs w:val="24"/>
        </w:rPr>
        <w:t xml:space="preserve"> </w:t>
      </w:r>
      <w:r w:rsidR="00F34F37" w:rsidRPr="00BB0C2D">
        <w:rPr>
          <w:rFonts w:asciiTheme="majorBidi" w:eastAsia="Calibri" w:hAnsiTheme="majorBidi" w:cstheme="majorBidi"/>
          <w:sz w:val="24"/>
          <w:szCs w:val="24"/>
        </w:rPr>
        <w:t>(p</w:t>
      </w:r>
      <w:r w:rsidR="004B7E56" w:rsidRPr="00BB0C2D">
        <w:rPr>
          <w:rFonts w:asciiTheme="majorBidi" w:eastAsia="Calibri" w:hAnsiTheme="majorBidi" w:cstheme="majorBidi"/>
          <w:sz w:val="24"/>
          <w:szCs w:val="24"/>
        </w:rPr>
        <w:t xml:space="preserve"> value </w:t>
      </w:r>
      <w:r w:rsidR="003337C1" w:rsidRPr="00BB0C2D">
        <w:rPr>
          <w:rFonts w:asciiTheme="majorBidi" w:eastAsia="Calibri" w:hAnsiTheme="majorBidi" w:cstheme="majorBidi"/>
          <w:sz w:val="24"/>
          <w:szCs w:val="24"/>
        </w:rPr>
        <w:t xml:space="preserve">= </w:t>
      </w:r>
      <w:r w:rsidR="004B7E56" w:rsidRPr="00BB0C2D">
        <w:rPr>
          <w:rFonts w:asciiTheme="majorBidi" w:eastAsia="Calibri" w:hAnsiTheme="majorBidi" w:cstheme="majorBidi"/>
          <w:sz w:val="24"/>
          <w:szCs w:val="24"/>
        </w:rPr>
        <w:t>0.00</w:t>
      </w:r>
      <w:r w:rsidR="003337C1" w:rsidRPr="00BB0C2D">
        <w:rPr>
          <w:rFonts w:asciiTheme="majorBidi" w:eastAsia="Calibri" w:hAnsiTheme="majorBidi" w:cstheme="majorBidi"/>
          <w:sz w:val="24"/>
          <w:szCs w:val="24"/>
        </w:rPr>
        <w:t>8</w:t>
      </w:r>
      <w:r w:rsidR="004B7E56" w:rsidRPr="00BB0C2D">
        <w:rPr>
          <w:rFonts w:asciiTheme="majorBidi" w:eastAsia="Calibri" w:hAnsiTheme="majorBidi" w:cstheme="majorBidi"/>
          <w:sz w:val="24"/>
          <w:szCs w:val="24"/>
        </w:rPr>
        <w:t>)</w:t>
      </w:r>
      <w:r w:rsidR="00892D1F" w:rsidRPr="00BB0C2D">
        <w:rPr>
          <w:rFonts w:asciiTheme="majorBidi" w:eastAsia="Calibri" w:hAnsiTheme="majorBidi" w:cstheme="majorBidi"/>
          <w:sz w:val="24"/>
          <w:szCs w:val="24"/>
        </w:rPr>
        <w:t xml:space="preserve"> as compared with </w:t>
      </w:r>
      <w:r w:rsidR="004B7E56" w:rsidRPr="00BB0C2D">
        <w:rPr>
          <w:rFonts w:asciiTheme="majorBidi" w:eastAsia="Calibri" w:hAnsiTheme="majorBidi" w:cstheme="majorBidi"/>
          <w:sz w:val="24"/>
          <w:szCs w:val="24"/>
        </w:rPr>
        <w:t>mild to moderate</w:t>
      </w:r>
      <w:r w:rsidR="00892D1F" w:rsidRPr="00BB0C2D">
        <w:rPr>
          <w:rFonts w:asciiTheme="majorBidi" w:eastAsia="Calibri" w:hAnsiTheme="majorBidi" w:cstheme="majorBidi"/>
          <w:sz w:val="24"/>
          <w:szCs w:val="24"/>
        </w:rPr>
        <w:t xml:space="preserve"> fibrosis patients</w:t>
      </w:r>
      <w:r w:rsidR="004B7E56" w:rsidRPr="00BB0C2D">
        <w:rPr>
          <w:rFonts w:asciiTheme="majorBidi" w:eastAsia="Calibri" w:hAnsiTheme="majorBidi" w:cstheme="majorBidi"/>
          <w:sz w:val="24"/>
          <w:szCs w:val="24"/>
        </w:rPr>
        <w:t xml:space="preserve"> (group I)</w:t>
      </w:r>
      <w:r w:rsidR="00892D1F" w:rsidRPr="00BB0C2D">
        <w:rPr>
          <w:rFonts w:asciiTheme="majorBidi" w:eastAsia="Calibri" w:hAnsiTheme="majorBidi" w:cstheme="majorBidi"/>
          <w:sz w:val="24"/>
          <w:szCs w:val="24"/>
        </w:rPr>
        <w:t xml:space="preserve"> respectively. While, significantly low H</w:t>
      </w:r>
      <w:r w:rsidR="00904E15" w:rsidRPr="00BB0C2D">
        <w:rPr>
          <w:rFonts w:asciiTheme="majorBidi" w:eastAsia="Calibri" w:hAnsiTheme="majorBidi" w:cstheme="majorBidi"/>
          <w:sz w:val="24"/>
          <w:szCs w:val="24"/>
        </w:rPr>
        <w:t>b</w:t>
      </w:r>
      <w:r w:rsidR="003337C1" w:rsidRPr="00BB0C2D">
        <w:rPr>
          <w:rFonts w:asciiTheme="majorBidi" w:eastAsia="Calibri" w:hAnsiTheme="majorBidi" w:cstheme="majorBidi"/>
          <w:sz w:val="24"/>
          <w:szCs w:val="24"/>
        </w:rPr>
        <w:t xml:space="preserve"> </w:t>
      </w:r>
      <w:r w:rsidR="001315B6" w:rsidRPr="00BB0C2D">
        <w:rPr>
          <w:rFonts w:asciiTheme="majorBidi" w:eastAsia="Calibri" w:hAnsiTheme="majorBidi" w:cstheme="majorBidi"/>
          <w:sz w:val="24"/>
          <w:szCs w:val="24"/>
        </w:rPr>
        <w:t>(p</w:t>
      </w:r>
      <w:r w:rsidR="004B7E56" w:rsidRPr="00BB0C2D">
        <w:rPr>
          <w:rFonts w:asciiTheme="majorBidi" w:eastAsia="Calibri" w:hAnsiTheme="majorBidi" w:cstheme="majorBidi"/>
          <w:sz w:val="24"/>
          <w:szCs w:val="24"/>
        </w:rPr>
        <w:t xml:space="preserve"> value</w:t>
      </w:r>
      <w:r w:rsidR="003337C1" w:rsidRPr="00BB0C2D">
        <w:rPr>
          <w:rFonts w:asciiTheme="majorBidi" w:eastAsia="Calibri" w:hAnsiTheme="majorBidi" w:cstheme="majorBidi"/>
          <w:sz w:val="24"/>
          <w:szCs w:val="24"/>
        </w:rPr>
        <w:t xml:space="preserve"> =</w:t>
      </w:r>
      <w:r w:rsidR="004B7E56" w:rsidRPr="00BB0C2D">
        <w:rPr>
          <w:rFonts w:asciiTheme="majorBidi" w:eastAsia="Calibri" w:hAnsiTheme="majorBidi" w:cstheme="majorBidi"/>
          <w:sz w:val="24"/>
          <w:szCs w:val="24"/>
        </w:rPr>
        <w:t xml:space="preserve"> 0.001)</w:t>
      </w:r>
      <w:r w:rsidR="00892D1F" w:rsidRPr="00BB0C2D">
        <w:rPr>
          <w:rFonts w:asciiTheme="majorBidi" w:eastAsia="Calibri" w:hAnsiTheme="majorBidi" w:cstheme="majorBidi"/>
          <w:sz w:val="24"/>
          <w:szCs w:val="24"/>
        </w:rPr>
        <w:t xml:space="preserve">, </w:t>
      </w:r>
      <w:r w:rsidR="001315B6" w:rsidRPr="00BB0C2D">
        <w:rPr>
          <w:rFonts w:asciiTheme="majorBidi" w:eastAsia="Calibri" w:hAnsiTheme="majorBidi" w:cstheme="majorBidi"/>
          <w:sz w:val="24"/>
          <w:szCs w:val="24"/>
        </w:rPr>
        <w:t>LDL (p</w:t>
      </w:r>
      <w:r w:rsidR="004B7E56" w:rsidRPr="00BB0C2D">
        <w:rPr>
          <w:rFonts w:asciiTheme="majorBidi" w:eastAsia="Calibri" w:hAnsiTheme="majorBidi" w:cstheme="majorBidi"/>
          <w:sz w:val="24"/>
          <w:szCs w:val="24"/>
        </w:rPr>
        <w:t xml:space="preserve"> value </w:t>
      </w:r>
      <w:r w:rsidR="003337C1" w:rsidRPr="00BB0C2D">
        <w:rPr>
          <w:rFonts w:asciiTheme="majorBidi" w:eastAsia="Calibri" w:hAnsiTheme="majorBidi" w:cstheme="majorBidi"/>
          <w:sz w:val="24"/>
          <w:szCs w:val="24"/>
        </w:rPr>
        <w:t>=</w:t>
      </w:r>
      <w:r w:rsidR="004B7E56" w:rsidRPr="00BB0C2D">
        <w:rPr>
          <w:rFonts w:asciiTheme="majorBidi" w:eastAsia="Calibri" w:hAnsiTheme="majorBidi" w:cstheme="majorBidi"/>
          <w:sz w:val="24"/>
          <w:szCs w:val="24"/>
        </w:rPr>
        <w:t>0.001)</w:t>
      </w:r>
      <w:r w:rsidR="00892D1F" w:rsidRPr="00BB0C2D">
        <w:rPr>
          <w:rFonts w:asciiTheme="majorBidi" w:eastAsia="Calibri" w:hAnsiTheme="majorBidi" w:cstheme="majorBidi"/>
          <w:sz w:val="24"/>
          <w:szCs w:val="24"/>
        </w:rPr>
        <w:t xml:space="preserve"> and </w:t>
      </w:r>
      <w:r w:rsidR="001315B6" w:rsidRPr="00BB0C2D">
        <w:rPr>
          <w:rFonts w:asciiTheme="majorBidi" w:eastAsia="Calibri" w:hAnsiTheme="majorBidi" w:cstheme="majorBidi"/>
          <w:sz w:val="24"/>
          <w:szCs w:val="24"/>
        </w:rPr>
        <w:t>ALT (p</w:t>
      </w:r>
      <w:r w:rsidR="004B7E56" w:rsidRPr="00BB0C2D">
        <w:rPr>
          <w:rFonts w:asciiTheme="majorBidi" w:eastAsia="Calibri" w:hAnsiTheme="majorBidi" w:cstheme="majorBidi"/>
          <w:sz w:val="24"/>
          <w:szCs w:val="24"/>
        </w:rPr>
        <w:t xml:space="preserve"> value </w:t>
      </w:r>
      <w:r w:rsidR="003337C1" w:rsidRPr="00BB0C2D">
        <w:rPr>
          <w:rFonts w:asciiTheme="majorBidi" w:eastAsia="Calibri" w:hAnsiTheme="majorBidi" w:cstheme="majorBidi"/>
          <w:sz w:val="24"/>
          <w:szCs w:val="24"/>
        </w:rPr>
        <w:t xml:space="preserve">= </w:t>
      </w:r>
      <w:r w:rsidR="004B7E56" w:rsidRPr="00BB0C2D">
        <w:rPr>
          <w:rFonts w:asciiTheme="majorBidi" w:eastAsia="Calibri" w:hAnsiTheme="majorBidi" w:cstheme="majorBidi"/>
          <w:sz w:val="24"/>
          <w:szCs w:val="24"/>
        </w:rPr>
        <w:t>0.00</w:t>
      </w:r>
      <w:r w:rsidR="003337C1" w:rsidRPr="00BB0C2D">
        <w:rPr>
          <w:rFonts w:asciiTheme="majorBidi" w:eastAsia="Calibri" w:hAnsiTheme="majorBidi" w:cstheme="majorBidi"/>
          <w:sz w:val="24"/>
          <w:szCs w:val="24"/>
        </w:rPr>
        <w:t>5</w:t>
      </w:r>
      <w:r w:rsidR="004B7E56" w:rsidRPr="00BB0C2D">
        <w:rPr>
          <w:rFonts w:asciiTheme="majorBidi" w:eastAsia="Calibri" w:hAnsiTheme="majorBidi" w:cstheme="majorBidi"/>
          <w:sz w:val="24"/>
          <w:szCs w:val="24"/>
        </w:rPr>
        <w:t>)</w:t>
      </w:r>
      <w:r w:rsidR="00892D1F" w:rsidRPr="00BB0C2D">
        <w:rPr>
          <w:rFonts w:asciiTheme="majorBidi" w:eastAsia="Calibri" w:hAnsiTheme="majorBidi" w:cstheme="majorBidi"/>
          <w:sz w:val="24"/>
          <w:szCs w:val="24"/>
        </w:rPr>
        <w:t xml:space="preserve"> were noted among group II as compared with group I</w:t>
      </w:r>
      <w:r w:rsidR="004B7E56" w:rsidRPr="00BB0C2D">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respectively</w:t>
      </w:r>
      <w:r w:rsidR="0056457E" w:rsidRPr="00BB0C2D">
        <w:rPr>
          <w:rFonts w:asciiTheme="majorBidi" w:eastAsia="Calibri" w:hAnsiTheme="majorBidi" w:cstheme="majorBidi"/>
          <w:sz w:val="24"/>
          <w:szCs w:val="24"/>
        </w:rPr>
        <w:t xml:space="preserve"> (Table</w:t>
      </w:r>
      <w:r w:rsidR="00A73CA4" w:rsidRPr="00BB0C2D">
        <w:rPr>
          <w:rFonts w:asciiTheme="majorBidi" w:eastAsia="Calibri" w:hAnsiTheme="majorBidi" w:cstheme="majorBidi"/>
          <w:sz w:val="24"/>
          <w:szCs w:val="24"/>
        </w:rPr>
        <w:t xml:space="preserve"> 4</w:t>
      </w:r>
      <w:r w:rsidR="0056457E" w:rsidRPr="00BB0C2D">
        <w:rPr>
          <w:rFonts w:asciiTheme="majorBidi" w:eastAsia="Calibri" w:hAnsiTheme="majorBidi" w:cstheme="majorBidi"/>
          <w:sz w:val="24"/>
          <w:szCs w:val="24"/>
        </w:rPr>
        <w:t>)</w:t>
      </w:r>
      <w:r w:rsidR="00892D1F" w:rsidRPr="00BB0C2D">
        <w:rPr>
          <w:rFonts w:asciiTheme="majorBidi" w:eastAsia="Calibri" w:hAnsiTheme="majorBidi" w:cstheme="majorBidi"/>
          <w:sz w:val="24"/>
          <w:szCs w:val="24"/>
        </w:rPr>
        <w:t>.</w:t>
      </w:r>
    </w:p>
    <w:p w14:paraId="2483955D" w14:textId="2E4B8BB9" w:rsidR="00892D1F"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The FIB-4 score was significantly higher in group II (1.54 ± 0.38) as compare</w:t>
      </w:r>
      <w:r w:rsidR="0056457E" w:rsidRPr="00BB0C2D">
        <w:rPr>
          <w:rFonts w:asciiTheme="majorBidi" w:eastAsia="Calibri" w:hAnsiTheme="majorBidi" w:cstheme="majorBidi"/>
          <w:sz w:val="24"/>
          <w:szCs w:val="24"/>
        </w:rPr>
        <w:t>d with group I (1.18 ± 0.44)</w:t>
      </w:r>
      <w:r w:rsidR="00547D98" w:rsidRPr="00BB0C2D">
        <w:rPr>
          <w:rFonts w:asciiTheme="majorBidi" w:eastAsia="Calibri" w:hAnsiTheme="majorBidi" w:cstheme="majorBidi"/>
          <w:sz w:val="24"/>
          <w:szCs w:val="24"/>
        </w:rPr>
        <w:t xml:space="preserve"> </w:t>
      </w:r>
      <w:r w:rsidR="00B7476C" w:rsidRPr="00BB0C2D">
        <w:rPr>
          <w:rFonts w:asciiTheme="majorBidi" w:eastAsia="Calibri" w:hAnsiTheme="majorBidi" w:cstheme="majorBidi"/>
          <w:sz w:val="24"/>
          <w:szCs w:val="24"/>
        </w:rPr>
        <w:t>(p-value</w:t>
      </w:r>
      <w:r w:rsidRPr="00BB0C2D">
        <w:rPr>
          <w:rFonts w:asciiTheme="majorBidi" w:eastAsia="Calibri" w:hAnsiTheme="majorBidi" w:cstheme="majorBidi"/>
          <w:sz w:val="24"/>
          <w:szCs w:val="24"/>
        </w:rPr>
        <w:t xml:space="preserve"> = 0.001</w:t>
      </w:r>
      <w:r w:rsidR="0056457E"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t>
      </w:r>
      <w:r w:rsidR="00B7476C" w:rsidRPr="00BB0C2D">
        <w:rPr>
          <w:rFonts w:asciiTheme="majorBidi" w:eastAsia="Calibri" w:hAnsiTheme="majorBidi" w:cstheme="majorBidi"/>
          <w:sz w:val="24"/>
          <w:szCs w:val="24"/>
        </w:rPr>
        <w:t>The</w:t>
      </w:r>
      <w:r w:rsidRPr="00BB0C2D">
        <w:rPr>
          <w:rFonts w:asciiTheme="majorBidi" w:eastAsia="Calibri" w:hAnsiTheme="majorBidi" w:cstheme="majorBidi"/>
          <w:sz w:val="24"/>
          <w:szCs w:val="24"/>
        </w:rPr>
        <w:t xml:space="preserve"> FIB-5 score has no signific</w:t>
      </w:r>
      <w:r w:rsidR="0056457E" w:rsidRPr="00BB0C2D">
        <w:rPr>
          <w:rFonts w:asciiTheme="majorBidi" w:eastAsia="Calibri" w:hAnsiTheme="majorBidi" w:cstheme="majorBidi"/>
          <w:sz w:val="24"/>
          <w:szCs w:val="24"/>
        </w:rPr>
        <w:t>ant difference between groups (</w:t>
      </w:r>
      <w:r w:rsidR="00B7476C" w:rsidRPr="00BB0C2D">
        <w:rPr>
          <w:rFonts w:asciiTheme="majorBidi" w:eastAsia="Calibri" w:hAnsiTheme="majorBidi" w:cstheme="majorBidi"/>
          <w:sz w:val="24"/>
          <w:szCs w:val="24"/>
        </w:rPr>
        <w:t>p-value</w:t>
      </w:r>
      <w:r w:rsidRPr="00BB0C2D">
        <w:rPr>
          <w:rFonts w:asciiTheme="majorBidi" w:eastAsia="Calibri" w:hAnsiTheme="majorBidi" w:cstheme="majorBidi"/>
          <w:sz w:val="24"/>
          <w:szCs w:val="24"/>
        </w:rPr>
        <w:t xml:space="preserve"> = 0.942</w:t>
      </w:r>
      <w:r w:rsidR="0056457E" w:rsidRPr="00BB0C2D">
        <w:rPr>
          <w:rFonts w:asciiTheme="majorBidi" w:eastAsia="Calibri" w:hAnsiTheme="majorBidi" w:cstheme="majorBidi"/>
          <w:sz w:val="24"/>
          <w:szCs w:val="24"/>
        </w:rPr>
        <w:t>)</w:t>
      </w:r>
      <w:r w:rsidR="00F70F7F" w:rsidRPr="00BB0C2D">
        <w:rPr>
          <w:rFonts w:asciiTheme="majorBidi" w:eastAsia="Calibri" w:hAnsiTheme="majorBidi" w:cstheme="majorBidi"/>
          <w:sz w:val="24"/>
          <w:szCs w:val="24"/>
        </w:rPr>
        <w:t xml:space="preserve"> (</w:t>
      </w:r>
      <w:r w:rsidR="0056457E" w:rsidRPr="00BB0C2D">
        <w:rPr>
          <w:rFonts w:asciiTheme="majorBidi" w:eastAsia="Calibri" w:hAnsiTheme="majorBidi" w:cstheme="majorBidi"/>
          <w:sz w:val="24"/>
          <w:szCs w:val="24"/>
        </w:rPr>
        <w:t>T</w:t>
      </w:r>
      <w:r w:rsidRPr="00BB0C2D">
        <w:rPr>
          <w:rFonts w:asciiTheme="majorBidi" w:eastAsia="Calibri" w:hAnsiTheme="majorBidi" w:cstheme="majorBidi"/>
          <w:sz w:val="24"/>
          <w:szCs w:val="24"/>
        </w:rPr>
        <w:t>ab</w:t>
      </w:r>
      <w:r w:rsidR="00B9000E">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t>
      </w:r>
      <w:r w:rsidR="00A73CA4" w:rsidRPr="00BB0C2D">
        <w:rPr>
          <w:rFonts w:asciiTheme="majorBidi" w:eastAsia="Calibri" w:hAnsiTheme="majorBidi" w:cstheme="majorBidi"/>
          <w:sz w:val="24"/>
          <w:szCs w:val="24"/>
        </w:rPr>
        <w:t>5</w:t>
      </w:r>
      <w:r w:rsidR="00F70F7F" w:rsidRPr="00BB0C2D">
        <w:rPr>
          <w:rFonts w:asciiTheme="majorBidi" w:eastAsia="Calibri" w:hAnsiTheme="majorBidi" w:cstheme="majorBidi"/>
          <w:sz w:val="24"/>
          <w:szCs w:val="24"/>
        </w:rPr>
        <w:t>).</w:t>
      </w:r>
    </w:p>
    <w:p w14:paraId="5872B833" w14:textId="56ECA8E1" w:rsidR="00EC5AFF" w:rsidRPr="00EC5AFF" w:rsidRDefault="00EC5AFF" w:rsidP="00EC5AFF">
      <w:pPr>
        <w:pStyle w:val="Caption"/>
        <w:keepNext/>
        <w:bidi w:val="0"/>
        <w:rPr>
          <w:sz w:val="22"/>
          <w:szCs w:val="22"/>
        </w:rPr>
      </w:pPr>
      <w:r w:rsidRPr="00EC5AFF">
        <w:rPr>
          <w:sz w:val="22"/>
          <w:szCs w:val="22"/>
        </w:rPr>
        <w:t xml:space="preserve">Table4: </w:t>
      </w:r>
      <w:r w:rsidRPr="00EC5AFF">
        <w:rPr>
          <w:sz w:val="22"/>
          <w:szCs w:val="22"/>
          <w:rtl/>
        </w:rPr>
        <w:t xml:space="preserve"> </w:t>
      </w:r>
      <w:r w:rsidRPr="00EC5AFF">
        <w:rPr>
          <w:sz w:val="22"/>
          <w:szCs w:val="22"/>
        </w:rPr>
        <w:t xml:space="preserve">FIB-4 and FIB-5 </w:t>
      </w:r>
      <w:r w:rsidR="00A64EC7">
        <w:rPr>
          <w:sz w:val="22"/>
          <w:szCs w:val="22"/>
        </w:rPr>
        <w:t>scores</w:t>
      </w:r>
      <w:r w:rsidRPr="00EC5AFF">
        <w:rPr>
          <w:sz w:val="22"/>
          <w:szCs w:val="22"/>
        </w:rPr>
        <w:t xml:space="preserve"> of cases according to the fibrosis stage</w:t>
      </w:r>
    </w:p>
    <w:tbl>
      <w:tblPr>
        <w:tblStyle w:val="TableGrid"/>
        <w:bidiVisual/>
        <w:tblW w:w="9395" w:type="dxa"/>
        <w:tblInd w:w="-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083"/>
        <w:gridCol w:w="2288"/>
        <w:gridCol w:w="1878"/>
        <w:gridCol w:w="1445"/>
      </w:tblGrid>
      <w:tr w:rsidR="006A202F" w:rsidRPr="0093794A" w14:paraId="23DE9F73" w14:textId="77777777" w:rsidTr="00E33011">
        <w:trPr>
          <w:trHeight w:val="1799"/>
        </w:trPr>
        <w:tc>
          <w:tcPr>
            <w:tcW w:w="1701" w:type="dxa"/>
            <w:tcBorders>
              <w:top w:val="single" w:sz="4" w:space="0" w:color="auto"/>
              <w:bottom w:val="single" w:sz="4" w:space="0" w:color="auto"/>
            </w:tcBorders>
            <w:shd w:val="clear" w:color="auto" w:fill="DBE5F1" w:themeFill="accent1" w:themeFillTint="33"/>
            <w:hideMark/>
          </w:tcPr>
          <w:p w14:paraId="4E95B72A" w14:textId="77777777" w:rsidR="006A202F" w:rsidRPr="003D38BF" w:rsidRDefault="006A202F" w:rsidP="00BE77E5">
            <w:pPr>
              <w:bidi w:val="0"/>
              <w:spacing w:after="200" w:line="360" w:lineRule="auto"/>
              <w:jc w:val="both"/>
              <w:rPr>
                <w:rFonts w:asciiTheme="majorBidi" w:eastAsia="Calibri" w:hAnsiTheme="majorBidi" w:cstheme="majorBidi"/>
                <w:b/>
                <w:bCs/>
              </w:rPr>
            </w:pPr>
            <w:r w:rsidRPr="003D38BF">
              <w:rPr>
                <w:rFonts w:asciiTheme="majorBidi" w:eastAsia="Calibri" w:hAnsiTheme="majorBidi" w:cstheme="majorBidi"/>
                <w:b/>
                <w:bCs/>
              </w:rPr>
              <w:t>P- value</w:t>
            </w:r>
          </w:p>
        </w:tc>
        <w:tc>
          <w:tcPr>
            <w:tcW w:w="2083" w:type="dxa"/>
            <w:tcBorders>
              <w:top w:val="single" w:sz="4" w:space="0" w:color="auto"/>
              <w:bottom w:val="single" w:sz="4" w:space="0" w:color="auto"/>
            </w:tcBorders>
            <w:shd w:val="clear" w:color="auto" w:fill="DBE5F1" w:themeFill="accent1" w:themeFillTint="33"/>
            <w:hideMark/>
          </w:tcPr>
          <w:p w14:paraId="60A0B1EE" w14:textId="77777777" w:rsidR="006A202F" w:rsidRPr="003D38BF" w:rsidRDefault="006A202F" w:rsidP="00BE77E5">
            <w:pPr>
              <w:bidi w:val="0"/>
              <w:spacing w:after="200" w:line="360" w:lineRule="auto"/>
              <w:ind w:firstLine="720"/>
              <w:jc w:val="both"/>
              <w:rPr>
                <w:rFonts w:asciiTheme="majorBidi" w:eastAsia="Calibri" w:hAnsiTheme="majorBidi" w:cstheme="majorBidi"/>
                <w:b/>
                <w:bCs/>
              </w:rPr>
            </w:pPr>
            <w:r w:rsidRPr="003D38BF">
              <w:rPr>
                <w:rFonts w:asciiTheme="majorBidi" w:eastAsia="Calibri" w:hAnsiTheme="majorBidi" w:cstheme="majorBidi"/>
                <w:b/>
                <w:bCs/>
              </w:rPr>
              <w:t>Group II, Advanced Fibrosis (AF)</w:t>
            </w:r>
          </w:p>
          <w:p w14:paraId="0FD6D1FA" w14:textId="77777777" w:rsidR="006A202F" w:rsidRPr="003D38BF" w:rsidRDefault="006A202F" w:rsidP="00BE77E5">
            <w:pPr>
              <w:bidi w:val="0"/>
              <w:spacing w:after="200" w:line="360" w:lineRule="auto"/>
              <w:ind w:firstLine="720"/>
              <w:jc w:val="both"/>
              <w:rPr>
                <w:rFonts w:asciiTheme="majorBidi" w:eastAsia="Calibri" w:hAnsiTheme="majorBidi" w:cstheme="majorBidi"/>
                <w:b/>
                <w:bCs/>
                <w:rtl/>
              </w:rPr>
            </w:pPr>
            <w:r w:rsidRPr="003D38BF">
              <w:rPr>
                <w:rFonts w:asciiTheme="majorBidi" w:eastAsia="Calibri" w:hAnsiTheme="majorBidi" w:cstheme="majorBidi"/>
                <w:b/>
                <w:bCs/>
              </w:rPr>
              <w:t>(n=20)</w:t>
            </w:r>
          </w:p>
        </w:tc>
        <w:tc>
          <w:tcPr>
            <w:tcW w:w="2288" w:type="dxa"/>
            <w:tcBorders>
              <w:top w:val="single" w:sz="4" w:space="0" w:color="auto"/>
              <w:bottom w:val="single" w:sz="4" w:space="0" w:color="auto"/>
            </w:tcBorders>
            <w:shd w:val="clear" w:color="auto" w:fill="DBE5F1" w:themeFill="accent1" w:themeFillTint="33"/>
            <w:hideMark/>
          </w:tcPr>
          <w:p w14:paraId="3F42277B" w14:textId="77777777" w:rsidR="006A202F" w:rsidRPr="003D38BF" w:rsidRDefault="006A202F" w:rsidP="00BE77E5">
            <w:pPr>
              <w:bidi w:val="0"/>
              <w:spacing w:after="200" w:line="360" w:lineRule="auto"/>
              <w:ind w:firstLine="720"/>
              <w:jc w:val="both"/>
              <w:rPr>
                <w:rFonts w:asciiTheme="majorBidi" w:eastAsia="Calibri" w:hAnsiTheme="majorBidi" w:cstheme="majorBidi"/>
                <w:b/>
                <w:bCs/>
              </w:rPr>
            </w:pPr>
            <w:r w:rsidRPr="003D38BF">
              <w:rPr>
                <w:rFonts w:asciiTheme="majorBidi" w:eastAsia="Calibri" w:hAnsiTheme="majorBidi" w:cstheme="majorBidi"/>
                <w:b/>
                <w:bCs/>
              </w:rPr>
              <w:t>Group I, Mild/ Moderate Fibrosis (MF)</w:t>
            </w:r>
          </w:p>
          <w:p w14:paraId="67F17458" w14:textId="77777777" w:rsidR="006A202F" w:rsidRPr="003D38BF" w:rsidRDefault="006A202F" w:rsidP="00BE77E5">
            <w:pPr>
              <w:bidi w:val="0"/>
              <w:spacing w:after="200" w:line="360" w:lineRule="auto"/>
              <w:ind w:firstLine="720"/>
              <w:jc w:val="both"/>
              <w:rPr>
                <w:rFonts w:asciiTheme="majorBidi" w:eastAsia="Calibri" w:hAnsiTheme="majorBidi" w:cstheme="majorBidi"/>
                <w:b/>
                <w:bCs/>
                <w:rtl/>
              </w:rPr>
            </w:pPr>
            <w:r w:rsidRPr="003D38BF">
              <w:rPr>
                <w:rFonts w:asciiTheme="majorBidi" w:eastAsia="Calibri" w:hAnsiTheme="majorBidi" w:cstheme="majorBidi"/>
                <w:b/>
                <w:bCs/>
              </w:rPr>
              <w:t>(n=96)</w:t>
            </w:r>
          </w:p>
        </w:tc>
        <w:tc>
          <w:tcPr>
            <w:tcW w:w="1878" w:type="dxa"/>
            <w:tcBorders>
              <w:top w:val="single" w:sz="4" w:space="0" w:color="auto"/>
              <w:bottom w:val="single" w:sz="4" w:space="0" w:color="auto"/>
            </w:tcBorders>
            <w:shd w:val="clear" w:color="auto" w:fill="DBE5F1" w:themeFill="accent1" w:themeFillTint="33"/>
            <w:hideMark/>
          </w:tcPr>
          <w:p w14:paraId="35094BEE" w14:textId="77777777" w:rsidR="006A202F" w:rsidRPr="003D38BF" w:rsidRDefault="006A202F" w:rsidP="00BE77E5">
            <w:pPr>
              <w:bidi w:val="0"/>
              <w:spacing w:after="200" w:line="360" w:lineRule="auto"/>
              <w:ind w:firstLine="720"/>
              <w:jc w:val="both"/>
              <w:rPr>
                <w:rFonts w:asciiTheme="majorBidi" w:eastAsia="Calibri" w:hAnsiTheme="majorBidi" w:cstheme="majorBidi"/>
                <w:b/>
                <w:bCs/>
                <w:rtl/>
              </w:rPr>
            </w:pPr>
            <w:r w:rsidRPr="003D38BF">
              <w:rPr>
                <w:rFonts w:asciiTheme="majorBidi" w:eastAsia="Calibri" w:hAnsiTheme="majorBidi" w:cstheme="majorBidi"/>
                <w:b/>
                <w:bCs/>
              </w:rPr>
              <w:t xml:space="preserve">Overall </w:t>
            </w:r>
          </w:p>
        </w:tc>
        <w:tc>
          <w:tcPr>
            <w:tcW w:w="1445" w:type="dxa"/>
            <w:tcBorders>
              <w:top w:val="single" w:sz="4" w:space="0" w:color="auto"/>
              <w:bottom w:val="single" w:sz="4" w:space="0" w:color="auto"/>
            </w:tcBorders>
            <w:shd w:val="clear" w:color="auto" w:fill="DBE5F1" w:themeFill="accent1" w:themeFillTint="33"/>
            <w:hideMark/>
          </w:tcPr>
          <w:p w14:paraId="40B2BBE2" w14:textId="77777777"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 xml:space="preserve">Character </w:t>
            </w:r>
          </w:p>
        </w:tc>
      </w:tr>
      <w:tr w:rsidR="006A202F" w:rsidRPr="0093794A" w14:paraId="474F1656" w14:textId="77777777" w:rsidTr="00B451A1">
        <w:tc>
          <w:tcPr>
            <w:tcW w:w="1701" w:type="dxa"/>
            <w:tcBorders>
              <w:top w:val="single" w:sz="4" w:space="0" w:color="auto"/>
            </w:tcBorders>
          </w:tcPr>
          <w:p w14:paraId="2E97CA28" w14:textId="77777777"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0.001*</w:t>
            </w:r>
          </w:p>
        </w:tc>
        <w:tc>
          <w:tcPr>
            <w:tcW w:w="2083" w:type="dxa"/>
            <w:tcBorders>
              <w:top w:val="single" w:sz="4" w:space="0" w:color="auto"/>
            </w:tcBorders>
          </w:tcPr>
          <w:p w14:paraId="10333009" w14:textId="77777777"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1.54 ± 0.38</w:t>
            </w:r>
          </w:p>
        </w:tc>
        <w:tc>
          <w:tcPr>
            <w:tcW w:w="2288" w:type="dxa"/>
            <w:tcBorders>
              <w:top w:val="single" w:sz="4" w:space="0" w:color="auto"/>
            </w:tcBorders>
          </w:tcPr>
          <w:p w14:paraId="16C67209" w14:textId="77777777"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1.18 ± 0.44</w:t>
            </w:r>
          </w:p>
        </w:tc>
        <w:tc>
          <w:tcPr>
            <w:tcW w:w="1878" w:type="dxa"/>
            <w:tcBorders>
              <w:top w:val="single" w:sz="4" w:space="0" w:color="auto"/>
            </w:tcBorders>
          </w:tcPr>
          <w:p w14:paraId="56116F8D" w14:textId="77777777" w:rsidR="006A202F" w:rsidRPr="003D38BF" w:rsidRDefault="006A202F" w:rsidP="00BE77E5">
            <w:pPr>
              <w:bidi w:val="0"/>
              <w:spacing w:after="200" w:line="360" w:lineRule="auto"/>
              <w:jc w:val="both"/>
              <w:rPr>
                <w:rFonts w:asciiTheme="majorBidi" w:eastAsia="Calibri" w:hAnsiTheme="majorBidi" w:cstheme="majorBidi"/>
                <w:b/>
                <w:bCs/>
              </w:rPr>
            </w:pPr>
            <w:r w:rsidRPr="003D38BF">
              <w:rPr>
                <w:rFonts w:asciiTheme="majorBidi" w:eastAsia="Calibri" w:hAnsiTheme="majorBidi" w:cstheme="majorBidi"/>
                <w:b/>
                <w:bCs/>
              </w:rPr>
              <w:t>1.24 ± 0.45</w:t>
            </w:r>
          </w:p>
        </w:tc>
        <w:tc>
          <w:tcPr>
            <w:tcW w:w="1445" w:type="dxa"/>
            <w:tcBorders>
              <w:top w:val="single" w:sz="4" w:space="0" w:color="auto"/>
            </w:tcBorders>
            <w:shd w:val="clear" w:color="auto" w:fill="DBE5F1" w:themeFill="accent1" w:themeFillTint="33"/>
            <w:hideMark/>
          </w:tcPr>
          <w:p w14:paraId="75F15B79" w14:textId="77777777" w:rsidR="006A202F" w:rsidRPr="003D38BF" w:rsidRDefault="006A202F" w:rsidP="00BE77E5">
            <w:pPr>
              <w:bidi w:val="0"/>
              <w:spacing w:after="200" w:line="360" w:lineRule="auto"/>
              <w:jc w:val="both"/>
              <w:rPr>
                <w:rFonts w:asciiTheme="majorBidi" w:eastAsia="Calibri" w:hAnsiTheme="majorBidi" w:cstheme="majorBidi"/>
                <w:b/>
                <w:bCs/>
              </w:rPr>
            </w:pPr>
            <w:r w:rsidRPr="003D38BF">
              <w:rPr>
                <w:rFonts w:asciiTheme="majorBidi" w:eastAsia="Calibri" w:hAnsiTheme="majorBidi" w:cstheme="majorBidi"/>
                <w:b/>
                <w:bCs/>
              </w:rPr>
              <w:t xml:space="preserve">FIB-4  </w:t>
            </w:r>
          </w:p>
        </w:tc>
      </w:tr>
      <w:tr w:rsidR="006A202F" w:rsidRPr="0093794A" w14:paraId="5A2EB0DC" w14:textId="77777777" w:rsidTr="00B451A1">
        <w:tc>
          <w:tcPr>
            <w:tcW w:w="1701" w:type="dxa"/>
            <w:tcBorders>
              <w:bottom w:val="single" w:sz="4" w:space="0" w:color="auto"/>
            </w:tcBorders>
          </w:tcPr>
          <w:p w14:paraId="4018B1F1" w14:textId="77777777"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0.942</w:t>
            </w:r>
          </w:p>
        </w:tc>
        <w:tc>
          <w:tcPr>
            <w:tcW w:w="2083" w:type="dxa"/>
            <w:tcBorders>
              <w:bottom w:val="single" w:sz="4" w:space="0" w:color="auto"/>
            </w:tcBorders>
          </w:tcPr>
          <w:p w14:paraId="0E6F3615" w14:textId="4408AF37"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-5.47(-9.</w:t>
            </w:r>
            <w:r w:rsidR="00B451A1" w:rsidRPr="003D38BF">
              <w:rPr>
                <w:rFonts w:asciiTheme="majorBidi" w:eastAsia="Calibri" w:hAnsiTheme="majorBidi" w:cstheme="majorBidi"/>
                <w:b/>
                <w:bCs/>
              </w:rPr>
              <w:t>55, -</w:t>
            </w:r>
            <w:r w:rsidRPr="003D38BF">
              <w:rPr>
                <w:rFonts w:asciiTheme="majorBidi" w:eastAsia="Calibri" w:hAnsiTheme="majorBidi" w:cstheme="majorBidi"/>
                <w:b/>
                <w:bCs/>
              </w:rPr>
              <w:t>.96)</w:t>
            </w:r>
          </w:p>
        </w:tc>
        <w:tc>
          <w:tcPr>
            <w:tcW w:w="2288" w:type="dxa"/>
            <w:tcBorders>
              <w:bottom w:val="single" w:sz="4" w:space="0" w:color="auto"/>
            </w:tcBorders>
          </w:tcPr>
          <w:p w14:paraId="5B7A7AB3" w14:textId="6BBCD5F4" w:rsidR="006A202F" w:rsidRPr="003D38BF" w:rsidRDefault="006A202F" w:rsidP="00BE77E5">
            <w:pPr>
              <w:bidi w:val="0"/>
              <w:spacing w:after="200" w:line="360" w:lineRule="auto"/>
              <w:jc w:val="both"/>
              <w:rPr>
                <w:rFonts w:asciiTheme="majorBidi" w:eastAsia="Calibri" w:hAnsiTheme="majorBidi" w:cstheme="majorBidi"/>
                <w:b/>
                <w:bCs/>
                <w:rtl/>
              </w:rPr>
            </w:pPr>
            <w:r w:rsidRPr="003D38BF">
              <w:rPr>
                <w:rFonts w:asciiTheme="majorBidi" w:eastAsia="Calibri" w:hAnsiTheme="majorBidi" w:cstheme="majorBidi"/>
                <w:b/>
                <w:bCs/>
              </w:rPr>
              <w:t>-6.43(-7.</w:t>
            </w:r>
            <w:r w:rsidR="00B451A1" w:rsidRPr="003D38BF">
              <w:rPr>
                <w:rFonts w:asciiTheme="majorBidi" w:eastAsia="Calibri" w:hAnsiTheme="majorBidi" w:cstheme="majorBidi"/>
                <w:b/>
                <w:bCs/>
              </w:rPr>
              <w:t>35, -</w:t>
            </w:r>
            <w:r w:rsidRPr="003D38BF">
              <w:rPr>
                <w:rFonts w:asciiTheme="majorBidi" w:eastAsia="Calibri" w:hAnsiTheme="majorBidi" w:cstheme="majorBidi"/>
                <w:b/>
                <w:bCs/>
              </w:rPr>
              <w:t>4.75)</w:t>
            </w:r>
          </w:p>
        </w:tc>
        <w:tc>
          <w:tcPr>
            <w:tcW w:w="1878" w:type="dxa"/>
            <w:tcBorders>
              <w:bottom w:val="single" w:sz="4" w:space="0" w:color="auto"/>
            </w:tcBorders>
          </w:tcPr>
          <w:p w14:paraId="04C21247" w14:textId="77777777" w:rsidR="006A202F" w:rsidRPr="003D38BF" w:rsidRDefault="006A202F" w:rsidP="00BE77E5">
            <w:pPr>
              <w:bidi w:val="0"/>
              <w:spacing w:after="200" w:line="360" w:lineRule="auto"/>
              <w:jc w:val="both"/>
              <w:rPr>
                <w:rFonts w:asciiTheme="majorBidi" w:eastAsia="Calibri" w:hAnsiTheme="majorBidi" w:cstheme="majorBidi"/>
                <w:b/>
                <w:bCs/>
              </w:rPr>
            </w:pPr>
            <w:r w:rsidRPr="003D38BF">
              <w:rPr>
                <w:rFonts w:asciiTheme="majorBidi" w:eastAsia="Calibri" w:hAnsiTheme="majorBidi" w:cstheme="majorBidi"/>
                <w:b/>
                <w:bCs/>
              </w:rPr>
              <w:t>-6.43 (-7.35, -3.69)</w:t>
            </w:r>
          </w:p>
        </w:tc>
        <w:tc>
          <w:tcPr>
            <w:tcW w:w="1445" w:type="dxa"/>
            <w:tcBorders>
              <w:bottom w:val="single" w:sz="4" w:space="0" w:color="auto"/>
            </w:tcBorders>
            <w:shd w:val="clear" w:color="auto" w:fill="DBE5F1" w:themeFill="accent1" w:themeFillTint="33"/>
            <w:hideMark/>
          </w:tcPr>
          <w:p w14:paraId="2443DAD4" w14:textId="77777777" w:rsidR="006A202F" w:rsidRPr="003D38BF" w:rsidRDefault="006A202F" w:rsidP="00BE77E5">
            <w:pPr>
              <w:bidi w:val="0"/>
              <w:spacing w:after="200" w:line="360" w:lineRule="auto"/>
              <w:jc w:val="both"/>
              <w:rPr>
                <w:rFonts w:asciiTheme="majorBidi" w:eastAsia="Calibri" w:hAnsiTheme="majorBidi" w:cstheme="majorBidi"/>
                <w:b/>
                <w:bCs/>
              </w:rPr>
            </w:pPr>
            <w:r w:rsidRPr="003D38BF">
              <w:rPr>
                <w:rFonts w:asciiTheme="majorBidi" w:eastAsia="Calibri" w:hAnsiTheme="majorBidi" w:cstheme="majorBidi"/>
                <w:b/>
                <w:bCs/>
              </w:rPr>
              <w:t xml:space="preserve">FIB-5  </w:t>
            </w:r>
          </w:p>
        </w:tc>
      </w:tr>
    </w:tbl>
    <w:p w14:paraId="473679FD" w14:textId="77777777" w:rsidR="00BF68C1" w:rsidRPr="00BB0C2D" w:rsidRDefault="00BF68C1" w:rsidP="00BF68C1">
      <w:pPr>
        <w:bidi w:val="0"/>
        <w:spacing w:after="16" w:line="360" w:lineRule="auto"/>
        <w:jc w:val="both"/>
        <w:rPr>
          <w:rFonts w:asciiTheme="majorBidi" w:eastAsia="Calibri" w:hAnsiTheme="majorBidi" w:cstheme="majorBidi"/>
          <w:sz w:val="24"/>
          <w:szCs w:val="24"/>
        </w:rPr>
      </w:pPr>
    </w:p>
    <w:p w14:paraId="2C44F47F" w14:textId="1F319ACF" w:rsidR="000205F8"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The </w:t>
      </w:r>
      <w:r w:rsidR="00B7476C" w:rsidRPr="00BB0C2D">
        <w:rPr>
          <w:rFonts w:asciiTheme="majorBidi" w:eastAsia="Calibri" w:hAnsiTheme="majorBidi" w:cstheme="majorBidi"/>
          <w:sz w:val="24"/>
          <w:szCs w:val="24"/>
        </w:rPr>
        <w:t>cut-off</w:t>
      </w:r>
      <w:r w:rsidRPr="00BB0C2D">
        <w:rPr>
          <w:rFonts w:asciiTheme="majorBidi" w:eastAsia="Calibri" w:hAnsiTheme="majorBidi" w:cstheme="majorBidi"/>
          <w:sz w:val="24"/>
          <w:szCs w:val="24"/>
        </w:rPr>
        <w:t xml:space="preserve"> point for FIB-4 is 1.37</w:t>
      </w:r>
      <w:r w:rsidR="00B7476C"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t>
      </w:r>
      <w:r w:rsidR="008717CE" w:rsidRPr="008717CE">
        <w:rPr>
          <w:rFonts w:asciiTheme="majorBidi" w:eastAsia="Calibri" w:hAnsiTheme="majorBidi" w:cstheme="majorBidi"/>
          <w:sz w:val="24"/>
          <w:szCs w:val="24"/>
        </w:rPr>
        <w:t xml:space="preserve">with a sensitivity of 75%, specificity of 65.9%, PPV of 39.6%, NPV of 88.9%, and AUROC 0.714, </w:t>
      </w:r>
      <w:r w:rsidRPr="00BB0C2D">
        <w:rPr>
          <w:rFonts w:asciiTheme="majorBidi" w:eastAsia="Calibri" w:hAnsiTheme="majorBidi" w:cstheme="majorBidi"/>
          <w:sz w:val="24"/>
          <w:szCs w:val="24"/>
        </w:rPr>
        <w:t xml:space="preserve">considered </w:t>
      </w:r>
      <w:r w:rsidR="00B7476C" w:rsidRPr="00BB0C2D">
        <w:rPr>
          <w:rFonts w:asciiTheme="majorBidi" w:eastAsia="Calibri" w:hAnsiTheme="majorBidi" w:cstheme="majorBidi"/>
          <w:sz w:val="24"/>
          <w:szCs w:val="24"/>
        </w:rPr>
        <w:t>a proper</w:t>
      </w:r>
      <w:r w:rsidRPr="00BB0C2D">
        <w:rPr>
          <w:rFonts w:asciiTheme="majorBidi" w:eastAsia="Calibri" w:hAnsiTheme="majorBidi" w:cstheme="majorBidi"/>
          <w:sz w:val="24"/>
          <w:szCs w:val="24"/>
        </w:rPr>
        <w:t xml:space="preserve"> diagnostic tool</w:t>
      </w:r>
      <w:r w:rsidR="00170E9D" w:rsidRPr="00BB0C2D">
        <w:rPr>
          <w:rFonts w:asciiTheme="majorBidi" w:eastAsia="Calibri" w:hAnsiTheme="majorBidi" w:cstheme="majorBidi"/>
          <w:sz w:val="24"/>
          <w:szCs w:val="24"/>
        </w:rPr>
        <w:t xml:space="preserve"> for </w:t>
      </w:r>
      <w:r w:rsidR="00B7476C" w:rsidRPr="00BB0C2D">
        <w:rPr>
          <w:rFonts w:asciiTheme="majorBidi" w:eastAsia="Calibri" w:hAnsiTheme="majorBidi" w:cstheme="majorBidi"/>
          <w:sz w:val="24"/>
          <w:szCs w:val="24"/>
        </w:rPr>
        <w:t xml:space="preserve">the </w:t>
      </w:r>
      <w:r w:rsidR="00170E9D" w:rsidRPr="00BB0C2D">
        <w:rPr>
          <w:rFonts w:asciiTheme="majorBidi" w:eastAsia="Calibri" w:hAnsiTheme="majorBidi" w:cstheme="majorBidi"/>
          <w:sz w:val="24"/>
          <w:szCs w:val="24"/>
        </w:rPr>
        <w:t>diagnosis of advanced fibrosis</w:t>
      </w:r>
      <w:r w:rsidR="00D73E93" w:rsidRPr="00BB0C2D">
        <w:rPr>
          <w:rFonts w:asciiTheme="majorBidi" w:eastAsia="Calibri" w:hAnsiTheme="majorBidi" w:cstheme="majorBidi"/>
          <w:sz w:val="24"/>
          <w:szCs w:val="24"/>
        </w:rPr>
        <w:t xml:space="preserve"> (fig 2)</w:t>
      </w:r>
      <w:r w:rsidR="00F832C8">
        <w:rPr>
          <w:rFonts w:asciiTheme="majorBidi" w:eastAsia="Calibri" w:hAnsiTheme="majorBidi" w:cstheme="majorBidi"/>
          <w:sz w:val="24"/>
          <w:szCs w:val="24"/>
        </w:rPr>
        <w:t>.</w:t>
      </w:r>
    </w:p>
    <w:p w14:paraId="5517D9D5" w14:textId="77777777" w:rsidR="000205F8" w:rsidRDefault="000205F8" w:rsidP="000205F8">
      <w:pPr>
        <w:keepNext/>
        <w:bidi w:val="0"/>
        <w:spacing w:after="16" w:line="360" w:lineRule="auto"/>
        <w:jc w:val="both"/>
      </w:pPr>
      <w:r>
        <w:rPr>
          <w:noProof/>
        </w:rPr>
        <w:drawing>
          <wp:inline distT="0" distB="0" distL="0" distR="0" wp14:anchorId="44783385" wp14:editId="525D4E08">
            <wp:extent cx="5270500" cy="4209415"/>
            <wp:effectExtent l="0" t="0" r="6350" b="635"/>
            <wp:docPr id="8" name="Picture 8" descr="C:\Users\win8\Downloads\fig.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fig. 2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0500" cy="4209415"/>
                    </a:xfrm>
                    <a:prstGeom prst="rect">
                      <a:avLst/>
                    </a:prstGeom>
                    <a:noFill/>
                    <a:ln>
                      <a:noFill/>
                    </a:ln>
                  </pic:spPr>
                </pic:pic>
              </a:graphicData>
            </a:graphic>
          </wp:inline>
        </w:drawing>
      </w:r>
    </w:p>
    <w:p w14:paraId="638686C1" w14:textId="760B28CD" w:rsidR="000205F8" w:rsidRDefault="000205F8" w:rsidP="000205F8">
      <w:pPr>
        <w:pStyle w:val="Caption"/>
        <w:bidi w:val="0"/>
        <w:jc w:val="both"/>
        <w:rPr>
          <w:rFonts w:asciiTheme="majorBidi" w:eastAsia="Calibri" w:hAnsiTheme="majorBidi" w:cstheme="majorBidi"/>
          <w:sz w:val="24"/>
          <w:szCs w:val="24"/>
        </w:rPr>
      </w:pPr>
      <w:r>
        <w:t xml:space="preserve">Fig </w:t>
      </w:r>
      <w:fldSimple w:instr=" SEQ Figure \* ARABIC ">
        <w:r w:rsidR="003A33F5">
          <w:rPr>
            <w:noProof/>
          </w:rPr>
          <w:t>2</w:t>
        </w:r>
      </w:fldSimple>
      <w:r>
        <w:t xml:space="preserve">: </w:t>
      </w:r>
      <w:r w:rsidRPr="000205F8">
        <w:t>ROC curve for FIB-4</w:t>
      </w:r>
    </w:p>
    <w:p w14:paraId="6705CB27" w14:textId="1845C013" w:rsidR="00A16393" w:rsidRDefault="00892D1F" w:rsidP="003A33F5">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The cut off point for FIB-5 is -3.96, it had sensitivity 42.9</w:t>
      </w:r>
      <w:r w:rsidR="00DE05B0" w:rsidRPr="00BB0C2D">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 specificity 77.3</w:t>
      </w:r>
      <w:r w:rsidR="00DE05B0"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PPV 37.5%, NPV 81.0% and AUROC of 0.523 which considered failed as diagnostic tool</w:t>
      </w:r>
      <w:r w:rsidR="00D73E93" w:rsidRPr="00BB0C2D">
        <w:rPr>
          <w:rFonts w:asciiTheme="majorBidi" w:eastAsia="Calibri" w:hAnsiTheme="majorBidi" w:cstheme="majorBidi"/>
          <w:sz w:val="24"/>
          <w:szCs w:val="24"/>
        </w:rPr>
        <w:t xml:space="preserve"> (fig</w:t>
      </w:r>
      <w:r w:rsidR="00256CE5">
        <w:rPr>
          <w:rFonts w:asciiTheme="majorBidi" w:eastAsia="Calibri" w:hAnsiTheme="majorBidi" w:cstheme="majorBidi"/>
          <w:sz w:val="24"/>
          <w:szCs w:val="24"/>
        </w:rPr>
        <w:t>.</w:t>
      </w:r>
      <w:r w:rsidR="00D73E93" w:rsidRPr="00BB0C2D">
        <w:rPr>
          <w:rFonts w:asciiTheme="majorBidi" w:eastAsia="Calibri" w:hAnsiTheme="majorBidi" w:cstheme="majorBidi"/>
          <w:sz w:val="24"/>
          <w:szCs w:val="24"/>
        </w:rPr>
        <w:t xml:space="preserve"> 3)</w:t>
      </w:r>
      <w:r w:rsidRPr="00BB0C2D">
        <w:rPr>
          <w:rFonts w:asciiTheme="majorBidi" w:eastAsia="Calibri" w:hAnsiTheme="majorBidi" w:cstheme="majorBidi"/>
          <w:sz w:val="24"/>
          <w:szCs w:val="24"/>
        </w:rPr>
        <w:t xml:space="preserve"> </w:t>
      </w:r>
      <w:r w:rsidR="0056457E" w:rsidRPr="00BB0C2D">
        <w:rPr>
          <w:rFonts w:asciiTheme="majorBidi" w:eastAsia="Calibri" w:hAnsiTheme="majorBidi" w:cstheme="majorBidi"/>
          <w:sz w:val="24"/>
          <w:szCs w:val="24"/>
        </w:rPr>
        <w:t>(T</w:t>
      </w:r>
      <w:r w:rsidR="00A73CA4" w:rsidRPr="00BB0C2D">
        <w:rPr>
          <w:rFonts w:asciiTheme="majorBidi" w:eastAsia="Calibri" w:hAnsiTheme="majorBidi" w:cstheme="majorBidi"/>
          <w:sz w:val="24"/>
          <w:szCs w:val="24"/>
        </w:rPr>
        <w:t>ab 6</w:t>
      </w:r>
      <w:r w:rsidR="000A1E1F" w:rsidRPr="00BB0C2D">
        <w:rPr>
          <w:rFonts w:asciiTheme="majorBidi" w:eastAsia="Calibri" w:hAnsiTheme="majorBidi" w:cstheme="majorBidi"/>
          <w:sz w:val="24"/>
          <w:szCs w:val="24"/>
        </w:rPr>
        <w:t>).</w:t>
      </w:r>
    </w:p>
    <w:p w14:paraId="556BC291" w14:textId="17A5838B" w:rsidR="00B160C8" w:rsidRPr="00B160C8" w:rsidRDefault="00B160C8" w:rsidP="00B160C8">
      <w:pPr>
        <w:pStyle w:val="Caption"/>
        <w:keepNext/>
        <w:bidi w:val="0"/>
        <w:rPr>
          <w:sz w:val="22"/>
          <w:szCs w:val="22"/>
        </w:rPr>
      </w:pPr>
      <w:r w:rsidRPr="00B160C8">
        <w:rPr>
          <w:sz w:val="22"/>
          <w:szCs w:val="22"/>
        </w:rPr>
        <w:t xml:space="preserve">Table 6: Diagnostic characteristics of FIB-4 and FIB-5 </w:t>
      </w:r>
      <w:r>
        <w:rPr>
          <w:sz w:val="22"/>
          <w:szCs w:val="22"/>
        </w:rPr>
        <w:t>scores</w:t>
      </w:r>
      <w:r w:rsidRPr="00B160C8">
        <w:rPr>
          <w:sz w:val="22"/>
          <w:szCs w:val="22"/>
        </w:rPr>
        <w:t xml:space="preserve"> of patients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240"/>
        <w:gridCol w:w="2874"/>
      </w:tblGrid>
      <w:tr w:rsidR="00A64EC7" w:rsidRPr="00A64EC7" w14:paraId="7D122BDA" w14:textId="77777777" w:rsidTr="00B160C8">
        <w:tc>
          <w:tcPr>
            <w:tcW w:w="3192" w:type="dxa"/>
            <w:tcBorders>
              <w:top w:val="single" w:sz="4" w:space="0" w:color="auto"/>
              <w:bottom w:val="single" w:sz="4" w:space="0" w:color="auto"/>
            </w:tcBorders>
            <w:shd w:val="clear" w:color="auto" w:fill="DBE5F1" w:themeFill="accent1" w:themeFillTint="33"/>
          </w:tcPr>
          <w:p w14:paraId="26EB6041"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 xml:space="preserve">Score </w:t>
            </w:r>
          </w:p>
        </w:tc>
        <w:tc>
          <w:tcPr>
            <w:tcW w:w="2240" w:type="dxa"/>
            <w:tcBorders>
              <w:top w:val="single" w:sz="4" w:space="0" w:color="auto"/>
              <w:bottom w:val="single" w:sz="4" w:space="0" w:color="auto"/>
            </w:tcBorders>
            <w:shd w:val="clear" w:color="auto" w:fill="DBE5F1" w:themeFill="accent1" w:themeFillTint="33"/>
          </w:tcPr>
          <w:p w14:paraId="2ED86E9D" w14:textId="77777777" w:rsidR="00A64EC7" w:rsidRPr="00A64EC7" w:rsidRDefault="00A64EC7" w:rsidP="00BE77E5">
            <w:pPr>
              <w:bidi w:val="0"/>
              <w:spacing w:after="200" w:line="360" w:lineRule="auto"/>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FIB-4 score</w:t>
            </w:r>
          </w:p>
        </w:tc>
        <w:tc>
          <w:tcPr>
            <w:tcW w:w="2874" w:type="dxa"/>
            <w:tcBorders>
              <w:top w:val="single" w:sz="4" w:space="0" w:color="auto"/>
              <w:bottom w:val="single" w:sz="4" w:space="0" w:color="auto"/>
            </w:tcBorders>
            <w:shd w:val="clear" w:color="auto" w:fill="DBE5F1" w:themeFill="accent1" w:themeFillTint="33"/>
          </w:tcPr>
          <w:p w14:paraId="40183E13"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FIB-5 score</w:t>
            </w:r>
          </w:p>
        </w:tc>
      </w:tr>
      <w:tr w:rsidR="00A64EC7" w:rsidRPr="00A64EC7" w14:paraId="40453447" w14:textId="77777777" w:rsidTr="00B160C8">
        <w:tc>
          <w:tcPr>
            <w:tcW w:w="3192" w:type="dxa"/>
            <w:tcBorders>
              <w:top w:val="single" w:sz="4" w:space="0" w:color="auto"/>
            </w:tcBorders>
            <w:shd w:val="clear" w:color="auto" w:fill="DBE5F1" w:themeFill="accent1" w:themeFillTint="33"/>
          </w:tcPr>
          <w:p w14:paraId="3D2938F1"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Cut- off</w:t>
            </w:r>
            <w:r w:rsidRPr="00A64EC7">
              <w:rPr>
                <w:rFonts w:ascii="Times New Roman" w:eastAsia="Calibri" w:hAnsi="Times New Roman" w:cs="Times New Roman"/>
                <w:sz w:val="24"/>
                <w:szCs w:val="24"/>
              </w:rPr>
              <w:t xml:space="preserve"> (kPa)</w:t>
            </w:r>
          </w:p>
        </w:tc>
        <w:tc>
          <w:tcPr>
            <w:tcW w:w="2240" w:type="dxa"/>
            <w:tcBorders>
              <w:top w:val="single" w:sz="4" w:space="0" w:color="auto"/>
            </w:tcBorders>
          </w:tcPr>
          <w:p w14:paraId="717A3B02"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1.37</w:t>
            </w:r>
          </w:p>
        </w:tc>
        <w:tc>
          <w:tcPr>
            <w:tcW w:w="2874" w:type="dxa"/>
            <w:tcBorders>
              <w:top w:val="single" w:sz="4" w:space="0" w:color="auto"/>
            </w:tcBorders>
          </w:tcPr>
          <w:p w14:paraId="7936A42C"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-3.96</w:t>
            </w:r>
          </w:p>
        </w:tc>
      </w:tr>
      <w:tr w:rsidR="00A64EC7" w:rsidRPr="00A64EC7" w14:paraId="5ABBDDF0" w14:textId="77777777" w:rsidTr="00B160C8">
        <w:tc>
          <w:tcPr>
            <w:tcW w:w="3192" w:type="dxa"/>
            <w:shd w:val="clear" w:color="auto" w:fill="DBE5F1" w:themeFill="accent1" w:themeFillTint="33"/>
          </w:tcPr>
          <w:p w14:paraId="39F37138"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Sensitivity</w:t>
            </w:r>
          </w:p>
        </w:tc>
        <w:tc>
          <w:tcPr>
            <w:tcW w:w="2240" w:type="dxa"/>
          </w:tcPr>
          <w:p w14:paraId="4B4B3AA0"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75%</w:t>
            </w:r>
          </w:p>
        </w:tc>
        <w:tc>
          <w:tcPr>
            <w:tcW w:w="2874" w:type="dxa"/>
          </w:tcPr>
          <w:p w14:paraId="2014D854"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42.9%</w:t>
            </w:r>
          </w:p>
        </w:tc>
      </w:tr>
      <w:tr w:rsidR="00A64EC7" w:rsidRPr="00A64EC7" w14:paraId="75CA6D70" w14:textId="77777777" w:rsidTr="00B160C8">
        <w:tc>
          <w:tcPr>
            <w:tcW w:w="3192" w:type="dxa"/>
            <w:tcBorders>
              <w:bottom w:val="single" w:sz="4" w:space="0" w:color="auto"/>
            </w:tcBorders>
            <w:shd w:val="clear" w:color="auto" w:fill="DBE5F1" w:themeFill="accent1" w:themeFillTint="33"/>
          </w:tcPr>
          <w:p w14:paraId="743E2EB4"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Specificity</w:t>
            </w:r>
          </w:p>
        </w:tc>
        <w:tc>
          <w:tcPr>
            <w:tcW w:w="2240" w:type="dxa"/>
            <w:tcBorders>
              <w:bottom w:val="single" w:sz="4" w:space="0" w:color="auto"/>
            </w:tcBorders>
          </w:tcPr>
          <w:p w14:paraId="1092AC86"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65.9%</w:t>
            </w:r>
          </w:p>
        </w:tc>
        <w:tc>
          <w:tcPr>
            <w:tcW w:w="2874" w:type="dxa"/>
            <w:tcBorders>
              <w:bottom w:val="single" w:sz="4" w:space="0" w:color="auto"/>
            </w:tcBorders>
          </w:tcPr>
          <w:p w14:paraId="65F15157"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77.3%</w:t>
            </w:r>
          </w:p>
        </w:tc>
      </w:tr>
      <w:tr w:rsidR="00A64EC7" w:rsidRPr="00A64EC7" w14:paraId="1B8CB755" w14:textId="77777777" w:rsidTr="00B160C8">
        <w:tc>
          <w:tcPr>
            <w:tcW w:w="3192" w:type="dxa"/>
            <w:tcBorders>
              <w:top w:val="single" w:sz="4" w:space="0" w:color="auto"/>
              <w:bottom w:val="single" w:sz="4" w:space="0" w:color="auto"/>
            </w:tcBorders>
            <w:shd w:val="clear" w:color="auto" w:fill="DBE5F1" w:themeFill="accent1" w:themeFillTint="33"/>
          </w:tcPr>
          <w:p w14:paraId="71D56509" w14:textId="77777777" w:rsidR="00A64EC7" w:rsidRPr="00A64EC7" w:rsidRDefault="00A64EC7" w:rsidP="00BE77E5">
            <w:pPr>
              <w:bidi w:val="0"/>
              <w:spacing w:after="200" w:line="360" w:lineRule="auto"/>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AUROC (confidence interval or CI)</w:t>
            </w:r>
          </w:p>
        </w:tc>
        <w:tc>
          <w:tcPr>
            <w:tcW w:w="2240" w:type="dxa"/>
            <w:tcBorders>
              <w:top w:val="single" w:sz="4" w:space="0" w:color="auto"/>
              <w:bottom w:val="single" w:sz="4" w:space="0" w:color="auto"/>
            </w:tcBorders>
          </w:tcPr>
          <w:p w14:paraId="2291F425" w14:textId="77777777" w:rsidR="00A64EC7" w:rsidRPr="00A64EC7" w:rsidRDefault="00A64EC7" w:rsidP="00BE77E5">
            <w:pPr>
              <w:bidi w:val="0"/>
              <w:spacing w:after="200" w:line="360" w:lineRule="auto"/>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0.714(0.612-.815)</w:t>
            </w:r>
          </w:p>
        </w:tc>
        <w:tc>
          <w:tcPr>
            <w:tcW w:w="2874" w:type="dxa"/>
            <w:tcBorders>
              <w:top w:val="single" w:sz="4" w:space="0" w:color="auto"/>
              <w:bottom w:val="single" w:sz="4" w:space="0" w:color="auto"/>
            </w:tcBorders>
          </w:tcPr>
          <w:p w14:paraId="544FFC3E" w14:textId="77777777" w:rsidR="00A64EC7" w:rsidRPr="00A64EC7" w:rsidRDefault="00A64EC7" w:rsidP="00BE77E5">
            <w:pPr>
              <w:bidi w:val="0"/>
              <w:spacing w:after="200" w:line="360" w:lineRule="auto"/>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0.523 (0.391- 0.655)</w:t>
            </w:r>
          </w:p>
        </w:tc>
      </w:tr>
      <w:tr w:rsidR="00A64EC7" w:rsidRPr="00A64EC7" w14:paraId="13B40154" w14:textId="77777777" w:rsidTr="00B160C8">
        <w:tc>
          <w:tcPr>
            <w:tcW w:w="3192" w:type="dxa"/>
            <w:tcBorders>
              <w:top w:val="single" w:sz="4" w:space="0" w:color="auto"/>
            </w:tcBorders>
            <w:shd w:val="clear" w:color="auto" w:fill="DBE5F1" w:themeFill="accent1" w:themeFillTint="33"/>
          </w:tcPr>
          <w:p w14:paraId="0062056F" w14:textId="77777777" w:rsidR="00A64EC7" w:rsidRPr="00A64EC7" w:rsidRDefault="00A64EC7" w:rsidP="00BE77E5">
            <w:pPr>
              <w:bidi w:val="0"/>
              <w:spacing w:after="200" w:line="360" w:lineRule="auto"/>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Positive predictive value</w:t>
            </w:r>
          </w:p>
        </w:tc>
        <w:tc>
          <w:tcPr>
            <w:tcW w:w="2240" w:type="dxa"/>
            <w:tcBorders>
              <w:top w:val="single" w:sz="4" w:space="0" w:color="auto"/>
            </w:tcBorders>
          </w:tcPr>
          <w:p w14:paraId="4B7726BA"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39.6%</w:t>
            </w:r>
          </w:p>
        </w:tc>
        <w:tc>
          <w:tcPr>
            <w:tcW w:w="2874" w:type="dxa"/>
            <w:tcBorders>
              <w:top w:val="single" w:sz="4" w:space="0" w:color="auto"/>
            </w:tcBorders>
          </w:tcPr>
          <w:p w14:paraId="35157847"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37.5%</w:t>
            </w:r>
          </w:p>
        </w:tc>
      </w:tr>
      <w:tr w:rsidR="00A64EC7" w:rsidRPr="00A64EC7" w14:paraId="5C0FE8B3" w14:textId="77777777" w:rsidTr="00B160C8">
        <w:tc>
          <w:tcPr>
            <w:tcW w:w="3192" w:type="dxa"/>
            <w:tcBorders>
              <w:bottom w:val="single" w:sz="4" w:space="0" w:color="auto"/>
            </w:tcBorders>
            <w:shd w:val="clear" w:color="auto" w:fill="DBE5F1" w:themeFill="accent1" w:themeFillTint="33"/>
          </w:tcPr>
          <w:p w14:paraId="7BA3BC91" w14:textId="77777777" w:rsidR="00A64EC7" w:rsidRPr="00A64EC7" w:rsidRDefault="00A64EC7" w:rsidP="00BE77E5">
            <w:pPr>
              <w:bidi w:val="0"/>
              <w:spacing w:after="200" w:line="360" w:lineRule="auto"/>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Negative predictive value</w:t>
            </w:r>
          </w:p>
        </w:tc>
        <w:tc>
          <w:tcPr>
            <w:tcW w:w="2240" w:type="dxa"/>
            <w:tcBorders>
              <w:bottom w:val="single" w:sz="4" w:space="0" w:color="auto"/>
            </w:tcBorders>
          </w:tcPr>
          <w:p w14:paraId="53860AB3" w14:textId="77777777" w:rsidR="00A64EC7" w:rsidRPr="00A64EC7" w:rsidRDefault="00A64EC7" w:rsidP="00BE77E5">
            <w:pPr>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88.9%</w:t>
            </w:r>
          </w:p>
        </w:tc>
        <w:tc>
          <w:tcPr>
            <w:tcW w:w="2874" w:type="dxa"/>
            <w:tcBorders>
              <w:bottom w:val="single" w:sz="4" w:space="0" w:color="auto"/>
            </w:tcBorders>
          </w:tcPr>
          <w:p w14:paraId="585550F7" w14:textId="77777777" w:rsidR="00A64EC7" w:rsidRPr="00A64EC7" w:rsidRDefault="00A64EC7" w:rsidP="00B160C8">
            <w:pPr>
              <w:keepNext/>
              <w:bidi w:val="0"/>
              <w:spacing w:after="200" w:line="360" w:lineRule="auto"/>
              <w:ind w:firstLine="720"/>
              <w:jc w:val="both"/>
              <w:rPr>
                <w:rFonts w:asciiTheme="majorBidi" w:eastAsia="Calibri" w:hAnsiTheme="majorBidi" w:cstheme="majorBidi"/>
                <w:b/>
                <w:bCs/>
                <w:sz w:val="24"/>
                <w:szCs w:val="24"/>
              </w:rPr>
            </w:pPr>
            <w:r w:rsidRPr="00A64EC7">
              <w:rPr>
                <w:rFonts w:asciiTheme="majorBidi" w:eastAsia="Calibri" w:hAnsiTheme="majorBidi" w:cstheme="majorBidi"/>
                <w:b/>
                <w:bCs/>
                <w:sz w:val="24"/>
                <w:szCs w:val="24"/>
              </w:rPr>
              <w:t>81.0%</w:t>
            </w:r>
          </w:p>
        </w:tc>
      </w:tr>
    </w:tbl>
    <w:p w14:paraId="06B9A954" w14:textId="04B0C232" w:rsidR="00A64EC7" w:rsidRDefault="00B160C8" w:rsidP="00B160C8">
      <w:pPr>
        <w:pStyle w:val="Caption"/>
        <w:bidi w:val="0"/>
        <w:rPr>
          <w:rFonts w:asciiTheme="majorBidi" w:eastAsia="Calibri" w:hAnsiTheme="majorBidi" w:cstheme="majorBidi"/>
          <w:sz w:val="24"/>
          <w:szCs w:val="24"/>
        </w:rPr>
      </w:pPr>
      <w:r w:rsidRPr="00B160C8">
        <w:t>AUROC: Area Under Receiver Operator characteristic</w:t>
      </w:r>
    </w:p>
    <w:p w14:paraId="2CE7731B" w14:textId="77777777" w:rsidR="003A33F5" w:rsidRDefault="003A33F5" w:rsidP="003A33F5">
      <w:pPr>
        <w:keepNext/>
        <w:bidi w:val="0"/>
        <w:spacing w:after="16" w:line="360" w:lineRule="auto"/>
        <w:jc w:val="both"/>
      </w:pPr>
      <w:r>
        <w:rPr>
          <w:noProof/>
        </w:rPr>
        <w:drawing>
          <wp:inline distT="0" distB="0" distL="0" distR="0" wp14:anchorId="6A09CE8A" wp14:editId="15457E32">
            <wp:extent cx="5270500" cy="4209415"/>
            <wp:effectExtent l="0" t="0" r="6350" b="635"/>
            <wp:docPr id="3" name="Picture 3" descr="C:\Users\win8\Downloads\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Downloads\fig. 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0500" cy="4209415"/>
                    </a:xfrm>
                    <a:prstGeom prst="rect">
                      <a:avLst/>
                    </a:prstGeom>
                    <a:noFill/>
                    <a:ln>
                      <a:noFill/>
                    </a:ln>
                  </pic:spPr>
                </pic:pic>
              </a:graphicData>
            </a:graphic>
          </wp:inline>
        </w:drawing>
      </w:r>
    </w:p>
    <w:p w14:paraId="38571585" w14:textId="7467F934" w:rsidR="003A33F5" w:rsidRPr="003A33F5" w:rsidRDefault="003A33F5" w:rsidP="003A33F5">
      <w:pPr>
        <w:pStyle w:val="Caption"/>
        <w:bidi w:val="0"/>
        <w:jc w:val="both"/>
      </w:pPr>
      <w:r>
        <w:t xml:space="preserve">Fig </w:t>
      </w:r>
      <w:fldSimple w:instr=" SEQ Figure \* ARABIC ">
        <w:r>
          <w:rPr>
            <w:noProof/>
          </w:rPr>
          <w:t>3</w:t>
        </w:r>
      </w:fldSimple>
      <w:r>
        <w:t>:</w:t>
      </w:r>
      <w:r w:rsidRPr="003A33F5">
        <w:t xml:space="preserve"> ROC curve for FIB-5</w:t>
      </w:r>
    </w:p>
    <w:p w14:paraId="644F841D" w14:textId="77777777" w:rsidR="00892D1F" w:rsidRPr="006D15CF" w:rsidRDefault="00892D1F" w:rsidP="00892D1F">
      <w:pPr>
        <w:autoSpaceDE w:val="0"/>
        <w:autoSpaceDN w:val="0"/>
        <w:bidi w:val="0"/>
        <w:adjustRightInd w:val="0"/>
        <w:spacing w:after="0" w:line="240" w:lineRule="auto"/>
        <w:rPr>
          <w:rFonts w:asciiTheme="majorBidi" w:eastAsia="Calibri" w:hAnsiTheme="majorBidi" w:cstheme="majorBidi"/>
          <w:b/>
          <w:bCs/>
          <w:sz w:val="28"/>
          <w:szCs w:val="28"/>
        </w:rPr>
      </w:pPr>
      <w:r w:rsidRPr="006D15CF">
        <w:rPr>
          <w:rFonts w:asciiTheme="majorBidi" w:eastAsia="Calibri" w:hAnsiTheme="majorBidi" w:cstheme="majorBidi"/>
          <w:b/>
          <w:bCs/>
          <w:sz w:val="28"/>
          <w:szCs w:val="28"/>
        </w:rPr>
        <w:t>Discussion</w:t>
      </w:r>
    </w:p>
    <w:p w14:paraId="71443B90" w14:textId="77777777" w:rsidR="00892D1F" w:rsidRPr="006D15CF" w:rsidRDefault="00892D1F" w:rsidP="00892D1F">
      <w:pPr>
        <w:autoSpaceDE w:val="0"/>
        <w:autoSpaceDN w:val="0"/>
        <w:bidi w:val="0"/>
        <w:adjustRightInd w:val="0"/>
        <w:spacing w:after="0" w:line="240" w:lineRule="auto"/>
        <w:jc w:val="center"/>
        <w:rPr>
          <w:rFonts w:asciiTheme="majorBidi" w:hAnsiTheme="majorBidi" w:cstheme="majorBidi"/>
          <w:sz w:val="28"/>
          <w:szCs w:val="28"/>
        </w:rPr>
      </w:pPr>
    </w:p>
    <w:p w14:paraId="61ADE458" w14:textId="5BF8EFB7" w:rsidR="00892D1F" w:rsidRPr="00BB0C2D"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In our study</w:t>
      </w:r>
      <w:r w:rsidR="00B7476C"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we compared the performance of biochemical scores</w:t>
      </w:r>
      <w:r w:rsidR="00B7476C"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including FIB-4 and FIB-5</w:t>
      </w:r>
      <w:r w:rsidR="00B7476C"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with fibroscan to </w:t>
      </w:r>
      <w:r w:rsidR="00542109" w:rsidRPr="00BB0C2D">
        <w:rPr>
          <w:rFonts w:asciiTheme="majorBidi" w:eastAsia="Calibri" w:hAnsiTheme="majorBidi" w:cstheme="majorBidi"/>
          <w:sz w:val="24"/>
          <w:szCs w:val="24"/>
        </w:rPr>
        <w:t>rule out</w:t>
      </w:r>
      <w:r w:rsidRPr="00BB0C2D">
        <w:rPr>
          <w:rFonts w:asciiTheme="majorBidi" w:eastAsia="Calibri" w:hAnsiTheme="majorBidi" w:cstheme="majorBidi"/>
          <w:sz w:val="24"/>
          <w:szCs w:val="24"/>
        </w:rPr>
        <w:t xml:space="preserve"> the </w:t>
      </w:r>
      <w:r w:rsidR="00542109" w:rsidRPr="00BB0C2D">
        <w:rPr>
          <w:rFonts w:asciiTheme="majorBidi" w:eastAsia="Calibri" w:hAnsiTheme="majorBidi" w:cstheme="majorBidi"/>
          <w:sz w:val="24"/>
          <w:szCs w:val="24"/>
        </w:rPr>
        <w:t>advanced</w:t>
      </w:r>
      <w:r w:rsidRPr="00BB0C2D">
        <w:rPr>
          <w:rFonts w:asciiTheme="majorBidi" w:eastAsia="Calibri" w:hAnsiTheme="majorBidi" w:cstheme="majorBidi"/>
          <w:sz w:val="24"/>
          <w:szCs w:val="24"/>
        </w:rPr>
        <w:t xml:space="preserve"> stages of</w:t>
      </w:r>
      <w:r w:rsidR="00542109" w:rsidRPr="00BB0C2D">
        <w:rPr>
          <w:rFonts w:asciiTheme="majorBidi" w:eastAsia="Calibri" w:hAnsiTheme="majorBidi" w:cstheme="majorBidi"/>
          <w:sz w:val="24"/>
          <w:szCs w:val="24"/>
        </w:rPr>
        <w:t xml:space="preserve"> liver</w:t>
      </w:r>
      <w:r w:rsidRPr="00BB0C2D">
        <w:rPr>
          <w:rFonts w:asciiTheme="majorBidi" w:eastAsia="Calibri" w:hAnsiTheme="majorBidi" w:cstheme="majorBidi"/>
          <w:sz w:val="24"/>
          <w:szCs w:val="24"/>
        </w:rPr>
        <w:t xml:space="preserve"> fibrosis in patients with NAFLD.</w:t>
      </w:r>
    </w:p>
    <w:p w14:paraId="671DE67F" w14:textId="38311C60" w:rsidR="00892D1F" w:rsidRPr="00BB0C2D"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Our study revealed no significant age differe</w:t>
      </w:r>
      <w:r w:rsidR="00542109" w:rsidRPr="00BB0C2D">
        <w:rPr>
          <w:rFonts w:asciiTheme="majorBidi" w:eastAsia="Calibri" w:hAnsiTheme="majorBidi" w:cstheme="majorBidi"/>
          <w:sz w:val="24"/>
          <w:szCs w:val="24"/>
        </w:rPr>
        <w:t>nce between AF</w:t>
      </w:r>
      <w:r w:rsidRPr="00BB0C2D">
        <w:rPr>
          <w:rFonts w:asciiTheme="majorBidi" w:eastAsia="Calibri" w:hAnsiTheme="majorBidi" w:cstheme="majorBidi"/>
          <w:sz w:val="24"/>
          <w:szCs w:val="24"/>
        </w:rPr>
        <w:t xml:space="preserve"> and </w:t>
      </w:r>
      <w:r w:rsidR="00542109" w:rsidRPr="00BB0C2D">
        <w:rPr>
          <w:rFonts w:asciiTheme="majorBidi" w:eastAsia="Calibri" w:hAnsiTheme="majorBidi" w:cstheme="majorBidi"/>
          <w:sz w:val="24"/>
          <w:szCs w:val="24"/>
        </w:rPr>
        <w:t>MF</w:t>
      </w:r>
      <w:r w:rsidRPr="00BB0C2D">
        <w:rPr>
          <w:rFonts w:asciiTheme="majorBidi" w:eastAsia="Calibri" w:hAnsiTheme="majorBidi" w:cstheme="majorBidi"/>
          <w:sz w:val="24"/>
          <w:szCs w:val="24"/>
        </w:rPr>
        <w:t xml:space="preserve">, </w:t>
      </w:r>
      <w:r w:rsidR="00542109" w:rsidRPr="00BB0C2D">
        <w:rPr>
          <w:rFonts w:asciiTheme="majorBidi" w:eastAsia="Calibri" w:hAnsiTheme="majorBidi" w:cstheme="majorBidi"/>
          <w:sz w:val="24"/>
          <w:szCs w:val="24"/>
        </w:rPr>
        <w:t>in contrast to</w:t>
      </w:r>
      <w:r w:rsidRPr="00BB0C2D">
        <w:rPr>
          <w:rFonts w:asciiTheme="majorBidi" w:eastAsia="Calibri" w:hAnsiTheme="majorBidi" w:cstheme="majorBidi"/>
          <w:sz w:val="24"/>
          <w:szCs w:val="24"/>
        </w:rPr>
        <w:t xml:space="preserve"> the previous </w:t>
      </w:r>
      <w:r w:rsidR="00B7476C" w:rsidRPr="00BB0C2D">
        <w:rPr>
          <w:rFonts w:asciiTheme="majorBidi" w:eastAsia="Calibri" w:hAnsiTheme="majorBidi" w:cstheme="majorBidi"/>
          <w:sz w:val="24"/>
          <w:szCs w:val="24"/>
        </w:rPr>
        <w:t>research,</w:t>
      </w:r>
      <w:r w:rsidRPr="00BB0C2D">
        <w:rPr>
          <w:rFonts w:asciiTheme="majorBidi" w:eastAsia="Calibri" w:hAnsiTheme="majorBidi" w:cstheme="majorBidi"/>
          <w:sz w:val="24"/>
          <w:szCs w:val="24"/>
        </w:rPr>
        <w:t xml:space="preserve"> which found a high prevalence of fibrosis (40%) and cirrhosis (14%) in the liver biopsies of these older individuals [18].</w:t>
      </w:r>
      <w:r w:rsidR="00D33D8F" w:rsidRPr="00BB0C2D">
        <w:rPr>
          <w:rFonts w:asciiTheme="majorBidi" w:eastAsia="Calibri" w:hAnsiTheme="majorBidi" w:cstheme="majorBidi"/>
          <w:sz w:val="24"/>
          <w:szCs w:val="24"/>
        </w:rPr>
        <w:t xml:space="preserve"> </w:t>
      </w:r>
      <w:r w:rsidR="00542109" w:rsidRPr="00BB0C2D">
        <w:rPr>
          <w:rFonts w:asciiTheme="majorBidi" w:eastAsia="Calibri" w:hAnsiTheme="majorBidi" w:cstheme="majorBidi"/>
          <w:sz w:val="24"/>
          <w:szCs w:val="24"/>
        </w:rPr>
        <w:t xml:space="preserve">This may be attributable to </w:t>
      </w:r>
      <w:r w:rsidR="00B7476C" w:rsidRPr="00BB0C2D">
        <w:rPr>
          <w:rFonts w:asciiTheme="majorBidi" w:eastAsia="Calibri" w:hAnsiTheme="majorBidi" w:cstheme="majorBidi"/>
          <w:sz w:val="24"/>
          <w:szCs w:val="24"/>
        </w:rPr>
        <w:t>the</w:t>
      </w:r>
      <w:r w:rsidR="00542109" w:rsidRPr="00BB0C2D">
        <w:rPr>
          <w:rFonts w:asciiTheme="majorBidi" w:eastAsia="Calibri" w:hAnsiTheme="majorBidi" w:cstheme="majorBidi"/>
          <w:sz w:val="24"/>
          <w:szCs w:val="24"/>
        </w:rPr>
        <w:t xml:space="preserve"> inclusion of older patients in this study.</w:t>
      </w:r>
    </w:p>
    <w:p w14:paraId="0E940F37" w14:textId="4F1A6857" w:rsidR="00E33174" w:rsidRPr="00BB0C2D"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Our </w:t>
      </w:r>
      <w:r w:rsidR="00D23C39" w:rsidRPr="00BB0C2D">
        <w:rPr>
          <w:rFonts w:asciiTheme="majorBidi" w:eastAsia="Calibri" w:hAnsiTheme="majorBidi" w:cstheme="majorBidi"/>
          <w:sz w:val="24"/>
          <w:szCs w:val="24"/>
        </w:rPr>
        <w:t>results</w:t>
      </w:r>
      <w:r w:rsidRPr="00BB0C2D">
        <w:rPr>
          <w:rFonts w:asciiTheme="majorBidi" w:eastAsia="Calibri" w:hAnsiTheme="majorBidi" w:cstheme="majorBidi"/>
          <w:sz w:val="24"/>
          <w:szCs w:val="24"/>
        </w:rPr>
        <w:t xml:space="preserve"> showed that the patients </w:t>
      </w:r>
      <w:r w:rsidR="00B7476C" w:rsidRPr="00BB0C2D">
        <w:rPr>
          <w:rFonts w:asciiTheme="majorBidi" w:eastAsia="Calibri" w:hAnsiTheme="majorBidi" w:cstheme="majorBidi"/>
          <w:sz w:val="24"/>
          <w:szCs w:val="24"/>
        </w:rPr>
        <w:t xml:space="preserve">with </w:t>
      </w:r>
      <w:r w:rsidR="00542109" w:rsidRPr="00BB0C2D">
        <w:rPr>
          <w:rFonts w:asciiTheme="majorBidi" w:eastAsia="Calibri" w:hAnsiTheme="majorBidi" w:cstheme="majorBidi"/>
          <w:sz w:val="24"/>
          <w:szCs w:val="24"/>
        </w:rPr>
        <w:t>AF</w:t>
      </w:r>
      <w:r w:rsidRPr="00BB0C2D">
        <w:rPr>
          <w:rFonts w:asciiTheme="majorBidi" w:eastAsia="Calibri" w:hAnsiTheme="majorBidi" w:cstheme="majorBidi"/>
          <w:sz w:val="24"/>
          <w:szCs w:val="24"/>
        </w:rPr>
        <w:t xml:space="preserve"> had higher </w:t>
      </w:r>
      <w:smartTag w:uri="urn:schemas-microsoft-com:office:smarttags" w:element="stockticker">
        <w:r w:rsidRPr="00BB0C2D">
          <w:rPr>
            <w:rFonts w:asciiTheme="majorBidi" w:eastAsia="Calibri" w:hAnsiTheme="majorBidi" w:cstheme="majorBidi"/>
            <w:sz w:val="24"/>
            <w:szCs w:val="24"/>
          </w:rPr>
          <w:t>BMI</w:t>
        </w:r>
      </w:smartTag>
      <w:r w:rsidRPr="00BB0C2D">
        <w:rPr>
          <w:rFonts w:asciiTheme="majorBidi" w:eastAsia="Calibri" w:hAnsiTheme="majorBidi" w:cstheme="majorBidi"/>
          <w:sz w:val="24"/>
          <w:szCs w:val="24"/>
        </w:rPr>
        <w:t xml:space="preserve">, VLDL, </w:t>
      </w:r>
      <w:r w:rsidR="00B7476C" w:rsidRPr="00BB0C2D">
        <w:rPr>
          <w:rFonts w:asciiTheme="majorBidi" w:eastAsia="Calibri" w:hAnsiTheme="majorBidi" w:cstheme="majorBidi"/>
          <w:sz w:val="24"/>
          <w:szCs w:val="24"/>
        </w:rPr>
        <w:t xml:space="preserve">and </w:t>
      </w:r>
      <w:r w:rsidRPr="00BB0C2D">
        <w:rPr>
          <w:rFonts w:asciiTheme="majorBidi" w:eastAsia="Calibri" w:hAnsiTheme="majorBidi" w:cstheme="majorBidi"/>
          <w:sz w:val="24"/>
          <w:szCs w:val="24"/>
        </w:rPr>
        <w:t xml:space="preserve">TG </w:t>
      </w:r>
      <w:r w:rsidR="00D23C39" w:rsidRPr="00BB0C2D">
        <w:rPr>
          <w:rFonts w:asciiTheme="majorBidi" w:eastAsia="Calibri" w:hAnsiTheme="majorBidi" w:cstheme="majorBidi"/>
          <w:sz w:val="24"/>
          <w:szCs w:val="24"/>
        </w:rPr>
        <w:t>than those</w:t>
      </w:r>
      <w:r w:rsidRPr="00BB0C2D">
        <w:rPr>
          <w:rFonts w:asciiTheme="majorBidi" w:eastAsia="Calibri" w:hAnsiTheme="majorBidi" w:cstheme="majorBidi"/>
          <w:sz w:val="24"/>
          <w:szCs w:val="24"/>
        </w:rPr>
        <w:t xml:space="preserve"> with </w:t>
      </w:r>
      <w:r w:rsidR="00542109" w:rsidRPr="00BB0C2D">
        <w:rPr>
          <w:rFonts w:asciiTheme="majorBidi" w:eastAsia="Calibri" w:hAnsiTheme="majorBidi" w:cstheme="majorBidi"/>
          <w:sz w:val="24"/>
          <w:szCs w:val="24"/>
        </w:rPr>
        <w:t>MF</w:t>
      </w:r>
      <w:r w:rsidR="00B7476C" w:rsidRPr="00BB0C2D">
        <w:rPr>
          <w:rFonts w:asciiTheme="majorBidi" w:eastAsia="Calibri" w:hAnsiTheme="majorBidi" w:cstheme="majorBidi"/>
          <w:sz w:val="24"/>
          <w:szCs w:val="24"/>
        </w:rPr>
        <w:t>. This</w:t>
      </w:r>
      <w:r w:rsidRPr="00BB0C2D">
        <w:rPr>
          <w:rFonts w:asciiTheme="majorBidi" w:eastAsia="Calibri" w:hAnsiTheme="majorBidi" w:cstheme="majorBidi"/>
          <w:sz w:val="24"/>
          <w:szCs w:val="24"/>
        </w:rPr>
        <w:t xml:space="preserve"> is consistent with other studies [19, 20] that concluded that fibrosis </w:t>
      </w:r>
      <w:r w:rsidR="00E279B0">
        <w:rPr>
          <w:rFonts w:asciiTheme="majorBidi" w:eastAsia="Calibri" w:hAnsiTheme="majorBidi" w:cstheme="majorBidi"/>
          <w:sz w:val="24"/>
          <w:szCs w:val="24"/>
        </w:rPr>
        <w:t>frequently occurs</w:t>
      </w:r>
      <w:r w:rsidRPr="00BB0C2D">
        <w:rPr>
          <w:rFonts w:asciiTheme="majorBidi" w:eastAsia="Calibri" w:hAnsiTheme="majorBidi" w:cstheme="majorBidi"/>
          <w:sz w:val="24"/>
          <w:szCs w:val="24"/>
        </w:rPr>
        <w:t xml:space="preserve"> in overweight and obese patients.</w:t>
      </w:r>
    </w:p>
    <w:p w14:paraId="596282B8" w14:textId="4E413854" w:rsidR="00892D1F" w:rsidRPr="00BB0C2D" w:rsidRDefault="00E33174"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In this study; the cut off point for FIB-4 is 1.37 had sensitivity 75%, specificity 65.9%, PPV 39.6%, NPV 88.9% and AUROC 0.714 The cut off point for FIB-5 is -3.96, it had sensitivity 42.9%, specificity 77.3%, PPV 37.5%, NPV 81.0% and AUROC of 0.523.</w:t>
      </w:r>
      <w:r w:rsidR="00892D1F" w:rsidRPr="00BB0C2D">
        <w:rPr>
          <w:rFonts w:asciiTheme="majorBidi" w:eastAsia="Calibri" w:hAnsiTheme="majorBidi" w:cstheme="majorBidi"/>
          <w:sz w:val="24"/>
          <w:szCs w:val="24"/>
        </w:rPr>
        <w:t xml:space="preserve">  FIB-4 score was significantly higher in group II (1.54 ± 0.38) as compared with group I (1.18 ± 0.44)</w:t>
      </w:r>
      <w:r w:rsidR="00E279B0">
        <w:rPr>
          <w:rFonts w:asciiTheme="majorBidi" w:eastAsia="Calibri" w:hAnsiTheme="majorBidi" w:cstheme="majorBidi"/>
          <w:sz w:val="24"/>
          <w:szCs w:val="24"/>
        </w:rPr>
        <w:t>; this</w:t>
      </w:r>
      <w:r w:rsidR="00892D1F" w:rsidRPr="00BB0C2D">
        <w:rPr>
          <w:rFonts w:asciiTheme="majorBidi" w:eastAsia="Calibri" w:hAnsiTheme="majorBidi" w:cstheme="majorBidi"/>
          <w:sz w:val="24"/>
          <w:szCs w:val="24"/>
        </w:rPr>
        <w:t xml:space="preserve"> is</w:t>
      </w:r>
      <w:r w:rsidR="00542109" w:rsidRPr="00BB0C2D">
        <w:rPr>
          <w:rFonts w:asciiTheme="majorBidi" w:eastAsia="Calibri" w:hAnsiTheme="majorBidi" w:cstheme="majorBidi"/>
          <w:sz w:val="24"/>
          <w:szCs w:val="24"/>
        </w:rPr>
        <w:t xml:space="preserve"> in agreement </w:t>
      </w:r>
      <w:r w:rsidR="00892D1F" w:rsidRPr="00BB0C2D">
        <w:rPr>
          <w:rFonts w:asciiTheme="majorBidi" w:eastAsia="Calibri" w:hAnsiTheme="majorBidi" w:cstheme="majorBidi"/>
          <w:sz w:val="24"/>
          <w:szCs w:val="24"/>
        </w:rPr>
        <w:t xml:space="preserve">with </w:t>
      </w:r>
      <w:r w:rsidR="006E2D02" w:rsidRPr="00BB0C2D">
        <w:rPr>
          <w:rFonts w:asciiTheme="majorBidi" w:eastAsia="Calibri" w:hAnsiTheme="majorBidi" w:cstheme="majorBidi"/>
          <w:sz w:val="24"/>
          <w:szCs w:val="24"/>
        </w:rPr>
        <w:t xml:space="preserve">a </w:t>
      </w:r>
      <w:r w:rsidR="00892D1F" w:rsidRPr="00BB0C2D">
        <w:rPr>
          <w:rFonts w:asciiTheme="majorBidi" w:eastAsia="Calibri" w:hAnsiTheme="majorBidi" w:cstheme="majorBidi"/>
          <w:sz w:val="24"/>
          <w:szCs w:val="24"/>
        </w:rPr>
        <w:t xml:space="preserve">previous </w:t>
      </w:r>
      <w:r w:rsidR="006E2D02" w:rsidRPr="00BB0C2D">
        <w:rPr>
          <w:rFonts w:asciiTheme="majorBidi" w:eastAsia="Calibri" w:hAnsiTheme="majorBidi" w:cstheme="majorBidi"/>
          <w:sz w:val="24"/>
          <w:szCs w:val="24"/>
        </w:rPr>
        <w:t>study [</w:t>
      </w:r>
      <w:r w:rsidR="00892D1F" w:rsidRPr="00BB0C2D">
        <w:rPr>
          <w:rFonts w:asciiTheme="majorBidi" w:eastAsia="Calibri" w:hAnsiTheme="majorBidi" w:cstheme="majorBidi"/>
          <w:sz w:val="24"/>
          <w:szCs w:val="24"/>
        </w:rPr>
        <w:t>21</w:t>
      </w:r>
      <w:r w:rsidR="006E2D02" w:rsidRPr="00BB0C2D">
        <w:rPr>
          <w:rFonts w:asciiTheme="majorBidi" w:eastAsia="Calibri" w:hAnsiTheme="majorBidi" w:cstheme="majorBidi"/>
          <w:sz w:val="24"/>
          <w:szCs w:val="24"/>
        </w:rPr>
        <w:t>] that</w:t>
      </w:r>
      <w:r w:rsidR="00892D1F" w:rsidRPr="00BB0C2D">
        <w:rPr>
          <w:rFonts w:asciiTheme="majorBidi" w:eastAsia="Calibri" w:hAnsiTheme="majorBidi" w:cstheme="majorBidi"/>
          <w:sz w:val="24"/>
          <w:szCs w:val="24"/>
        </w:rPr>
        <w:t xml:space="preserve"> reported FIB-4 showing higher scores among significant or a</w:t>
      </w:r>
      <w:r w:rsidR="00711FCD" w:rsidRPr="00BB0C2D">
        <w:rPr>
          <w:rFonts w:asciiTheme="majorBidi" w:eastAsia="Calibri" w:hAnsiTheme="majorBidi" w:cstheme="majorBidi"/>
          <w:sz w:val="24"/>
          <w:szCs w:val="24"/>
        </w:rPr>
        <w:t xml:space="preserve">dvanced fibrosis compared to mild </w:t>
      </w:r>
      <w:r w:rsidR="00892D1F" w:rsidRPr="00BB0C2D">
        <w:rPr>
          <w:rFonts w:asciiTheme="majorBidi" w:eastAsia="Calibri" w:hAnsiTheme="majorBidi" w:cstheme="majorBidi"/>
          <w:sz w:val="24"/>
          <w:szCs w:val="24"/>
        </w:rPr>
        <w:t>to</w:t>
      </w:r>
      <w:r w:rsidR="00711FCD" w:rsidRPr="00BB0C2D">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moderate fibrosis.</w:t>
      </w:r>
      <w:r w:rsidR="00256CE5">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 xml:space="preserve">Also agree with </w:t>
      </w:r>
      <w:r w:rsidR="00711FCD" w:rsidRPr="00BB0C2D">
        <w:rPr>
          <w:rFonts w:asciiTheme="majorBidi" w:eastAsia="Calibri" w:hAnsiTheme="majorBidi" w:cstheme="majorBidi"/>
          <w:sz w:val="24"/>
          <w:szCs w:val="24"/>
        </w:rPr>
        <w:t>previous studies [</w:t>
      </w:r>
      <w:r w:rsidR="00892D1F" w:rsidRPr="00BB0C2D">
        <w:rPr>
          <w:rFonts w:asciiTheme="majorBidi" w:eastAsia="Calibri" w:hAnsiTheme="majorBidi" w:cstheme="majorBidi"/>
          <w:sz w:val="24"/>
          <w:szCs w:val="24"/>
        </w:rPr>
        <w:t xml:space="preserve">22] </w:t>
      </w:r>
      <w:r w:rsidR="006E2D02" w:rsidRPr="00BB0C2D">
        <w:rPr>
          <w:rFonts w:asciiTheme="majorBidi" w:eastAsia="Calibri" w:hAnsiTheme="majorBidi" w:cstheme="majorBidi"/>
          <w:sz w:val="24"/>
          <w:szCs w:val="24"/>
        </w:rPr>
        <w:t>that</w:t>
      </w:r>
      <w:r w:rsidR="00892D1F" w:rsidRPr="00BB0C2D">
        <w:rPr>
          <w:rFonts w:asciiTheme="majorBidi" w:eastAsia="Calibri" w:hAnsiTheme="majorBidi" w:cstheme="majorBidi"/>
          <w:sz w:val="24"/>
          <w:szCs w:val="24"/>
        </w:rPr>
        <w:t xml:space="preserve"> found FIB-4 has </w:t>
      </w:r>
      <w:r w:rsidR="00E279B0">
        <w:rPr>
          <w:rFonts w:asciiTheme="majorBidi" w:eastAsia="Calibri" w:hAnsiTheme="majorBidi" w:cstheme="majorBidi"/>
          <w:sz w:val="24"/>
          <w:szCs w:val="24"/>
        </w:rPr>
        <w:t>great potential in diagnosing</w:t>
      </w:r>
      <w:r w:rsidR="00892D1F" w:rsidRPr="00BB0C2D">
        <w:rPr>
          <w:rFonts w:asciiTheme="majorBidi" w:eastAsia="Calibri" w:hAnsiTheme="majorBidi" w:cstheme="majorBidi"/>
          <w:sz w:val="24"/>
          <w:szCs w:val="24"/>
        </w:rPr>
        <w:t> </w:t>
      </w:r>
      <w:hyperlink r:id="rId16" w:tooltip="Learn more about liver fibrosis from ScienceDirect's AI-generated Topic Pages" w:history="1">
        <w:r w:rsidR="00892D1F" w:rsidRPr="00BB0C2D">
          <w:rPr>
            <w:rFonts w:asciiTheme="majorBidi" w:eastAsia="Calibri" w:hAnsiTheme="majorBidi" w:cstheme="majorBidi"/>
            <w:sz w:val="24"/>
            <w:szCs w:val="24"/>
          </w:rPr>
          <w:t>liver fibrosis</w:t>
        </w:r>
      </w:hyperlink>
      <w:r w:rsidR="00892D1F" w:rsidRPr="00BB0C2D">
        <w:rPr>
          <w:rFonts w:asciiTheme="majorBidi" w:eastAsia="Calibri" w:hAnsiTheme="majorBidi" w:cstheme="majorBidi"/>
          <w:sz w:val="24"/>
          <w:szCs w:val="24"/>
        </w:rPr>
        <w:t xml:space="preserve"> caused by viral hepatitis and </w:t>
      </w:r>
      <w:r w:rsidR="00711FCD" w:rsidRPr="00BB0C2D">
        <w:rPr>
          <w:rFonts w:asciiTheme="majorBidi" w:eastAsia="Calibri" w:hAnsiTheme="majorBidi" w:cstheme="majorBidi"/>
          <w:sz w:val="24"/>
          <w:szCs w:val="24"/>
        </w:rPr>
        <w:t>NAFLD</w:t>
      </w:r>
      <w:r w:rsidR="00F84793" w:rsidRPr="00BB0C2D">
        <w:rPr>
          <w:rFonts w:asciiTheme="majorBidi" w:eastAsia="Calibri" w:hAnsiTheme="majorBidi" w:cstheme="majorBidi"/>
          <w:sz w:val="24"/>
          <w:szCs w:val="24"/>
        </w:rPr>
        <w:t xml:space="preserve"> in patients with advanced fibrosis</w:t>
      </w:r>
      <w:r w:rsidR="00711FCD" w:rsidRPr="00BB0C2D">
        <w:rPr>
          <w:rFonts w:asciiTheme="majorBidi" w:eastAsia="Calibri" w:hAnsiTheme="majorBidi" w:cstheme="majorBidi"/>
          <w:sz w:val="24"/>
          <w:szCs w:val="24"/>
          <w:rtl/>
        </w:rPr>
        <w:t xml:space="preserve">. </w:t>
      </w:r>
      <w:r w:rsidR="00711FCD" w:rsidRPr="00BB0C2D">
        <w:rPr>
          <w:rFonts w:asciiTheme="majorBidi" w:eastAsia="Calibri" w:hAnsiTheme="majorBidi" w:cstheme="majorBidi"/>
          <w:sz w:val="24"/>
          <w:szCs w:val="24"/>
        </w:rPr>
        <w:t xml:space="preserve">This was in agreement </w:t>
      </w:r>
      <w:r w:rsidR="006E2D02" w:rsidRPr="00BB0C2D">
        <w:rPr>
          <w:rFonts w:asciiTheme="majorBidi" w:eastAsia="Calibri" w:hAnsiTheme="majorBidi" w:cstheme="majorBidi"/>
          <w:sz w:val="24"/>
          <w:szCs w:val="24"/>
        </w:rPr>
        <w:t>with</w:t>
      </w:r>
      <w:hyperlink r:id="rId17" w:history="1">
        <w:r w:rsidR="00892D1F" w:rsidRPr="00BB0C2D">
          <w:rPr>
            <w:rFonts w:asciiTheme="majorBidi" w:eastAsia="Calibri" w:hAnsiTheme="majorBidi" w:cstheme="majorBidi"/>
            <w:sz w:val="24"/>
            <w:szCs w:val="24"/>
          </w:rPr>
          <w:t xml:space="preserve"> Kumari</w:t>
        </w:r>
      </w:hyperlink>
      <w:r w:rsidR="00711FCD" w:rsidRPr="00BB0C2D">
        <w:rPr>
          <w:rFonts w:asciiTheme="majorBidi" w:eastAsia="Calibri" w:hAnsiTheme="majorBidi" w:cstheme="majorBidi"/>
          <w:sz w:val="24"/>
          <w:szCs w:val="24"/>
        </w:rPr>
        <w:t xml:space="preserve"> </w:t>
      </w:r>
      <w:r w:rsidR="006E2D02" w:rsidRPr="00BB0C2D">
        <w:rPr>
          <w:rFonts w:asciiTheme="majorBidi" w:eastAsia="Calibri" w:hAnsiTheme="majorBidi" w:cstheme="majorBidi"/>
          <w:sz w:val="24"/>
          <w:szCs w:val="24"/>
        </w:rPr>
        <w:t>et al.</w:t>
      </w:r>
      <w:r w:rsidR="00711FCD" w:rsidRPr="00BB0C2D">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[23]</w:t>
      </w:r>
      <w:r w:rsidR="006E2D02" w:rsidRPr="00BB0C2D">
        <w:rPr>
          <w:rFonts w:asciiTheme="majorBidi" w:eastAsia="Calibri" w:hAnsiTheme="majorBidi" w:cstheme="majorBidi"/>
          <w:sz w:val="24"/>
          <w:szCs w:val="24"/>
        </w:rPr>
        <w:t>,</w:t>
      </w:r>
      <w:r w:rsidR="00711FCD" w:rsidRPr="00BB0C2D">
        <w:rPr>
          <w:rFonts w:asciiTheme="majorBidi" w:eastAsia="Calibri" w:hAnsiTheme="majorBidi" w:cstheme="majorBidi"/>
          <w:sz w:val="24"/>
          <w:szCs w:val="24"/>
        </w:rPr>
        <w:t xml:space="preserve"> who concluded</w:t>
      </w:r>
      <w:r w:rsidR="00892D1F" w:rsidRPr="00BB0C2D">
        <w:rPr>
          <w:rFonts w:asciiTheme="majorBidi" w:eastAsia="Calibri" w:hAnsiTheme="majorBidi" w:cstheme="majorBidi"/>
          <w:sz w:val="24"/>
          <w:szCs w:val="24"/>
        </w:rPr>
        <w:t xml:space="preserve"> </w:t>
      </w:r>
      <w:r w:rsidR="00E279B0">
        <w:rPr>
          <w:rFonts w:asciiTheme="majorBidi" w:eastAsia="Calibri" w:hAnsiTheme="majorBidi" w:cstheme="majorBidi"/>
          <w:sz w:val="24"/>
          <w:szCs w:val="24"/>
        </w:rPr>
        <w:t xml:space="preserve">that </w:t>
      </w:r>
      <w:r w:rsidR="00892D1F" w:rsidRPr="00BB0C2D">
        <w:rPr>
          <w:rFonts w:asciiTheme="majorBidi" w:eastAsia="Calibri" w:hAnsiTheme="majorBidi" w:cstheme="majorBidi"/>
          <w:sz w:val="24"/>
          <w:szCs w:val="24"/>
        </w:rPr>
        <w:t>FIB-</w:t>
      </w:r>
      <w:r w:rsidR="00711FCD" w:rsidRPr="00BB0C2D">
        <w:rPr>
          <w:rFonts w:asciiTheme="majorBidi" w:eastAsia="Calibri" w:hAnsiTheme="majorBidi" w:cstheme="majorBidi"/>
          <w:sz w:val="24"/>
          <w:szCs w:val="24"/>
        </w:rPr>
        <w:t xml:space="preserve">4 </w:t>
      </w:r>
      <w:r w:rsidR="006E2D02" w:rsidRPr="00BB0C2D">
        <w:rPr>
          <w:rFonts w:asciiTheme="majorBidi" w:eastAsia="Calibri" w:hAnsiTheme="majorBidi" w:cstheme="majorBidi"/>
          <w:sz w:val="24"/>
          <w:szCs w:val="24"/>
        </w:rPr>
        <w:t>is</w:t>
      </w:r>
      <w:r w:rsidRPr="00BB0C2D">
        <w:rPr>
          <w:rFonts w:asciiTheme="majorBidi" w:eastAsia="Calibri" w:hAnsiTheme="majorBidi" w:cstheme="majorBidi"/>
          <w:sz w:val="24"/>
          <w:szCs w:val="24"/>
        </w:rPr>
        <w:t xml:space="preserve"> one of</w:t>
      </w:r>
      <w:r w:rsidR="00892D1F" w:rsidRPr="00BB0C2D">
        <w:rPr>
          <w:rFonts w:asciiTheme="majorBidi" w:eastAsia="Calibri" w:hAnsiTheme="majorBidi" w:cstheme="majorBidi"/>
          <w:sz w:val="24"/>
          <w:szCs w:val="24"/>
        </w:rPr>
        <w:t xml:space="preserve"> the best indices to assess liver fibrosis in NAFLD </w:t>
      </w:r>
      <w:r w:rsidR="00711FCD" w:rsidRPr="00BB0C2D">
        <w:rPr>
          <w:rFonts w:asciiTheme="majorBidi" w:eastAsia="Calibri" w:hAnsiTheme="majorBidi" w:cstheme="majorBidi"/>
          <w:sz w:val="24"/>
          <w:szCs w:val="24"/>
        </w:rPr>
        <w:t>patients [23]</w:t>
      </w:r>
      <w:r w:rsidR="00892D1F" w:rsidRPr="00BB0C2D">
        <w:rPr>
          <w:rFonts w:asciiTheme="majorBidi" w:eastAsia="Calibri" w:hAnsiTheme="majorBidi" w:cstheme="majorBidi"/>
          <w:sz w:val="24"/>
          <w:szCs w:val="24"/>
        </w:rPr>
        <w:t>.</w:t>
      </w:r>
      <w:r w:rsidR="00256CE5">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Also</w:t>
      </w:r>
      <w:r w:rsidR="006E2D02" w:rsidRPr="00BB0C2D">
        <w:rPr>
          <w:rFonts w:asciiTheme="majorBidi" w:eastAsia="Calibri" w:hAnsiTheme="majorBidi" w:cstheme="majorBidi"/>
          <w:sz w:val="24"/>
          <w:szCs w:val="24"/>
        </w:rPr>
        <w:t>,</w:t>
      </w:r>
      <w:r w:rsidR="00892D1F" w:rsidRPr="00BB0C2D">
        <w:rPr>
          <w:rFonts w:asciiTheme="majorBidi" w:eastAsia="Calibri" w:hAnsiTheme="majorBidi" w:cstheme="majorBidi"/>
          <w:sz w:val="24"/>
          <w:szCs w:val="24"/>
        </w:rPr>
        <w:t xml:space="preserve"> Amernia </w:t>
      </w:r>
      <w:r w:rsidR="006E2D02" w:rsidRPr="00BB0C2D">
        <w:rPr>
          <w:rFonts w:asciiTheme="majorBidi" w:eastAsia="Calibri" w:hAnsiTheme="majorBidi" w:cstheme="majorBidi"/>
          <w:sz w:val="24"/>
          <w:szCs w:val="24"/>
        </w:rPr>
        <w:t xml:space="preserve">et al. </w:t>
      </w:r>
      <w:r w:rsidR="00892D1F" w:rsidRPr="00BB0C2D">
        <w:rPr>
          <w:rFonts w:asciiTheme="majorBidi" w:eastAsia="Calibri" w:hAnsiTheme="majorBidi" w:cstheme="majorBidi"/>
          <w:sz w:val="24"/>
          <w:szCs w:val="24"/>
        </w:rPr>
        <w:t xml:space="preserve">supported this finding; </w:t>
      </w:r>
      <w:r w:rsidR="006E2D02" w:rsidRPr="00BB0C2D">
        <w:rPr>
          <w:rFonts w:asciiTheme="majorBidi" w:eastAsia="Calibri" w:hAnsiTheme="majorBidi" w:cstheme="majorBidi"/>
          <w:sz w:val="24"/>
          <w:szCs w:val="24"/>
        </w:rPr>
        <w:t>their</w:t>
      </w:r>
      <w:r w:rsidR="00892D1F" w:rsidRPr="00BB0C2D">
        <w:rPr>
          <w:rFonts w:asciiTheme="majorBidi" w:eastAsia="Calibri" w:hAnsiTheme="majorBidi" w:cstheme="majorBidi"/>
          <w:sz w:val="24"/>
          <w:szCs w:val="24"/>
        </w:rPr>
        <w:t xml:space="preserve"> study showed </w:t>
      </w:r>
      <w:r w:rsidR="00E279B0">
        <w:rPr>
          <w:rFonts w:asciiTheme="majorBidi" w:eastAsia="Calibri" w:hAnsiTheme="majorBidi" w:cstheme="majorBidi"/>
          <w:sz w:val="24"/>
          <w:szCs w:val="24"/>
        </w:rPr>
        <w:t xml:space="preserve">that </w:t>
      </w:r>
      <w:r w:rsidR="00892D1F" w:rsidRPr="00BB0C2D">
        <w:rPr>
          <w:rFonts w:asciiTheme="majorBidi" w:eastAsia="Calibri" w:hAnsiTheme="majorBidi" w:cstheme="majorBidi"/>
          <w:sz w:val="24"/>
          <w:szCs w:val="24"/>
        </w:rPr>
        <w:t xml:space="preserve">FIB-4 is the best index to assess liver fibrosis in NAFLD </w:t>
      </w:r>
      <w:r w:rsidR="006E2D02" w:rsidRPr="00BB0C2D">
        <w:rPr>
          <w:rFonts w:asciiTheme="majorBidi" w:eastAsia="Calibri" w:hAnsiTheme="majorBidi" w:cstheme="majorBidi"/>
          <w:sz w:val="24"/>
          <w:szCs w:val="24"/>
        </w:rPr>
        <w:t>patients [</w:t>
      </w:r>
      <w:r w:rsidR="00F13EDA" w:rsidRPr="00BB0C2D">
        <w:rPr>
          <w:rFonts w:asciiTheme="majorBidi" w:eastAsia="Calibri" w:hAnsiTheme="majorBidi" w:cstheme="majorBidi"/>
          <w:sz w:val="24"/>
          <w:szCs w:val="24"/>
        </w:rPr>
        <w:t>24]</w:t>
      </w:r>
      <w:r w:rsidR="00892D1F" w:rsidRPr="00BB0C2D">
        <w:rPr>
          <w:rFonts w:asciiTheme="majorBidi" w:eastAsia="Calibri" w:hAnsiTheme="majorBidi" w:cstheme="majorBidi"/>
          <w:sz w:val="24"/>
          <w:szCs w:val="24"/>
        </w:rPr>
        <w:t>.</w:t>
      </w:r>
      <w:r w:rsidR="00256CE5">
        <w:rPr>
          <w:rFonts w:asciiTheme="majorBidi" w:eastAsia="Calibri" w:hAnsiTheme="majorBidi" w:cstheme="majorBidi"/>
          <w:sz w:val="24"/>
          <w:szCs w:val="24"/>
        </w:rPr>
        <w:t xml:space="preserve"> </w:t>
      </w:r>
      <w:r w:rsidR="00892D1F" w:rsidRPr="00BB0C2D">
        <w:rPr>
          <w:rFonts w:asciiTheme="majorBidi" w:eastAsia="Calibri" w:hAnsiTheme="majorBidi" w:cstheme="majorBidi"/>
          <w:sz w:val="24"/>
          <w:szCs w:val="24"/>
        </w:rPr>
        <w:t xml:space="preserve">Another </w:t>
      </w:r>
      <w:r w:rsidR="00F13EDA" w:rsidRPr="00BB0C2D">
        <w:rPr>
          <w:rFonts w:asciiTheme="majorBidi" w:eastAsia="Calibri" w:hAnsiTheme="majorBidi" w:cstheme="majorBidi"/>
          <w:sz w:val="24"/>
          <w:szCs w:val="24"/>
        </w:rPr>
        <w:t>study is</w:t>
      </w:r>
      <w:r w:rsidR="00892D1F" w:rsidRPr="00BB0C2D">
        <w:rPr>
          <w:rFonts w:asciiTheme="majorBidi" w:eastAsia="Calibri" w:hAnsiTheme="majorBidi" w:cstheme="majorBidi"/>
          <w:sz w:val="24"/>
          <w:szCs w:val="24"/>
        </w:rPr>
        <w:t xml:space="preserve"> consistent with our results; this study showed that The FIB4 index was superior to other tested non</w:t>
      </w:r>
      <w:r w:rsidR="00A67158" w:rsidRPr="00BB0C2D">
        <w:rPr>
          <w:rFonts w:asciiTheme="majorBidi" w:eastAsia="Calibri" w:hAnsiTheme="majorBidi" w:cstheme="majorBidi"/>
          <w:sz w:val="24"/>
          <w:szCs w:val="24"/>
        </w:rPr>
        <w:t>-</w:t>
      </w:r>
      <w:r w:rsidR="00892D1F" w:rsidRPr="00BB0C2D">
        <w:rPr>
          <w:rFonts w:asciiTheme="majorBidi" w:eastAsia="Calibri" w:hAnsiTheme="majorBidi" w:cstheme="majorBidi"/>
          <w:sz w:val="24"/>
          <w:szCs w:val="24"/>
        </w:rPr>
        <w:t>invasive markers of fibrosis in Japanese patients with NAFLD</w:t>
      </w:r>
      <w:r w:rsidR="00F13EDA" w:rsidRPr="00BB0C2D">
        <w:rPr>
          <w:rFonts w:asciiTheme="majorBidi" w:eastAsia="Calibri" w:hAnsiTheme="majorBidi" w:cstheme="majorBidi"/>
          <w:sz w:val="24"/>
          <w:szCs w:val="24"/>
        </w:rPr>
        <w:t xml:space="preserve"> [25]</w:t>
      </w:r>
      <w:r w:rsidR="00547D98" w:rsidRPr="00BB0C2D">
        <w:rPr>
          <w:rFonts w:asciiTheme="majorBidi" w:eastAsia="Calibri" w:hAnsiTheme="majorBidi" w:cstheme="majorBidi"/>
          <w:sz w:val="24"/>
          <w:szCs w:val="24"/>
        </w:rPr>
        <w:t>.</w:t>
      </w:r>
    </w:p>
    <w:p w14:paraId="333DA02B" w14:textId="1C6D9B3D" w:rsidR="00892D1F" w:rsidRPr="00BB0C2D" w:rsidRDefault="00892D1F" w:rsidP="00BB0C2D">
      <w:pPr>
        <w:bidi w:val="0"/>
        <w:spacing w:after="16" w:line="360" w:lineRule="auto"/>
        <w:jc w:val="both"/>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We also found in our </w:t>
      </w:r>
      <w:r w:rsidR="006E2D02" w:rsidRPr="00BB0C2D">
        <w:rPr>
          <w:rFonts w:asciiTheme="majorBidi" w:eastAsia="Calibri" w:hAnsiTheme="majorBidi" w:cstheme="majorBidi"/>
          <w:sz w:val="24"/>
          <w:szCs w:val="24"/>
        </w:rPr>
        <w:t>study;</w:t>
      </w:r>
      <w:r w:rsidRPr="00BB0C2D">
        <w:rPr>
          <w:rFonts w:asciiTheme="majorBidi" w:eastAsia="Calibri" w:hAnsiTheme="majorBidi" w:cstheme="majorBidi"/>
          <w:sz w:val="24"/>
          <w:szCs w:val="24"/>
        </w:rPr>
        <w:t xml:space="preserve"> </w:t>
      </w:r>
      <w:r w:rsidR="001315B6">
        <w:rPr>
          <w:rFonts w:asciiTheme="majorBidi" w:eastAsia="Calibri" w:hAnsiTheme="majorBidi" w:cstheme="majorBidi"/>
          <w:sz w:val="24"/>
          <w:szCs w:val="24"/>
        </w:rPr>
        <w:t xml:space="preserve">that </w:t>
      </w:r>
      <w:r w:rsidRPr="00BB0C2D">
        <w:rPr>
          <w:rFonts w:asciiTheme="majorBidi" w:eastAsia="Calibri" w:hAnsiTheme="majorBidi" w:cstheme="majorBidi"/>
          <w:sz w:val="24"/>
          <w:szCs w:val="24"/>
        </w:rPr>
        <w:t xml:space="preserve">the FIB-5 score has no significant difference between </w:t>
      </w:r>
      <w:r w:rsidR="00A271C5" w:rsidRPr="00BB0C2D">
        <w:rPr>
          <w:rFonts w:asciiTheme="majorBidi" w:eastAsia="Calibri" w:hAnsiTheme="majorBidi" w:cstheme="majorBidi"/>
          <w:sz w:val="24"/>
          <w:szCs w:val="24"/>
        </w:rPr>
        <w:t>groups</w:t>
      </w:r>
      <w:r w:rsidR="006E2D02" w:rsidRPr="00BB0C2D">
        <w:rPr>
          <w:rFonts w:asciiTheme="majorBidi" w:eastAsia="Calibri" w:hAnsiTheme="majorBidi" w:cstheme="majorBidi"/>
          <w:sz w:val="24"/>
          <w:szCs w:val="24"/>
        </w:rPr>
        <w:t>. This</w:t>
      </w:r>
      <w:r w:rsidR="004F7396" w:rsidRPr="00BB0C2D">
        <w:rPr>
          <w:rFonts w:asciiTheme="majorBidi" w:eastAsia="Calibri" w:hAnsiTheme="majorBidi" w:cstheme="majorBidi"/>
          <w:sz w:val="24"/>
          <w:szCs w:val="24"/>
        </w:rPr>
        <w:t xml:space="preserve"> was in agreement </w:t>
      </w:r>
      <w:r w:rsidR="006E2D02" w:rsidRPr="00BB0C2D">
        <w:rPr>
          <w:rFonts w:asciiTheme="majorBidi" w:eastAsia="Calibri" w:hAnsiTheme="majorBidi" w:cstheme="majorBidi"/>
          <w:sz w:val="24"/>
          <w:szCs w:val="24"/>
        </w:rPr>
        <w:t>with</w:t>
      </w:r>
      <w:r w:rsidR="004F7396" w:rsidRPr="00BB0C2D">
        <w:rPr>
          <w:rFonts w:asciiTheme="majorBidi" w:eastAsia="Calibri" w:hAnsiTheme="majorBidi" w:cstheme="majorBidi"/>
          <w:sz w:val="24"/>
          <w:szCs w:val="24"/>
        </w:rPr>
        <w:t xml:space="preserve"> Kolhe </w:t>
      </w:r>
      <w:r w:rsidR="006E2D02" w:rsidRPr="00BB0C2D">
        <w:rPr>
          <w:rFonts w:asciiTheme="majorBidi" w:eastAsia="Calibri" w:hAnsiTheme="majorBidi" w:cstheme="majorBidi"/>
          <w:sz w:val="24"/>
          <w:szCs w:val="24"/>
        </w:rPr>
        <w:t>et al.,</w:t>
      </w:r>
      <w:r w:rsidR="006A789B" w:rsidRPr="00BB0C2D">
        <w:rPr>
          <w:rFonts w:asciiTheme="majorBidi" w:eastAsia="Calibri" w:hAnsiTheme="majorBidi" w:cstheme="majorBidi"/>
          <w:sz w:val="24"/>
          <w:szCs w:val="24"/>
        </w:rPr>
        <w:t xml:space="preserve"> who </w:t>
      </w:r>
      <w:r w:rsidR="006E2D02" w:rsidRPr="00BB0C2D">
        <w:rPr>
          <w:rFonts w:asciiTheme="majorBidi" w:eastAsia="Calibri" w:hAnsiTheme="majorBidi" w:cstheme="majorBidi"/>
          <w:sz w:val="24"/>
          <w:szCs w:val="24"/>
        </w:rPr>
        <w:t>stated</w:t>
      </w:r>
      <w:r w:rsidR="006A789B" w:rsidRPr="00BB0C2D">
        <w:rPr>
          <w:rFonts w:asciiTheme="majorBidi" w:eastAsia="Calibri" w:hAnsiTheme="majorBidi" w:cstheme="majorBidi"/>
          <w:sz w:val="24"/>
          <w:szCs w:val="24"/>
        </w:rPr>
        <w:t xml:space="preserve"> that FIB 5 </w:t>
      </w:r>
      <w:r w:rsidR="006E2D02" w:rsidRPr="00BB0C2D">
        <w:rPr>
          <w:rFonts w:asciiTheme="majorBidi" w:eastAsia="Calibri" w:hAnsiTheme="majorBidi" w:cstheme="majorBidi"/>
          <w:sz w:val="24"/>
          <w:szCs w:val="24"/>
        </w:rPr>
        <w:t>could not</w:t>
      </w:r>
      <w:r w:rsidR="006A789B" w:rsidRPr="00BB0C2D">
        <w:rPr>
          <w:rFonts w:asciiTheme="majorBidi" w:eastAsia="Calibri" w:hAnsiTheme="majorBidi" w:cstheme="majorBidi"/>
          <w:sz w:val="24"/>
          <w:szCs w:val="24"/>
        </w:rPr>
        <w:t xml:space="preserve"> be used </w:t>
      </w:r>
      <w:r w:rsidR="006E2D02" w:rsidRPr="00BB0C2D">
        <w:rPr>
          <w:rFonts w:asciiTheme="majorBidi" w:eastAsia="Calibri" w:hAnsiTheme="majorBidi" w:cstheme="majorBidi"/>
          <w:sz w:val="24"/>
          <w:szCs w:val="24"/>
        </w:rPr>
        <w:t>to rule</w:t>
      </w:r>
      <w:r w:rsidR="006A789B" w:rsidRPr="00BB0C2D">
        <w:rPr>
          <w:rFonts w:asciiTheme="majorBidi" w:eastAsia="Calibri" w:hAnsiTheme="majorBidi" w:cstheme="majorBidi"/>
          <w:sz w:val="24"/>
          <w:szCs w:val="24"/>
        </w:rPr>
        <w:t xml:space="preserve"> out advanced fibrosis [28]</w:t>
      </w:r>
      <w:r w:rsidR="006E2D02" w:rsidRPr="00BB0C2D">
        <w:rPr>
          <w:rFonts w:asciiTheme="majorBidi" w:eastAsia="Calibri" w:hAnsiTheme="majorBidi" w:cstheme="majorBidi"/>
          <w:sz w:val="24"/>
          <w:szCs w:val="24"/>
        </w:rPr>
        <w:t>,</w:t>
      </w:r>
      <w:r w:rsidR="006A789B" w:rsidRPr="00BB0C2D">
        <w:rPr>
          <w:rFonts w:asciiTheme="majorBidi" w:eastAsia="Calibri" w:hAnsiTheme="majorBidi" w:cstheme="majorBidi"/>
          <w:sz w:val="24"/>
          <w:szCs w:val="24"/>
        </w:rPr>
        <w:t xml:space="preserve"> </w:t>
      </w:r>
      <w:r w:rsidR="00F13EDA" w:rsidRPr="00BB0C2D">
        <w:rPr>
          <w:rFonts w:asciiTheme="majorBidi" w:eastAsia="Calibri" w:hAnsiTheme="majorBidi" w:cstheme="majorBidi"/>
          <w:sz w:val="24"/>
          <w:szCs w:val="24"/>
        </w:rPr>
        <w:t xml:space="preserve">but </w:t>
      </w:r>
      <w:r w:rsidRPr="00BB0C2D">
        <w:rPr>
          <w:rFonts w:asciiTheme="majorBidi" w:eastAsia="Calibri" w:hAnsiTheme="majorBidi" w:cstheme="majorBidi"/>
          <w:sz w:val="24"/>
          <w:szCs w:val="24"/>
        </w:rPr>
        <w:t xml:space="preserve">this is </w:t>
      </w:r>
      <w:r w:rsidR="00F13EDA" w:rsidRPr="00BB0C2D">
        <w:rPr>
          <w:rFonts w:asciiTheme="majorBidi" w:eastAsia="Calibri" w:hAnsiTheme="majorBidi" w:cstheme="majorBidi"/>
          <w:sz w:val="24"/>
          <w:szCs w:val="24"/>
        </w:rPr>
        <w:t>in contrast to</w:t>
      </w:r>
      <w:r w:rsidRPr="00BB0C2D">
        <w:rPr>
          <w:rFonts w:asciiTheme="majorBidi" w:eastAsia="Calibri" w:hAnsiTheme="majorBidi" w:cstheme="majorBidi"/>
          <w:sz w:val="24"/>
          <w:szCs w:val="24"/>
        </w:rPr>
        <w:t xml:space="preserve"> </w:t>
      </w:r>
      <w:r w:rsidR="006E2D02" w:rsidRPr="00BB0C2D">
        <w:rPr>
          <w:rFonts w:asciiTheme="majorBidi" w:eastAsia="Calibri" w:hAnsiTheme="majorBidi" w:cstheme="majorBidi"/>
          <w:sz w:val="24"/>
          <w:szCs w:val="24"/>
        </w:rPr>
        <w:t xml:space="preserve">the </w:t>
      </w:r>
      <w:r w:rsidRPr="00BB0C2D">
        <w:rPr>
          <w:rFonts w:asciiTheme="majorBidi" w:eastAsia="Calibri" w:hAnsiTheme="majorBidi" w:cstheme="majorBidi"/>
          <w:sz w:val="24"/>
          <w:szCs w:val="24"/>
        </w:rPr>
        <w:t>previous study</w:t>
      </w:r>
      <w:r w:rsidR="00A271C5" w:rsidRPr="00BB0C2D">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 xml:space="preserve">[23] that </w:t>
      </w:r>
      <w:r w:rsidR="00A271C5" w:rsidRPr="00BB0C2D">
        <w:rPr>
          <w:rFonts w:asciiTheme="majorBidi" w:eastAsia="Calibri" w:hAnsiTheme="majorBidi" w:cstheme="majorBidi"/>
          <w:sz w:val="24"/>
          <w:szCs w:val="24"/>
        </w:rPr>
        <w:t>reported the</w:t>
      </w:r>
      <w:r w:rsidRPr="00BB0C2D">
        <w:rPr>
          <w:rFonts w:asciiTheme="majorBidi" w:eastAsia="Calibri" w:hAnsiTheme="majorBidi" w:cstheme="majorBidi"/>
          <w:sz w:val="24"/>
          <w:szCs w:val="24"/>
        </w:rPr>
        <w:t xml:space="preserve"> FIB-5 score </w:t>
      </w:r>
      <w:r w:rsidR="00A271C5" w:rsidRPr="00BB0C2D">
        <w:rPr>
          <w:rFonts w:asciiTheme="majorBidi" w:eastAsia="Calibri" w:hAnsiTheme="majorBidi" w:cstheme="majorBidi"/>
          <w:sz w:val="24"/>
          <w:szCs w:val="24"/>
        </w:rPr>
        <w:t xml:space="preserve">of </w:t>
      </w:r>
      <w:r w:rsidR="006E2D02" w:rsidRPr="00BB0C2D">
        <w:rPr>
          <w:rFonts w:asciiTheme="majorBidi" w:eastAsia="Calibri" w:hAnsiTheme="majorBidi" w:cstheme="majorBidi"/>
          <w:sz w:val="24"/>
          <w:szCs w:val="24"/>
        </w:rPr>
        <w:t xml:space="preserve">the </w:t>
      </w:r>
      <w:r w:rsidR="00A271C5" w:rsidRPr="00BB0C2D">
        <w:rPr>
          <w:rFonts w:asciiTheme="majorBidi" w:eastAsia="Calibri" w:hAnsiTheme="majorBidi" w:cstheme="majorBidi"/>
          <w:sz w:val="24"/>
          <w:szCs w:val="24"/>
        </w:rPr>
        <w:t>group</w:t>
      </w:r>
      <w:r w:rsidRPr="00BB0C2D">
        <w:rPr>
          <w:rFonts w:asciiTheme="majorBidi" w:eastAsia="Calibri" w:hAnsiTheme="majorBidi" w:cstheme="majorBidi"/>
          <w:sz w:val="24"/>
          <w:szCs w:val="24"/>
        </w:rPr>
        <w:t xml:space="preserve"> with advanced </w:t>
      </w:r>
      <w:r w:rsidR="00A271C5" w:rsidRPr="00BB0C2D">
        <w:rPr>
          <w:rFonts w:asciiTheme="majorBidi" w:eastAsia="Calibri" w:hAnsiTheme="majorBidi" w:cstheme="majorBidi"/>
          <w:sz w:val="24"/>
          <w:szCs w:val="24"/>
        </w:rPr>
        <w:t>fibrosis was</w:t>
      </w:r>
      <w:r w:rsidRPr="00BB0C2D">
        <w:rPr>
          <w:rFonts w:asciiTheme="majorBidi" w:eastAsia="Calibri" w:hAnsiTheme="majorBidi" w:cstheme="majorBidi"/>
          <w:sz w:val="24"/>
          <w:szCs w:val="24"/>
        </w:rPr>
        <w:t xml:space="preserve"> significantly lower as compared with patients with mild to moderate </w:t>
      </w:r>
      <w:r w:rsidR="00F13EDA" w:rsidRPr="00BB0C2D">
        <w:rPr>
          <w:rFonts w:asciiTheme="majorBidi" w:eastAsia="Calibri" w:hAnsiTheme="majorBidi" w:cstheme="majorBidi"/>
          <w:sz w:val="24"/>
          <w:szCs w:val="24"/>
        </w:rPr>
        <w:t>fibrosis in</w:t>
      </w:r>
      <w:r w:rsidRPr="00BB0C2D">
        <w:rPr>
          <w:rFonts w:asciiTheme="majorBidi" w:eastAsia="Calibri" w:hAnsiTheme="majorBidi" w:cstheme="majorBidi"/>
          <w:sz w:val="24"/>
          <w:szCs w:val="24"/>
        </w:rPr>
        <w:t xml:space="preserve"> NAFLD </w:t>
      </w:r>
      <w:r w:rsidR="00F13EDA" w:rsidRPr="00BB0C2D">
        <w:rPr>
          <w:rFonts w:asciiTheme="majorBidi" w:eastAsia="Calibri" w:hAnsiTheme="majorBidi" w:cstheme="majorBidi"/>
          <w:sz w:val="24"/>
          <w:szCs w:val="24"/>
        </w:rPr>
        <w:t>patients.</w:t>
      </w:r>
      <w:r w:rsidR="00256CE5">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Also</w:t>
      </w:r>
      <w:r w:rsidR="006E2D02" w:rsidRPr="00BB0C2D">
        <w:rPr>
          <w:rFonts w:asciiTheme="majorBidi" w:eastAsia="Calibri" w:hAnsiTheme="majorBidi" w:cstheme="majorBidi"/>
          <w:sz w:val="24"/>
          <w:szCs w:val="24"/>
        </w:rPr>
        <w:t>,</w:t>
      </w:r>
      <w:r w:rsidRPr="00BB0C2D">
        <w:rPr>
          <w:rFonts w:asciiTheme="majorBidi" w:eastAsia="Calibri" w:hAnsiTheme="majorBidi" w:cstheme="majorBidi"/>
          <w:sz w:val="24"/>
          <w:szCs w:val="24"/>
        </w:rPr>
        <w:t xml:space="preserve"> </w:t>
      </w:r>
      <w:r w:rsidR="006E2D02" w:rsidRPr="00BB0C2D">
        <w:rPr>
          <w:rFonts w:asciiTheme="majorBidi" w:eastAsia="Calibri" w:hAnsiTheme="majorBidi" w:cstheme="majorBidi"/>
          <w:sz w:val="24"/>
          <w:szCs w:val="24"/>
        </w:rPr>
        <w:t xml:space="preserve">other studies </w:t>
      </w:r>
      <w:r w:rsidRPr="00BB0C2D">
        <w:rPr>
          <w:rFonts w:asciiTheme="majorBidi" w:eastAsia="Calibri" w:hAnsiTheme="majorBidi" w:cstheme="majorBidi"/>
          <w:sz w:val="24"/>
          <w:szCs w:val="24"/>
        </w:rPr>
        <w:t xml:space="preserve">showed FIB-5 score was more specific than FIB-4 for diagnosing significant from </w:t>
      </w:r>
      <w:r w:rsidR="006E2D02" w:rsidRPr="00BB0C2D">
        <w:rPr>
          <w:rFonts w:asciiTheme="majorBidi" w:eastAsia="Calibri" w:hAnsiTheme="majorBidi" w:cstheme="majorBidi"/>
          <w:sz w:val="24"/>
          <w:szCs w:val="24"/>
        </w:rPr>
        <w:t>non-significant</w:t>
      </w:r>
      <w:r w:rsidRPr="00BB0C2D">
        <w:rPr>
          <w:rFonts w:asciiTheme="majorBidi" w:eastAsia="Calibri" w:hAnsiTheme="majorBidi" w:cstheme="majorBidi"/>
          <w:sz w:val="24"/>
          <w:szCs w:val="24"/>
        </w:rPr>
        <w:t xml:space="preserve"> hepatic fibrosis in patients with chronic HBV infection</w:t>
      </w:r>
      <w:r w:rsidR="00315969" w:rsidRPr="00BB0C2D">
        <w:rPr>
          <w:rFonts w:asciiTheme="majorBidi" w:eastAsia="Calibri" w:hAnsiTheme="majorBidi" w:cstheme="majorBidi"/>
          <w:sz w:val="24"/>
          <w:szCs w:val="24"/>
        </w:rPr>
        <w:t xml:space="preserve"> </w:t>
      </w:r>
      <w:r w:rsidRPr="00BB0C2D">
        <w:rPr>
          <w:rFonts w:asciiTheme="majorBidi" w:eastAsia="Calibri" w:hAnsiTheme="majorBidi" w:cstheme="majorBidi"/>
          <w:sz w:val="24"/>
          <w:szCs w:val="24"/>
        </w:rPr>
        <w:t>[26</w:t>
      </w:r>
      <w:r w:rsidR="004F7396" w:rsidRPr="00BB0C2D">
        <w:rPr>
          <w:rFonts w:asciiTheme="majorBidi" w:eastAsia="Calibri" w:hAnsiTheme="majorBidi" w:cstheme="majorBidi"/>
          <w:sz w:val="24"/>
          <w:szCs w:val="24"/>
        </w:rPr>
        <w:t>, 27</w:t>
      </w:r>
      <w:r w:rsidRPr="00BB0C2D">
        <w:rPr>
          <w:rFonts w:asciiTheme="majorBidi" w:eastAsia="Calibri" w:hAnsiTheme="majorBidi" w:cstheme="majorBidi"/>
          <w:sz w:val="24"/>
          <w:szCs w:val="24"/>
        </w:rPr>
        <w:t>].</w:t>
      </w:r>
    </w:p>
    <w:p w14:paraId="42422E95" w14:textId="3B3C80CF" w:rsidR="00892D1F" w:rsidRPr="00BB0C2D" w:rsidRDefault="006E2D02" w:rsidP="001315B6">
      <w:pPr>
        <w:bidi w:val="0"/>
        <w:spacing w:after="0" w:line="360" w:lineRule="auto"/>
        <w:jc w:val="both"/>
        <w:rPr>
          <w:rFonts w:asciiTheme="majorBidi" w:eastAsia="Calibri" w:hAnsiTheme="majorBidi" w:cstheme="majorBidi"/>
          <w:sz w:val="24"/>
          <w:szCs w:val="24"/>
        </w:rPr>
      </w:pPr>
      <w:r>
        <w:rPr>
          <w:rFonts w:asciiTheme="majorBidi" w:eastAsia="Calibri" w:hAnsiTheme="majorBidi" w:cstheme="majorBidi"/>
          <w:b/>
          <w:bCs/>
          <w:sz w:val="28"/>
          <w:szCs w:val="28"/>
        </w:rPr>
        <w:t>Conclusion</w:t>
      </w:r>
      <w:r w:rsidR="00892D1F" w:rsidRPr="006D15CF">
        <w:rPr>
          <w:rFonts w:asciiTheme="majorBidi" w:eastAsia="Calibri" w:hAnsiTheme="majorBidi" w:cstheme="majorBidi"/>
          <w:b/>
          <w:bCs/>
          <w:sz w:val="28"/>
          <w:szCs w:val="28"/>
        </w:rPr>
        <w:t xml:space="preserve">: </w:t>
      </w:r>
      <w:r w:rsidR="00892D1F" w:rsidRPr="00BB0C2D">
        <w:rPr>
          <w:rFonts w:asciiTheme="majorBidi" w:eastAsia="Calibri" w:hAnsiTheme="majorBidi" w:cstheme="majorBidi"/>
          <w:sz w:val="24"/>
          <w:szCs w:val="24"/>
        </w:rPr>
        <w:t>FIB-4 is consider</w:t>
      </w:r>
      <w:r w:rsidR="00846150" w:rsidRPr="00BB0C2D">
        <w:rPr>
          <w:rFonts w:asciiTheme="majorBidi" w:eastAsia="Calibri" w:hAnsiTheme="majorBidi" w:cstheme="majorBidi"/>
          <w:sz w:val="24"/>
          <w:szCs w:val="24"/>
        </w:rPr>
        <w:t xml:space="preserve">ed </w:t>
      </w:r>
      <w:r w:rsidR="00892D1F" w:rsidRPr="00BB0C2D">
        <w:rPr>
          <w:rFonts w:asciiTheme="majorBidi" w:eastAsia="Calibri" w:hAnsiTheme="majorBidi" w:cstheme="majorBidi"/>
          <w:sz w:val="24"/>
          <w:szCs w:val="24"/>
        </w:rPr>
        <w:t xml:space="preserve">a diagnostic tool for fibrosis in NAFLD patients and can be used for differentiation between </w:t>
      </w:r>
      <w:r w:rsidR="00F74960" w:rsidRPr="00BB0C2D">
        <w:rPr>
          <w:rFonts w:asciiTheme="majorBidi" w:eastAsia="Calibri" w:hAnsiTheme="majorBidi" w:cstheme="majorBidi"/>
          <w:sz w:val="24"/>
          <w:szCs w:val="24"/>
        </w:rPr>
        <w:t>advanced fibrosis</w:t>
      </w:r>
      <w:r w:rsidR="00892D1F" w:rsidRPr="00BB0C2D">
        <w:rPr>
          <w:rFonts w:asciiTheme="majorBidi" w:eastAsia="Calibri" w:hAnsiTheme="majorBidi" w:cstheme="majorBidi"/>
          <w:sz w:val="24"/>
          <w:szCs w:val="24"/>
        </w:rPr>
        <w:t xml:space="preserve"> and </w:t>
      </w:r>
      <w:r w:rsidR="00F74960" w:rsidRPr="00BB0C2D">
        <w:rPr>
          <w:rFonts w:asciiTheme="majorBidi" w:eastAsia="Calibri" w:hAnsiTheme="majorBidi" w:cstheme="majorBidi"/>
          <w:sz w:val="24"/>
          <w:szCs w:val="24"/>
        </w:rPr>
        <w:t>mild to moderate</w:t>
      </w:r>
      <w:r w:rsidR="00892D1F" w:rsidRPr="00BB0C2D">
        <w:rPr>
          <w:rFonts w:asciiTheme="majorBidi" w:eastAsia="Calibri" w:hAnsiTheme="majorBidi" w:cstheme="majorBidi"/>
          <w:sz w:val="24"/>
          <w:szCs w:val="24"/>
        </w:rPr>
        <w:t xml:space="preserve"> fibrosis in NAFLD patients.</w:t>
      </w:r>
    </w:p>
    <w:p w14:paraId="6517814E" w14:textId="265D8F88" w:rsidR="00892D1F" w:rsidRPr="006D15CF" w:rsidRDefault="00892D1F" w:rsidP="004411C3">
      <w:pPr>
        <w:bidi w:val="0"/>
        <w:spacing w:after="0" w:line="360" w:lineRule="auto"/>
        <w:rPr>
          <w:rFonts w:asciiTheme="majorBidi" w:eastAsia="Calibri" w:hAnsiTheme="majorBidi" w:cstheme="majorBidi"/>
          <w:b/>
          <w:bCs/>
          <w:sz w:val="28"/>
          <w:szCs w:val="28"/>
        </w:rPr>
      </w:pPr>
      <w:r w:rsidRPr="006D15CF">
        <w:rPr>
          <w:rFonts w:asciiTheme="majorBidi" w:eastAsia="Calibri" w:hAnsiTheme="majorBidi" w:cstheme="majorBidi"/>
          <w:b/>
          <w:bCs/>
          <w:sz w:val="28"/>
          <w:szCs w:val="28"/>
        </w:rPr>
        <w:t xml:space="preserve">Funding </w:t>
      </w:r>
    </w:p>
    <w:p w14:paraId="51C879D5" w14:textId="59B802E3" w:rsidR="00892D1F" w:rsidRPr="00BB0C2D" w:rsidRDefault="00892D1F" w:rsidP="00892D1F">
      <w:pPr>
        <w:bidi w:val="0"/>
        <w:spacing w:after="0" w:line="360" w:lineRule="auto"/>
        <w:ind w:firstLine="720"/>
        <w:rPr>
          <w:rFonts w:asciiTheme="majorBidi" w:eastAsia="Calibri" w:hAnsiTheme="majorBidi" w:cstheme="majorBidi"/>
          <w:sz w:val="24"/>
          <w:szCs w:val="24"/>
        </w:rPr>
      </w:pPr>
      <w:r w:rsidRPr="00BB0C2D">
        <w:rPr>
          <w:rFonts w:asciiTheme="majorBidi" w:eastAsia="Calibri" w:hAnsiTheme="majorBidi" w:cstheme="majorBidi"/>
          <w:sz w:val="24"/>
          <w:szCs w:val="24"/>
        </w:rPr>
        <w:t xml:space="preserve">This research </w:t>
      </w:r>
      <w:r w:rsidR="00E279B0">
        <w:rPr>
          <w:rFonts w:asciiTheme="majorBidi" w:eastAsia="Calibri" w:hAnsiTheme="majorBidi" w:cstheme="majorBidi"/>
          <w:sz w:val="24"/>
          <w:szCs w:val="24"/>
        </w:rPr>
        <w:t>received no</w:t>
      </w:r>
      <w:r w:rsidRPr="00BB0C2D">
        <w:rPr>
          <w:rFonts w:asciiTheme="majorBidi" w:eastAsia="Calibri" w:hAnsiTheme="majorBidi" w:cstheme="majorBidi"/>
          <w:sz w:val="24"/>
          <w:szCs w:val="24"/>
        </w:rPr>
        <w:t xml:space="preserve"> specific grant from </w:t>
      </w:r>
      <w:r w:rsidR="00E279B0" w:rsidRPr="00E279B0">
        <w:rPr>
          <w:rFonts w:asciiTheme="majorBidi" w:eastAsia="Calibri" w:hAnsiTheme="majorBidi" w:cstheme="majorBidi"/>
          <w:sz w:val="24"/>
          <w:szCs w:val="24"/>
        </w:rPr>
        <w:t>public, commercial, or not-for-profit funding agencies</w:t>
      </w:r>
      <w:r w:rsidRPr="00BB0C2D">
        <w:rPr>
          <w:rFonts w:asciiTheme="majorBidi" w:eastAsia="Calibri" w:hAnsiTheme="majorBidi" w:cstheme="majorBidi"/>
          <w:sz w:val="24"/>
          <w:szCs w:val="24"/>
        </w:rPr>
        <w:t xml:space="preserve">. </w:t>
      </w:r>
    </w:p>
    <w:p w14:paraId="12F6C8AF" w14:textId="77777777" w:rsidR="00892D1F" w:rsidRPr="006D15CF" w:rsidRDefault="00892D1F" w:rsidP="001315B6">
      <w:pPr>
        <w:bidi w:val="0"/>
        <w:spacing w:after="0" w:line="360" w:lineRule="auto"/>
        <w:rPr>
          <w:rFonts w:asciiTheme="majorBidi" w:eastAsia="Calibri" w:hAnsiTheme="majorBidi" w:cstheme="majorBidi"/>
          <w:b/>
          <w:bCs/>
          <w:sz w:val="28"/>
          <w:szCs w:val="28"/>
        </w:rPr>
      </w:pPr>
      <w:r w:rsidRPr="006D15CF">
        <w:rPr>
          <w:rFonts w:asciiTheme="majorBidi" w:eastAsia="Calibri" w:hAnsiTheme="majorBidi" w:cstheme="majorBidi"/>
          <w:b/>
          <w:bCs/>
          <w:sz w:val="28"/>
          <w:szCs w:val="28"/>
        </w:rPr>
        <w:t>Declaration of competing interest</w:t>
      </w:r>
    </w:p>
    <w:p w14:paraId="207D8F0F" w14:textId="0B8B3ACA" w:rsidR="00892D1F" w:rsidRPr="00BB0C2D" w:rsidRDefault="00892D1F" w:rsidP="00892D1F">
      <w:pPr>
        <w:bidi w:val="0"/>
        <w:spacing w:after="0" w:line="360" w:lineRule="auto"/>
        <w:ind w:firstLine="720"/>
        <w:rPr>
          <w:rFonts w:asciiTheme="majorBidi" w:eastAsia="Calibri" w:hAnsiTheme="majorBidi" w:cstheme="majorBidi"/>
          <w:sz w:val="24"/>
          <w:szCs w:val="24"/>
        </w:rPr>
      </w:pPr>
      <w:r w:rsidRPr="00BB0C2D">
        <w:rPr>
          <w:rFonts w:asciiTheme="majorBidi" w:eastAsia="Calibri" w:hAnsiTheme="majorBidi" w:cstheme="majorBidi"/>
          <w:sz w:val="24"/>
          <w:szCs w:val="24"/>
        </w:rPr>
        <w:t>There are no conflicts of interest related to this study</w:t>
      </w:r>
      <w:r w:rsidR="007E45D4">
        <w:rPr>
          <w:rFonts w:asciiTheme="majorBidi" w:eastAsia="Calibri" w:hAnsiTheme="majorBidi" w:cstheme="majorBidi"/>
          <w:sz w:val="24"/>
          <w:szCs w:val="24"/>
        </w:rPr>
        <w:t>.</w:t>
      </w:r>
    </w:p>
    <w:p w14:paraId="39085F6C" w14:textId="57B42D0B" w:rsidR="00DB4F8B" w:rsidRPr="001315B6" w:rsidRDefault="00DB4F8B" w:rsidP="001315B6">
      <w:pPr>
        <w:bidi w:val="0"/>
        <w:spacing w:after="0" w:line="360" w:lineRule="auto"/>
        <w:rPr>
          <w:rFonts w:asciiTheme="majorBidi" w:eastAsia="Calibri" w:hAnsiTheme="majorBidi" w:cstheme="majorBidi"/>
          <w:b/>
          <w:bCs/>
          <w:sz w:val="28"/>
          <w:szCs w:val="28"/>
        </w:rPr>
      </w:pPr>
      <w:r w:rsidRPr="001315B6">
        <w:rPr>
          <w:rFonts w:asciiTheme="majorBidi" w:eastAsia="Calibri" w:hAnsiTheme="majorBidi" w:cstheme="majorBidi"/>
          <w:b/>
          <w:bCs/>
          <w:sz w:val="28"/>
          <w:szCs w:val="28"/>
        </w:rPr>
        <w:t>Authors contributions:</w:t>
      </w:r>
    </w:p>
    <w:p w14:paraId="42F87BC6" w14:textId="68A737B1" w:rsidR="00DB4F8B" w:rsidRDefault="00DB4F8B" w:rsidP="00DB4F8B">
      <w:pPr>
        <w:bidi w:val="0"/>
        <w:spacing w:after="0" w:line="360" w:lineRule="auto"/>
        <w:ind w:firstLine="720"/>
        <w:rPr>
          <w:rFonts w:asciiTheme="majorBidi" w:eastAsia="Calibri" w:hAnsiTheme="majorBidi" w:cstheme="majorBidi"/>
          <w:sz w:val="24"/>
          <w:szCs w:val="24"/>
        </w:rPr>
      </w:pPr>
      <w:r w:rsidRPr="001315B6">
        <w:rPr>
          <w:rFonts w:asciiTheme="majorBidi" w:eastAsia="Calibri" w:hAnsiTheme="majorBidi" w:cstheme="majorBidi"/>
          <w:sz w:val="24"/>
          <w:szCs w:val="24"/>
        </w:rPr>
        <w:t>All authors had direct exposure to the study data </w:t>
      </w:r>
      <w:r w:rsidR="001315B6">
        <w:rPr>
          <w:rFonts w:asciiTheme="majorBidi" w:eastAsia="Calibri" w:hAnsiTheme="majorBidi" w:cstheme="majorBidi"/>
          <w:sz w:val="24"/>
          <w:szCs w:val="24"/>
        </w:rPr>
        <w:t xml:space="preserve">and </w:t>
      </w:r>
      <w:r w:rsidRPr="001315B6">
        <w:rPr>
          <w:rFonts w:asciiTheme="majorBidi" w:eastAsia="Calibri" w:hAnsiTheme="majorBidi" w:cstheme="majorBidi"/>
          <w:sz w:val="24"/>
          <w:szCs w:val="24"/>
        </w:rPr>
        <w:t>read and agreed</w:t>
      </w:r>
      <w:r w:rsidR="001315B6">
        <w:rPr>
          <w:rFonts w:asciiTheme="majorBidi" w:eastAsia="Calibri" w:hAnsiTheme="majorBidi" w:cstheme="majorBidi"/>
          <w:sz w:val="24"/>
          <w:szCs w:val="24"/>
        </w:rPr>
        <w:t xml:space="preserve"> with</w:t>
      </w:r>
      <w:r w:rsidRPr="001315B6">
        <w:rPr>
          <w:rFonts w:asciiTheme="majorBidi" w:eastAsia="Calibri" w:hAnsiTheme="majorBidi" w:cstheme="majorBidi"/>
          <w:sz w:val="24"/>
          <w:szCs w:val="24"/>
        </w:rPr>
        <w:t xml:space="preserve"> the final text.</w:t>
      </w:r>
    </w:p>
    <w:p w14:paraId="41A06948" w14:textId="77777777" w:rsidR="004411C3" w:rsidRPr="004411C3" w:rsidRDefault="004411C3" w:rsidP="004411C3">
      <w:pPr>
        <w:bidi w:val="0"/>
        <w:spacing w:line="360" w:lineRule="auto"/>
        <w:jc w:val="both"/>
        <w:rPr>
          <w:rFonts w:asciiTheme="majorBidi" w:hAnsiTheme="majorBidi" w:cstheme="majorBidi"/>
          <w:sz w:val="24"/>
          <w:szCs w:val="24"/>
        </w:rPr>
      </w:pPr>
      <w:r w:rsidRPr="004411C3">
        <w:rPr>
          <w:rFonts w:asciiTheme="majorBidi" w:hAnsiTheme="majorBidi" w:cstheme="majorBidi"/>
          <w:b/>
          <w:sz w:val="24"/>
          <w:szCs w:val="24"/>
        </w:rPr>
        <w:t>Footnotes.</w:t>
      </w:r>
      <w:r w:rsidRPr="004411C3">
        <w:rPr>
          <w:rFonts w:asciiTheme="majorBidi" w:hAnsiTheme="majorBidi" w:cstheme="majorBidi"/>
          <w:sz w:val="24"/>
          <w:szCs w:val="24"/>
        </w:rPr>
        <w:t> </w:t>
      </w:r>
    </w:p>
    <w:p w14:paraId="41F3D3DC" w14:textId="7976D50E" w:rsidR="004411C3" w:rsidRPr="004411C3" w:rsidRDefault="004411C3" w:rsidP="004411C3">
      <w:pPr>
        <w:bidi w:val="0"/>
        <w:spacing w:line="360" w:lineRule="auto"/>
        <w:jc w:val="both"/>
        <w:rPr>
          <w:rFonts w:asciiTheme="majorBidi" w:hAnsiTheme="majorBidi" w:cstheme="majorBidi"/>
          <w:sz w:val="24"/>
          <w:szCs w:val="24"/>
        </w:rPr>
      </w:pPr>
      <w:r w:rsidRPr="004411C3">
        <w:rPr>
          <w:rFonts w:asciiTheme="majorBidi" w:hAnsiTheme="majorBidi" w:cstheme="majorBidi"/>
          <w:b/>
          <w:sz w:val="24"/>
          <w:szCs w:val="24"/>
        </w:rPr>
        <w:t>Peer- Reviewers: </w:t>
      </w:r>
      <w:r w:rsidRPr="004411C3">
        <w:rPr>
          <w:rFonts w:asciiTheme="majorBidi" w:hAnsiTheme="majorBidi" w:cstheme="majorBidi"/>
          <w:sz w:val="24"/>
          <w:szCs w:val="24"/>
        </w:rPr>
        <w:t xml:space="preserve"> </w:t>
      </w:r>
      <w:r w:rsidR="00ED61E4" w:rsidRPr="00ED61E4">
        <w:rPr>
          <w:rFonts w:asciiTheme="majorBidi" w:hAnsiTheme="majorBidi" w:cstheme="majorBidi"/>
          <w:sz w:val="24"/>
          <w:szCs w:val="24"/>
        </w:rPr>
        <w:t>Samia</w:t>
      </w:r>
      <w:r w:rsidR="00ED61E4" w:rsidRPr="00ED61E4">
        <w:rPr>
          <w:rFonts w:asciiTheme="majorBidi" w:hAnsiTheme="majorBidi" w:cstheme="majorBidi"/>
          <w:sz w:val="24"/>
          <w:szCs w:val="24"/>
        </w:rPr>
        <w:t xml:space="preserve"> </w:t>
      </w:r>
      <w:r w:rsidR="00ED61E4" w:rsidRPr="00ED61E4">
        <w:rPr>
          <w:rFonts w:asciiTheme="majorBidi" w:hAnsiTheme="majorBidi" w:cstheme="majorBidi"/>
          <w:sz w:val="24"/>
          <w:szCs w:val="24"/>
        </w:rPr>
        <w:t>Hussien</w:t>
      </w:r>
      <w:r w:rsidR="00ED61E4" w:rsidRPr="004411C3">
        <w:rPr>
          <w:rFonts w:asciiTheme="majorBidi" w:hAnsiTheme="majorBidi" w:cstheme="majorBidi"/>
          <w:sz w:val="24"/>
          <w:szCs w:val="24"/>
        </w:rPr>
        <w:t xml:space="preserve"> </w:t>
      </w:r>
      <w:r w:rsidRPr="004411C3">
        <w:rPr>
          <w:rFonts w:asciiTheme="majorBidi" w:hAnsiTheme="majorBidi" w:cstheme="majorBidi"/>
          <w:sz w:val="24"/>
          <w:szCs w:val="24"/>
        </w:rPr>
        <w:t xml:space="preserve">(professor of </w:t>
      </w:r>
      <w:r w:rsidR="00ED61E4">
        <w:rPr>
          <w:rFonts w:asciiTheme="majorBidi" w:hAnsiTheme="majorBidi" w:cstheme="majorBidi"/>
          <w:sz w:val="24"/>
          <w:szCs w:val="24"/>
        </w:rPr>
        <w:t>biochemistry</w:t>
      </w:r>
      <w:r w:rsidRPr="004411C3">
        <w:rPr>
          <w:rFonts w:asciiTheme="majorBidi" w:hAnsiTheme="majorBidi" w:cstheme="majorBidi"/>
          <w:sz w:val="24"/>
          <w:szCs w:val="24"/>
        </w:rPr>
        <w:t xml:space="preserve">), </w:t>
      </w:r>
      <w:r w:rsidR="00ED61E4">
        <w:rPr>
          <w:rFonts w:asciiTheme="majorBidi" w:hAnsiTheme="majorBidi" w:cstheme="majorBidi"/>
          <w:sz w:val="24"/>
          <w:szCs w:val="24"/>
        </w:rPr>
        <w:t>Samah</w:t>
      </w:r>
      <w:r w:rsidR="00ED61E4" w:rsidRPr="00ED61E4">
        <w:rPr>
          <w:rFonts w:asciiTheme="majorBidi" w:hAnsiTheme="majorBidi" w:cstheme="majorBidi"/>
          <w:sz w:val="24"/>
          <w:szCs w:val="24"/>
        </w:rPr>
        <w:t xml:space="preserve"> </w:t>
      </w:r>
      <w:r w:rsidR="00ED61E4">
        <w:rPr>
          <w:rFonts w:asciiTheme="majorBidi" w:hAnsiTheme="majorBidi" w:cstheme="majorBidi"/>
          <w:sz w:val="24"/>
          <w:szCs w:val="24"/>
        </w:rPr>
        <w:t>Soliman</w:t>
      </w:r>
      <w:r w:rsidRPr="004411C3">
        <w:rPr>
          <w:rFonts w:asciiTheme="majorBidi" w:hAnsiTheme="majorBidi" w:cstheme="majorBidi"/>
          <w:sz w:val="24"/>
          <w:szCs w:val="24"/>
        </w:rPr>
        <w:t xml:space="preserve"> (</w:t>
      </w:r>
      <w:bookmarkStart w:id="5" w:name="_Hlk113889229"/>
      <w:r w:rsidRPr="004411C3">
        <w:rPr>
          <w:rFonts w:asciiTheme="majorBidi" w:hAnsiTheme="majorBidi" w:cstheme="majorBidi"/>
          <w:sz w:val="24"/>
          <w:szCs w:val="24"/>
        </w:rPr>
        <w:t xml:space="preserve">professor of </w:t>
      </w:r>
      <w:r w:rsidR="00ED61E4">
        <w:rPr>
          <w:rFonts w:asciiTheme="majorBidi" w:hAnsiTheme="majorBidi" w:cstheme="majorBidi"/>
          <w:sz w:val="24"/>
          <w:szCs w:val="24"/>
        </w:rPr>
        <w:t>tropical medicine</w:t>
      </w:r>
      <w:bookmarkEnd w:id="5"/>
      <w:r w:rsidRPr="004411C3">
        <w:rPr>
          <w:rFonts w:asciiTheme="majorBidi" w:hAnsiTheme="majorBidi" w:cstheme="majorBidi"/>
          <w:sz w:val="24"/>
          <w:szCs w:val="24"/>
        </w:rPr>
        <w:t xml:space="preserve">), </w:t>
      </w:r>
      <w:r w:rsidR="00ED61E4" w:rsidRPr="00ED61E4">
        <w:rPr>
          <w:rFonts w:asciiTheme="majorBidi" w:hAnsiTheme="majorBidi" w:cstheme="majorBidi"/>
          <w:sz w:val="24"/>
          <w:szCs w:val="24"/>
        </w:rPr>
        <w:t>Sadek, Hany</w:t>
      </w:r>
      <w:r w:rsidR="00ED61E4" w:rsidRPr="00ED61E4">
        <w:rPr>
          <w:rFonts w:asciiTheme="majorBidi" w:hAnsiTheme="majorBidi" w:cstheme="majorBidi"/>
          <w:sz w:val="24"/>
          <w:szCs w:val="24"/>
        </w:rPr>
        <w:t xml:space="preserve"> </w:t>
      </w:r>
      <w:bookmarkStart w:id="6" w:name="_Hlk113889261"/>
      <w:r w:rsidRPr="004411C3">
        <w:rPr>
          <w:rFonts w:asciiTheme="majorBidi" w:hAnsiTheme="majorBidi" w:cstheme="majorBidi"/>
          <w:sz w:val="24"/>
          <w:szCs w:val="24"/>
        </w:rPr>
        <w:t>(</w:t>
      </w:r>
      <w:r w:rsidR="00ED61E4" w:rsidRPr="004411C3">
        <w:rPr>
          <w:rFonts w:asciiTheme="majorBidi" w:hAnsiTheme="majorBidi" w:cstheme="majorBidi"/>
          <w:sz w:val="24"/>
          <w:szCs w:val="24"/>
        </w:rPr>
        <w:t xml:space="preserve">professor of </w:t>
      </w:r>
      <w:r w:rsidR="00ED61E4">
        <w:rPr>
          <w:rFonts w:asciiTheme="majorBidi" w:hAnsiTheme="majorBidi" w:cstheme="majorBidi"/>
          <w:sz w:val="24"/>
          <w:szCs w:val="24"/>
        </w:rPr>
        <w:t>internal</w:t>
      </w:r>
      <w:r w:rsidR="00ED61E4">
        <w:rPr>
          <w:rFonts w:asciiTheme="majorBidi" w:hAnsiTheme="majorBidi" w:cstheme="majorBidi"/>
          <w:sz w:val="24"/>
          <w:szCs w:val="24"/>
        </w:rPr>
        <w:t xml:space="preserve"> medicine</w:t>
      </w:r>
      <w:r w:rsidRPr="004411C3">
        <w:rPr>
          <w:rFonts w:asciiTheme="majorBidi" w:hAnsiTheme="majorBidi" w:cstheme="majorBidi"/>
          <w:sz w:val="24"/>
          <w:szCs w:val="24"/>
        </w:rPr>
        <w:t>)</w:t>
      </w:r>
      <w:bookmarkEnd w:id="6"/>
      <w:r w:rsidR="00ED61E4">
        <w:rPr>
          <w:rFonts w:asciiTheme="majorBidi" w:hAnsiTheme="majorBidi" w:cstheme="majorBidi"/>
          <w:sz w:val="24"/>
          <w:szCs w:val="24"/>
        </w:rPr>
        <w:t xml:space="preserve">, </w:t>
      </w:r>
      <w:r w:rsidR="00ED61E4" w:rsidRPr="00ED61E4">
        <w:rPr>
          <w:rFonts w:asciiTheme="majorBidi" w:hAnsiTheme="majorBidi" w:cstheme="majorBidi"/>
          <w:sz w:val="24"/>
          <w:szCs w:val="24"/>
        </w:rPr>
        <w:t>Alagrody, Ahmed I</w:t>
      </w:r>
      <w:r w:rsidR="00ED61E4" w:rsidRPr="004411C3">
        <w:rPr>
          <w:rFonts w:asciiTheme="majorBidi" w:hAnsiTheme="majorBidi" w:cstheme="majorBidi"/>
          <w:sz w:val="24"/>
          <w:szCs w:val="24"/>
        </w:rPr>
        <w:t xml:space="preserve">(professor of </w:t>
      </w:r>
      <w:r w:rsidR="00ED61E4">
        <w:rPr>
          <w:rFonts w:asciiTheme="majorBidi" w:hAnsiTheme="majorBidi" w:cstheme="majorBidi"/>
          <w:sz w:val="24"/>
          <w:szCs w:val="24"/>
        </w:rPr>
        <w:t>internal medicine</w:t>
      </w:r>
      <w:r w:rsidR="00ED61E4" w:rsidRPr="004411C3">
        <w:rPr>
          <w:rFonts w:asciiTheme="majorBidi" w:hAnsiTheme="majorBidi" w:cstheme="majorBidi"/>
          <w:sz w:val="24"/>
          <w:szCs w:val="24"/>
        </w:rPr>
        <w:t>)</w:t>
      </w:r>
      <w:r w:rsidR="00ED61E4">
        <w:rPr>
          <w:rFonts w:asciiTheme="majorBidi" w:hAnsiTheme="majorBidi" w:cstheme="majorBidi"/>
          <w:sz w:val="24"/>
          <w:szCs w:val="24"/>
        </w:rPr>
        <w:t xml:space="preserve"> </w:t>
      </w:r>
    </w:p>
    <w:p w14:paraId="42137D8E" w14:textId="77777777" w:rsidR="004411C3" w:rsidRPr="004411C3" w:rsidRDefault="004411C3" w:rsidP="004411C3">
      <w:pPr>
        <w:bidi w:val="0"/>
        <w:spacing w:line="360" w:lineRule="auto"/>
        <w:jc w:val="both"/>
        <w:rPr>
          <w:rFonts w:asciiTheme="majorBidi" w:hAnsiTheme="majorBidi" w:cstheme="majorBidi"/>
          <w:sz w:val="24"/>
          <w:szCs w:val="24"/>
        </w:rPr>
      </w:pPr>
      <w:r w:rsidRPr="004411C3">
        <w:rPr>
          <w:rFonts w:asciiTheme="majorBidi" w:hAnsiTheme="majorBidi" w:cstheme="majorBidi"/>
          <w:b/>
          <w:sz w:val="24"/>
          <w:szCs w:val="24"/>
        </w:rPr>
        <w:t>E- Editor:</w:t>
      </w:r>
      <w:r w:rsidRPr="004411C3">
        <w:rPr>
          <w:rFonts w:asciiTheme="majorBidi" w:hAnsiTheme="majorBidi" w:cstheme="majorBidi"/>
          <w:sz w:val="24"/>
          <w:szCs w:val="24"/>
        </w:rPr>
        <w:t> Salem Y Mohamed.</w:t>
      </w:r>
    </w:p>
    <w:p w14:paraId="00C49A3D" w14:textId="77777777" w:rsidR="004411C3" w:rsidRPr="004411C3" w:rsidRDefault="004411C3" w:rsidP="004411C3">
      <w:pPr>
        <w:bidi w:val="0"/>
        <w:spacing w:line="360" w:lineRule="auto"/>
        <w:jc w:val="both"/>
        <w:rPr>
          <w:rFonts w:asciiTheme="majorBidi" w:hAnsiTheme="majorBidi" w:cstheme="majorBidi"/>
          <w:sz w:val="24"/>
          <w:szCs w:val="24"/>
        </w:rPr>
      </w:pPr>
      <w:r w:rsidRPr="004411C3">
        <w:rPr>
          <w:rFonts w:asciiTheme="majorBidi" w:hAnsiTheme="majorBidi" w:cstheme="majorBidi"/>
          <w:b/>
          <w:sz w:val="24"/>
          <w:szCs w:val="24"/>
        </w:rPr>
        <w:t>Copyright</w:t>
      </w:r>
      <w:r w:rsidRPr="004411C3">
        <w:rPr>
          <w:rFonts w:asciiTheme="majorBidi" w:hAnsiTheme="majorBidi" w:cstheme="majorBidi"/>
          <w:sz w:val="24"/>
          <w:szCs w:val="24"/>
        </w:rPr>
        <w:t> ©. This open-access article is distributed under the </w:t>
      </w:r>
      <w:hyperlink r:id="rId18" w:history="1">
        <w:r w:rsidRPr="004411C3">
          <w:rPr>
            <w:rFonts w:asciiTheme="majorBidi" w:hAnsiTheme="majorBidi" w:cstheme="majorBidi"/>
            <w:b/>
            <w:color w:val="0000FF"/>
            <w:sz w:val="24"/>
            <w:szCs w:val="24"/>
            <w:u w:val="single"/>
          </w:rPr>
          <w:t>Creative Commons Attribution License (CC BY)</w:t>
        </w:r>
      </w:hyperlink>
      <w:r w:rsidRPr="004411C3">
        <w:rPr>
          <w:rFonts w:asciiTheme="majorBidi" w:hAnsiTheme="majorBidi" w:cstheme="majorBidi"/>
          <w:sz w:val="24"/>
          <w:szCs w:val="24"/>
        </w:rPr>
        <w:t>. The use, distribution, or reproduction in other forums</w:t>
      </w:r>
    </w:p>
    <w:p w14:paraId="56B3FC63" w14:textId="77777777" w:rsidR="004411C3" w:rsidRPr="004411C3" w:rsidRDefault="004411C3" w:rsidP="004411C3">
      <w:pPr>
        <w:bidi w:val="0"/>
        <w:spacing w:line="360" w:lineRule="auto"/>
        <w:jc w:val="both"/>
        <w:rPr>
          <w:rFonts w:asciiTheme="majorBidi" w:hAnsiTheme="majorBidi" w:cstheme="majorBidi"/>
          <w:sz w:val="24"/>
          <w:szCs w:val="24"/>
        </w:rPr>
      </w:pPr>
      <w:r w:rsidRPr="004411C3">
        <w:rPr>
          <w:rFonts w:asciiTheme="majorBidi" w:hAnsiTheme="majorBidi" w:cstheme="majorBidi"/>
          <w:sz w:val="24"/>
          <w:szCs w:val="24"/>
        </w:rPr>
        <w:t>is permitted, provided the original author(s) and the copyright owner(s) are credited. The original publication in this journal is cited by accepted academic practice. No use, distribution, or reproduction is permitted, complying with these terms. </w:t>
      </w:r>
    </w:p>
    <w:p w14:paraId="51E63E03" w14:textId="6AD869F5" w:rsidR="004411C3" w:rsidRPr="004411C3" w:rsidRDefault="004411C3" w:rsidP="004411C3">
      <w:pPr>
        <w:bidi w:val="0"/>
        <w:spacing w:line="360" w:lineRule="auto"/>
        <w:jc w:val="both"/>
        <w:rPr>
          <w:rFonts w:asciiTheme="majorBidi" w:hAnsiTheme="majorBidi" w:cstheme="majorBidi"/>
          <w:sz w:val="24"/>
          <w:szCs w:val="24"/>
        </w:rPr>
      </w:pPr>
      <w:r w:rsidRPr="004411C3">
        <w:rPr>
          <w:rFonts w:asciiTheme="majorBidi" w:hAnsiTheme="majorBidi" w:cstheme="majorBidi"/>
          <w:b/>
          <w:sz w:val="24"/>
          <w:szCs w:val="24"/>
        </w:rPr>
        <w:t>Disclaimer: </w:t>
      </w:r>
      <w:r w:rsidRPr="004411C3">
        <w:rPr>
          <w:rFonts w:asciiTheme="majorBidi" w:hAnsiTheme="majorBidi" w:cstheme="majorBidi"/>
          <w:sz w:val="24"/>
          <w:szCs w:val="24"/>
        </w:rPr>
        <w:t xml:space="preserve">All claims expressed in this article are solely those of the authors and do not necessarily represent their affiliated organizations or those of the publisher, the editors, and the reviewers. Any product evaluated in this article or </w:t>
      </w:r>
      <w:r w:rsidR="00237341">
        <w:rPr>
          <w:rFonts w:asciiTheme="majorBidi" w:hAnsiTheme="majorBidi" w:cstheme="majorBidi"/>
          <w:sz w:val="24"/>
          <w:szCs w:val="24"/>
        </w:rPr>
        <w:t>its manufacturer’s claim</w:t>
      </w:r>
      <w:r w:rsidRPr="004411C3">
        <w:rPr>
          <w:rFonts w:asciiTheme="majorBidi" w:hAnsiTheme="majorBidi" w:cstheme="majorBidi"/>
          <w:sz w:val="24"/>
          <w:szCs w:val="24"/>
        </w:rPr>
        <w:t xml:space="preserve"> is not guaranteed or endorsed by the publisher. </w:t>
      </w:r>
    </w:p>
    <w:p w14:paraId="6278060F" w14:textId="1BD9AB13" w:rsidR="00892D1F" w:rsidRPr="001315B6" w:rsidRDefault="00892D1F" w:rsidP="006C4684">
      <w:pPr>
        <w:bidi w:val="0"/>
        <w:spacing w:after="0" w:line="360" w:lineRule="auto"/>
        <w:rPr>
          <w:rFonts w:asciiTheme="majorBidi" w:eastAsia="Times New Roman" w:hAnsiTheme="majorBidi" w:cstheme="majorBidi"/>
          <w:b/>
          <w:bCs/>
          <w:sz w:val="28"/>
          <w:szCs w:val="28"/>
        </w:rPr>
      </w:pPr>
      <w:r w:rsidRPr="001315B6">
        <w:rPr>
          <w:rFonts w:asciiTheme="majorBidi" w:eastAsia="Times New Roman" w:hAnsiTheme="majorBidi" w:cstheme="majorBidi"/>
          <w:b/>
          <w:bCs/>
          <w:sz w:val="28"/>
          <w:szCs w:val="28"/>
        </w:rPr>
        <w:t>References:</w:t>
      </w:r>
    </w:p>
    <w:p w14:paraId="02F3ACBB" w14:textId="137061E6" w:rsidR="004F7396" w:rsidRPr="00F34F37" w:rsidRDefault="004F7396" w:rsidP="00D54767">
      <w:pPr>
        <w:bidi w:val="0"/>
        <w:jc w:val="mediumKashida"/>
        <w:rPr>
          <w:rFonts w:asciiTheme="majorBidi" w:hAnsiTheme="majorBidi" w:cstheme="majorBidi"/>
          <w:sz w:val="24"/>
          <w:szCs w:val="24"/>
        </w:rPr>
      </w:pPr>
      <w:r w:rsidRPr="00F34F37">
        <w:rPr>
          <w:rFonts w:asciiTheme="majorBidi" w:hAnsiTheme="majorBidi" w:cstheme="majorBidi"/>
          <w:sz w:val="24"/>
          <w:szCs w:val="24"/>
        </w:rPr>
        <w:t>1</w:t>
      </w:r>
      <w:r w:rsidRPr="00F34F37">
        <w:rPr>
          <w:rFonts w:asciiTheme="majorBidi" w:hAnsiTheme="majorBidi" w:cstheme="majorBidi"/>
          <w:b/>
          <w:bCs/>
          <w:sz w:val="24"/>
          <w:szCs w:val="24"/>
        </w:rPr>
        <w:t>- Ludwig J, Viggiano TR, McGill DB, Oh BJ</w:t>
      </w:r>
      <w:r w:rsidRPr="00F34F37">
        <w:rPr>
          <w:rFonts w:asciiTheme="majorBidi" w:hAnsiTheme="majorBidi" w:cstheme="majorBidi"/>
          <w:sz w:val="24"/>
          <w:szCs w:val="24"/>
        </w:rPr>
        <w:t>. Nonalcoholic steatohepatitis: Mayo Clinic experiences with a hitherto unnamed disease. Mayo Clin Proc 1980;55(7):434-438.</w:t>
      </w:r>
    </w:p>
    <w:p w14:paraId="59363782" w14:textId="5968628F" w:rsidR="004F7396" w:rsidRPr="00F34F37" w:rsidRDefault="004F7396" w:rsidP="00D54767">
      <w:pPr>
        <w:bidi w:val="0"/>
        <w:jc w:val="mediumKashida"/>
        <w:rPr>
          <w:rFonts w:asciiTheme="majorBidi" w:hAnsiTheme="majorBidi" w:cstheme="majorBidi"/>
          <w:b/>
          <w:bCs/>
          <w:sz w:val="24"/>
          <w:szCs w:val="24"/>
        </w:rPr>
      </w:pPr>
      <w:r w:rsidRPr="00F34F37">
        <w:rPr>
          <w:rFonts w:asciiTheme="majorBidi" w:hAnsiTheme="majorBidi" w:cstheme="majorBidi"/>
          <w:sz w:val="24"/>
          <w:szCs w:val="24"/>
        </w:rPr>
        <w:t xml:space="preserve">2 - </w:t>
      </w:r>
      <w:r w:rsidRPr="00F34F37">
        <w:rPr>
          <w:rFonts w:asciiTheme="majorBidi" w:hAnsiTheme="majorBidi" w:cstheme="majorBidi"/>
          <w:b/>
          <w:bCs/>
          <w:sz w:val="24"/>
          <w:szCs w:val="24"/>
        </w:rPr>
        <w:t>Zelber-Sagi S, Shoham D, Zvibel I, Abu-Abeid S, Shibolet O, Fishman S</w:t>
      </w:r>
      <w:r w:rsidRPr="00F34F37">
        <w:rPr>
          <w:rFonts w:asciiTheme="majorBidi" w:hAnsiTheme="majorBidi" w:cstheme="majorBidi"/>
          <w:sz w:val="24"/>
          <w:szCs w:val="24"/>
        </w:rPr>
        <w:t>. Predictors for advanced fibrosis in morbidly obese non-alcoholic fatty liver patients. World Journal of Hepatol. 2017;9(2):91.</w:t>
      </w:r>
    </w:p>
    <w:p w14:paraId="498F72A8" w14:textId="77777777" w:rsidR="003544FC" w:rsidRPr="003544FC" w:rsidRDefault="004F7396" w:rsidP="003544FC">
      <w:pPr>
        <w:bidi w:val="0"/>
        <w:jc w:val="mediumKashida"/>
        <w:rPr>
          <w:rFonts w:asciiTheme="majorBidi" w:hAnsiTheme="majorBidi" w:cstheme="majorBidi"/>
          <w:sz w:val="24"/>
          <w:szCs w:val="24"/>
        </w:rPr>
      </w:pPr>
      <w:r w:rsidRPr="00F34F37">
        <w:rPr>
          <w:rFonts w:asciiTheme="majorBidi" w:hAnsiTheme="majorBidi" w:cstheme="majorBidi"/>
          <w:b/>
          <w:bCs/>
          <w:sz w:val="24"/>
          <w:szCs w:val="24"/>
        </w:rPr>
        <w:t xml:space="preserve">3- </w:t>
      </w:r>
      <w:r w:rsidR="003544FC" w:rsidRPr="003544FC">
        <w:rPr>
          <w:rFonts w:asciiTheme="majorBidi" w:hAnsiTheme="majorBidi" w:cstheme="majorBidi"/>
          <w:b/>
          <w:bCs/>
          <w:sz w:val="24"/>
          <w:szCs w:val="24"/>
        </w:rPr>
        <w:t>Loria P, Lonardo A, Carulli N.</w:t>
      </w:r>
      <w:r w:rsidR="003544FC">
        <w:rPr>
          <w:rFonts w:ascii="Segoe UI" w:hAnsi="Segoe UI" w:cs="Segoe UI"/>
          <w:color w:val="212121"/>
          <w:shd w:val="clear" w:color="auto" w:fill="FFFFFF"/>
        </w:rPr>
        <w:t xml:space="preserve"> </w:t>
      </w:r>
      <w:r w:rsidR="003544FC" w:rsidRPr="003544FC">
        <w:rPr>
          <w:rFonts w:asciiTheme="majorBidi" w:hAnsiTheme="majorBidi" w:cstheme="majorBidi"/>
          <w:sz w:val="24"/>
          <w:szCs w:val="24"/>
        </w:rPr>
        <w:t>Should nonalcoholic fatty liver disease be renamed? Dig Dis. 2005;23(1):72-82. doi: 10.1159/000084728. PMID: 15920328.</w:t>
      </w:r>
    </w:p>
    <w:p w14:paraId="3F4C8CA0" w14:textId="1156C9FC" w:rsidR="004F7396" w:rsidRPr="00F34F37" w:rsidRDefault="004F7396" w:rsidP="003544FC">
      <w:pPr>
        <w:bidi w:val="0"/>
        <w:jc w:val="mediumKashida"/>
        <w:rPr>
          <w:rFonts w:asciiTheme="majorBidi" w:hAnsiTheme="majorBidi" w:cstheme="majorBidi"/>
          <w:sz w:val="24"/>
          <w:szCs w:val="24"/>
        </w:rPr>
      </w:pPr>
      <w:r w:rsidRPr="00F34F37">
        <w:rPr>
          <w:rFonts w:asciiTheme="majorBidi" w:hAnsiTheme="majorBidi" w:cstheme="majorBidi"/>
          <w:sz w:val="24"/>
          <w:szCs w:val="24"/>
        </w:rPr>
        <w:t xml:space="preserve">4- </w:t>
      </w:r>
      <w:r w:rsidRPr="00F34F37">
        <w:rPr>
          <w:rFonts w:asciiTheme="majorBidi" w:hAnsiTheme="majorBidi" w:cstheme="majorBidi"/>
          <w:b/>
          <w:bCs/>
          <w:sz w:val="24"/>
          <w:szCs w:val="24"/>
        </w:rPr>
        <w:t>Dufour JF</w:t>
      </w:r>
      <w:r w:rsidRPr="00F34F37">
        <w:rPr>
          <w:rFonts w:asciiTheme="majorBidi" w:hAnsiTheme="majorBidi" w:cstheme="majorBidi"/>
          <w:sz w:val="24"/>
          <w:szCs w:val="24"/>
        </w:rPr>
        <w:t>. Time to Abandon NASH? Hepatol 2016;63(1):9-10.5.</w:t>
      </w:r>
    </w:p>
    <w:p w14:paraId="76BBB32F" w14:textId="64A31ED4" w:rsidR="004F7396" w:rsidRPr="00F34F37" w:rsidRDefault="004F7396" w:rsidP="00D54767">
      <w:pPr>
        <w:bidi w:val="0"/>
        <w:jc w:val="mediumKashida"/>
        <w:rPr>
          <w:rFonts w:asciiTheme="majorBidi" w:hAnsiTheme="majorBidi" w:cstheme="majorBidi"/>
          <w:sz w:val="24"/>
          <w:szCs w:val="24"/>
        </w:rPr>
      </w:pPr>
      <w:r w:rsidRPr="00F34F37">
        <w:rPr>
          <w:rFonts w:asciiTheme="majorBidi" w:hAnsiTheme="majorBidi" w:cstheme="majorBidi"/>
          <w:b/>
          <w:bCs/>
          <w:sz w:val="24"/>
          <w:szCs w:val="24"/>
        </w:rPr>
        <w:t>5-</w:t>
      </w:r>
      <w:r w:rsidRPr="00F34F37">
        <w:rPr>
          <w:rFonts w:asciiTheme="majorBidi" w:hAnsiTheme="majorBidi" w:cstheme="majorBidi"/>
          <w:sz w:val="24"/>
          <w:szCs w:val="24"/>
        </w:rPr>
        <w:t xml:space="preserve"> </w:t>
      </w:r>
      <w:r w:rsidRPr="00F34F37">
        <w:rPr>
          <w:rFonts w:asciiTheme="majorBidi" w:hAnsiTheme="majorBidi" w:cstheme="majorBidi"/>
          <w:b/>
          <w:bCs/>
          <w:sz w:val="24"/>
          <w:szCs w:val="24"/>
        </w:rPr>
        <w:t>Bellentani S and Tiribelli C</w:t>
      </w:r>
      <w:r w:rsidRPr="00F34F37">
        <w:rPr>
          <w:rFonts w:asciiTheme="majorBidi" w:hAnsiTheme="majorBidi" w:cstheme="majorBidi"/>
          <w:sz w:val="24"/>
          <w:szCs w:val="24"/>
        </w:rPr>
        <w:t>. Is it time to change NAFLD and NASH nomenclature? Lancet Gastroenterol Hepatol 2017;2(8):547-548.</w:t>
      </w:r>
    </w:p>
    <w:p w14:paraId="19D602D8" w14:textId="1499F606" w:rsidR="004F7396" w:rsidRPr="00F34F37" w:rsidRDefault="004F7396" w:rsidP="00D54767">
      <w:pPr>
        <w:bidi w:val="0"/>
        <w:jc w:val="mediumKashida"/>
        <w:rPr>
          <w:rFonts w:asciiTheme="majorBidi" w:hAnsiTheme="majorBidi" w:cstheme="majorBidi"/>
          <w:sz w:val="24"/>
          <w:szCs w:val="24"/>
        </w:rPr>
      </w:pPr>
      <w:r w:rsidRPr="00F34F37">
        <w:rPr>
          <w:rFonts w:asciiTheme="majorBidi" w:hAnsiTheme="majorBidi" w:cstheme="majorBidi"/>
          <w:b/>
          <w:bCs/>
          <w:sz w:val="24"/>
          <w:szCs w:val="24"/>
        </w:rPr>
        <w:t>6- Eslam M, Sanyal AJ, George J. Toward</w:t>
      </w:r>
      <w:r w:rsidRPr="00F34F37">
        <w:rPr>
          <w:rFonts w:asciiTheme="majorBidi" w:hAnsiTheme="majorBidi" w:cstheme="majorBidi"/>
          <w:sz w:val="24"/>
          <w:szCs w:val="24"/>
        </w:rPr>
        <w:t xml:space="preserve">. More Accurate Nomenclature for Fatty Liver Diseases. Gastroenterology 2019;157(3):590-593. </w:t>
      </w:r>
    </w:p>
    <w:p w14:paraId="634563B0" w14:textId="77777777" w:rsidR="00036F7A" w:rsidRDefault="004F7396" w:rsidP="00036F7A">
      <w:pPr>
        <w:bidi w:val="0"/>
        <w:jc w:val="mediumKashida"/>
        <w:rPr>
          <w:rFonts w:ascii="Segoe UI" w:hAnsi="Segoe UI" w:cs="Segoe UI"/>
          <w:color w:val="212121"/>
          <w:shd w:val="clear" w:color="auto" w:fill="FFFFFF"/>
        </w:rPr>
      </w:pPr>
      <w:r w:rsidRPr="00F34F37">
        <w:rPr>
          <w:rFonts w:asciiTheme="majorBidi" w:hAnsiTheme="majorBidi" w:cstheme="majorBidi"/>
          <w:b/>
          <w:bCs/>
          <w:sz w:val="24"/>
          <w:szCs w:val="24"/>
        </w:rPr>
        <w:t xml:space="preserve">7- </w:t>
      </w:r>
      <w:r w:rsidR="00036F7A" w:rsidRPr="00036F7A">
        <w:rPr>
          <w:rFonts w:asciiTheme="majorBidi" w:hAnsiTheme="majorBidi" w:cstheme="majorBidi"/>
          <w:b/>
          <w:bCs/>
          <w:sz w:val="24"/>
          <w:szCs w:val="24"/>
        </w:rPr>
        <w:t>Sivell C.</w:t>
      </w:r>
      <w:r w:rsidR="00036F7A">
        <w:rPr>
          <w:rFonts w:ascii="Segoe UI" w:hAnsi="Segoe UI" w:cs="Segoe UI"/>
          <w:color w:val="212121"/>
          <w:shd w:val="clear" w:color="auto" w:fill="FFFFFF"/>
        </w:rPr>
        <w:t xml:space="preserve"> </w:t>
      </w:r>
      <w:r w:rsidR="00036F7A" w:rsidRPr="0099782B">
        <w:rPr>
          <w:rFonts w:asciiTheme="majorBidi" w:hAnsiTheme="majorBidi" w:cstheme="majorBidi"/>
          <w:sz w:val="24"/>
          <w:szCs w:val="24"/>
        </w:rPr>
        <w:t>Nonalcoholic Fatty Liver Disease: A Silent Epidemic. Gastroenterol Nurs. 2019 Sep/Oct;42(5):428-434. doi: 10.1097/SGA.0000000000000443. PMID: 31574071.</w:t>
      </w:r>
    </w:p>
    <w:p w14:paraId="4105EF1C" w14:textId="5A50A7E2" w:rsidR="004F7396" w:rsidRPr="00F34F37" w:rsidRDefault="004F7396" w:rsidP="00036F7A">
      <w:pPr>
        <w:bidi w:val="0"/>
        <w:jc w:val="mediumKashida"/>
        <w:rPr>
          <w:rFonts w:asciiTheme="majorBidi" w:hAnsiTheme="majorBidi" w:cstheme="majorBidi"/>
          <w:sz w:val="24"/>
          <w:szCs w:val="24"/>
        </w:rPr>
      </w:pPr>
      <w:r w:rsidRPr="00F34F37">
        <w:rPr>
          <w:rFonts w:asciiTheme="majorBidi" w:hAnsiTheme="majorBidi" w:cstheme="majorBidi"/>
          <w:b/>
          <w:bCs/>
          <w:sz w:val="24"/>
          <w:szCs w:val="24"/>
        </w:rPr>
        <w:t>8- Huang DQ, El-Serag HB and Loomba R</w:t>
      </w:r>
      <w:r w:rsidRPr="00F34F37">
        <w:rPr>
          <w:rFonts w:asciiTheme="majorBidi" w:hAnsiTheme="majorBidi" w:cstheme="majorBidi"/>
          <w:sz w:val="24"/>
          <w:szCs w:val="24"/>
        </w:rPr>
        <w:t>: Global epidemiology of NAFLD-related HCC: trends, predictions, risk factors and prevention. Nat Rev Gastroenterol Hepatol. 2021, 18:223-238.</w:t>
      </w:r>
    </w:p>
    <w:p w14:paraId="3592E540" w14:textId="5452A4F4" w:rsidR="004F7396" w:rsidRPr="00F34F37" w:rsidRDefault="004F7396" w:rsidP="00D54767">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9- Park CC, Nguyen P, Hernandez C, Bettencourt R, Ramirez K, Fortney L, et al.</w:t>
      </w:r>
      <w:r w:rsidRPr="00F34F37">
        <w:rPr>
          <w:rFonts w:asciiTheme="majorBidi" w:hAnsiTheme="majorBidi" w:cstheme="majorBidi"/>
          <w:sz w:val="24"/>
          <w:szCs w:val="24"/>
        </w:rPr>
        <w:t xml:space="preserve"> Magnetic Resonance Elastography vs</w:t>
      </w:r>
      <w:r w:rsidR="00D54767" w:rsidRPr="00F34F37">
        <w:rPr>
          <w:rFonts w:asciiTheme="majorBidi" w:hAnsiTheme="majorBidi" w:cstheme="majorBidi"/>
          <w:sz w:val="24"/>
          <w:szCs w:val="24"/>
        </w:rPr>
        <w:t>.</w:t>
      </w:r>
      <w:r w:rsidRPr="00F34F37">
        <w:rPr>
          <w:rFonts w:asciiTheme="majorBidi" w:hAnsiTheme="majorBidi" w:cstheme="majorBidi"/>
          <w:sz w:val="24"/>
          <w:szCs w:val="24"/>
        </w:rPr>
        <w:t xml:space="preserve"> Transient Elastography in</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Detection of Fibrosis and Noninvasive Measurement of Steatosis in</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Patients with Biopsy-Proven Nonalcoholic Fatty Liver Disease. Gastroenterol. 2017;152(5):</w:t>
      </w:r>
      <w:r w:rsidR="003A354A" w:rsidRPr="00F34F37">
        <w:rPr>
          <w:rFonts w:asciiTheme="majorBidi" w:hAnsiTheme="majorBidi" w:cstheme="majorBidi"/>
          <w:sz w:val="24"/>
          <w:szCs w:val="24"/>
        </w:rPr>
        <w:t xml:space="preserve"> </w:t>
      </w:r>
      <w:r w:rsidRPr="00F34F37">
        <w:rPr>
          <w:rFonts w:asciiTheme="majorBidi" w:hAnsiTheme="majorBidi" w:cstheme="majorBidi"/>
          <w:sz w:val="24"/>
          <w:szCs w:val="24"/>
        </w:rPr>
        <w:t>S70.</w:t>
      </w:r>
    </w:p>
    <w:p w14:paraId="5F718E28" w14:textId="018F0B5F" w:rsidR="004F7396" w:rsidRPr="00F34F37" w:rsidRDefault="004F7396" w:rsidP="00AF5471">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 xml:space="preserve">10 - Boursier J, Vergniol J, Guillet A, Hiriart J-B, Lannes A, Le Bail B, et al. </w:t>
      </w:r>
      <w:r w:rsidRPr="00F34F37">
        <w:rPr>
          <w:rFonts w:asciiTheme="majorBidi" w:hAnsiTheme="majorBidi" w:cstheme="majorBidi"/>
          <w:sz w:val="24"/>
          <w:szCs w:val="24"/>
        </w:rPr>
        <w:t>Diagnostic accuracy and prognostic significance of blood fibrosis tests</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and liver stiffness measurement by FibroScan in non-alcoholic fatty</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liver disease. J Hepatol 2016; 65: 570–578.</w:t>
      </w:r>
    </w:p>
    <w:p w14:paraId="77B6C503" w14:textId="01B89BF0" w:rsidR="004F7396" w:rsidRPr="00F34F37" w:rsidRDefault="004F7396" w:rsidP="00AF5471">
      <w:pPr>
        <w:bidi w:val="0"/>
        <w:jc w:val="mediumKashida"/>
        <w:rPr>
          <w:rFonts w:asciiTheme="majorBidi" w:hAnsiTheme="majorBidi" w:cstheme="majorBidi"/>
          <w:sz w:val="24"/>
          <w:szCs w:val="24"/>
        </w:rPr>
      </w:pPr>
      <w:r w:rsidRPr="00F34F37">
        <w:rPr>
          <w:rFonts w:asciiTheme="majorBidi" w:hAnsiTheme="majorBidi" w:cstheme="majorBidi"/>
          <w:b/>
          <w:bCs/>
          <w:sz w:val="24"/>
          <w:szCs w:val="24"/>
        </w:rPr>
        <w:t xml:space="preserve">11- Attallah AM, Shiha GE </w:t>
      </w:r>
      <w:r w:rsidR="00C30C67" w:rsidRPr="00F34F37">
        <w:rPr>
          <w:rFonts w:asciiTheme="majorBidi" w:hAnsiTheme="majorBidi" w:cstheme="majorBidi"/>
          <w:b/>
          <w:bCs/>
          <w:sz w:val="24"/>
          <w:szCs w:val="24"/>
        </w:rPr>
        <w:t>and Omran</w:t>
      </w:r>
      <w:r w:rsidRPr="00F34F37">
        <w:rPr>
          <w:rFonts w:asciiTheme="majorBidi" w:hAnsiTheme="majorBidi" w:cstheme="majorBidi"/>
          <w:b/>
          <w:bCs/>
          <w:sz w:val="24"/>
          <w:szCs w:val="24"/>
        </w:rPr>
        <w:t xml:space="preserve"> MM</w:t>
      </w:r>
      <w:r w:rsidRPr="00F34F37">
        <w:rPr>
          <w:rFonts w:asciiTheme="majorBidi" w:hAnsiTheme="majorBidi" w:cstheme="majorBidi"/>
          <w:sz w:val="24"/>
          <w:szCs w:val="24"/>
        </w:rPr>
        <w:t xml:space="preserve">. A discriminant score based on four routine laboratory blood tests for accurate diagnosis of severe fibrosis and/or liver cirrhosis in Egyptian patients with chronic hepatitis C. Hepatol Res </w:t>
      </w:r>
      <w:r w:rsidR="00C30C67" w:rsidRPr="00F34F37">
        <w:rPr>
          <w:rFonts w:asciiTheme="majorBidi" w:hAnsiTheme="majorBidi" w:cstheme="majorBidi"/>
          <w:sz w:val="24"/>
          <w:szCs w:val="24"/>
        </w:rPr>
        <w:t>2006; 34:163</w:t>
      </w:r>
      <w:r w:rsidRPr="00F34F37">
        <w:rPr>
          <w:rFonts w:asciiTheme="majorBidi" w:hAnsiTheme="majorBidi" w:cstheme="majorBidi"/>
          <w:sz w:val="24"/>
          <w:szCs w:val="24"/>
        </w:rPr>
        <w:t>–169.</w:t>
      </w:r>
    </w:p>
    <w:p w14:paraId="288C7795" w14:textId="77777777" w:rsidR="0091695F" w:rsidRDefault="004F7396" w:rsidP="0091695F">
      <w:pPr>
        <w:bidi w:val="0"/>
        <w:jc w:val="mediumKashida"/>
        <w:rPr>
          <w:rFonts w:ascii="Segoe UI" w:hAnsi="Segoe UI" w:cs="Segoe UI"/>
          <w:color w:val="212121"/>
          <w:shd w:val="clear" w:color="auto" w:fill="FFFFFF"/>
        </w:rPr>
      </w:pPr>
      <w:r w:rsidRPr="00F34F37">
        <w:rPr>
          <w:rFonts w:asciiTheme="majorBidi" w:hAnsiTheme="majorBidi" w:cstheme="majorBidi"/>
          <w:b/>
          <w:bCs/>
          <w:sz w:val="24"/>
          <w:szCs w:val="24"/>
        </w:rPr>
        <w:t xml:space="preserve">12- </w:t>
      </w:r>
      <w:r w:rsidR="0091695F" w:rsidRPr="0091695F">
        <w:rPr>
          <w:rFonts w:asciiTheme="majorBidi" w:hAnsiTheme="majorBidi" w:cstheme="majorBidi"/>
          <w:b/>
          <w:bCs/>
          <w:sz w:val="24"/>
          <w:szCs w:val="24"/>
        </w:rPr>
        <w:t>Sterling RK, Lissen E, Clumeck N, Sola R, Correa MC, Montaner J, S Sulkowski M, Torriani FJ, Dieterich DT, Thomas DL, Messinger D, Nelson M;</w:t>
      </w:r>
      <w:r w:rsidR="0091695F">
        <w:rPr>
          <w:rFonts w:ascii="Segoe UI" w:hAnsi="Segoe UI" w:cs="Segoe UI"/>
          <w:color w:val="212121"/>
          <w:shd w:val="clear" w:color="auto" w:fill="FFFFFF"/>
        </w:rPr>
        <w:t xml:space="preserve"> APRICOT Clinical Investigators. Development of a simple noninvasive index to predict significant fibrosis in patients with HIV/HCV coinfection. Hepatology. 2006 Jun;43(6):1317-25. doi: 10.1002/hep.21178. PMID: 16729309.</w:t>
      </w:r>
    </w:p>
    <w:p w14:paraId="548EB730" w14:textId="7D0F4FA4" w:rsidR="004F7396" w:rsidRPr="00F34F37" w:rsidRDefault="004F7396" w:rsidP="0091695F">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13- Vallet-Pichard A, Mallet V, Nalpas B, Verkarre V, Nalpas A, Dhalluin-Venier V, et al.</w:t>
      </w:r>
      <w:r w:rsidRPr="00F34F37">
        <w:rPr>
          <w:rFonts w:asciiTheme="majorBidi" w:hAnsiTheme="majorBidi" w:cstheme="majorBidi"/>
          <w:sz w:val="24"/>
          <w:szCs w:val="24"/>
        </w:rPr>
        <w:t xml:space="preserve"> FIB-4: an inexpensive and accurate marker of fibrosis</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in HCV infection. Comparison with liver biopsy and fibrotest.</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 xml:space="preserve">Hepatol </w:t>
      </w:r>
      <w:r w:rsidR="003042C3" w:rsidRPr="00F34F37">
        <w:rPr>
          <w:rFonts w:asciiTheme="majorBidi" w:hAnsiTheme="majorBidi" w:cstheme="majorBidi"/>
          <w:sz w:val="24"/>
          <w:szCs w:val="24"/>
        </w:rPr>
        <w:t>2007; 46:32</w:t>
      </w:r>
      <w:r w:rsidRPr="00F34F37">
        <w:rPr>
          <w:rFonts w:asciiTheme="majorBidi" w:hAnsiTheme="majorBidi" w:cstheme="majorBidi"/>
          <w:sz w:val="24"/>
          <w:szCs w:val="24"/>
        </w:rPr>
        <w:t>–6.</w:t>
      </w:r>
    </w:p>
    <w:p w14:paraId="3501E547" w14:textId="791E0DDE" w:rsidR="004F7396" w:rsidRPr="00F34F37" w:rsidRDefault="004F7396" w:rsidP="004F09F6">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 xml:space="preserve">14- Sandrin L, Tanter M, Gennisson </w:t>
      </w:r>
      <w:r w:rsidR="004F09F6" w:rsidRPr="00F34F37">
        <w:rPr>
          <w:rFonts w:asciiTheme="majorBidi" w:hAnsiTheme="majorBidi" w:cstheme="majorBidi"/>
          <w:b/>
          <w:bCs/>
          <w:sz w:val="24"/>
          <w:szCs w:val="24"/>
        </w:rPr>
        <w:t>JL, Catheline</w:t>
      </w:r>
      <w:r w:rsidRPr="00F34F37">
        <w:rPr>
          <w:rFonts w:asciiTheme="majorBidi" w:hAnsiTheme="majorBidi" w:cstheme="majorBidi"/>
          <w:b/>
          <w:bCs/>
          <w:sz w:val="24"/>
          <w:szCs w:val="24"/>
        </w:rPr>
        <w:t xml:space="preserve"> S, Fink M. </w:t>
      </w:r>
      <w:r w:rsidRPr="00F34F37">
        <w:rPr>
          <w:rFonts w:asciiTheme="majorBidi" w:hAnsiTheme="majorBidi" w:cstheme="majorBidi"/>
          <w:sz w:val="24"/>
          <w:szCs w:val="24"/>
        </w:rPr>
        <w:t>Shear elasticity probe for soft tissues with 1-D transient elastography. IEEE Transactions on Ultrasonics, Ferroelectrics and Frequency Control. 2002;49(4):436–446.</w:t>
      </w:r>
    </w:p>
    <w:p w14:paraId="24C59B28" w14:textId="1106FDEE" w:rsidR="004F7396" w:rsidRPr="00F34F37" w:rsidRDefault="004F7396" w:rsidP="00753C9F">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15- Castéra L, Bail BL, Roudot-Thoraval F, Bernard P-H, Foucher J, Merrouche W, et al</w:t>
      </w:r>
      <w:r w:rsidRPr="00F34F37">
        <w:rPr>
          <w:rFonts w:asciiTheme="majorBidi" w:hAnsiTheme="majorBidi" w:cstheme="majorBidi"/>
          <w:sz w:val="24"/>
          <w:szCs w:val="24"/>
        </w:rPr>
        <w:t>. Early detection in routine clinical practice of cirrhosis and oesophageal varices in chronic hepatitis C:</w:t>
      </w:r>
      <w:r w:rsidR="00753C9F" w:rsidRPr="00F34F37">
        <w:rPr>
          <w:rFonts w:asciiTheme="majorBidi" w:hAnsiTheme="majorBidi" w:cstheme="majorBidi"/>
          <w:sz w:val="24"/>
          <w:szCs w:val="24"/>
        </w:rPr>
        <w:t xml:space="preserve"> </w:t>
      </w:r>
      <w:r w:rsidRPr="00F34F37">
        <w:rPr>
          <w:rFonts w:asciiTheme="majorBidi" w:hAnsiTheme="majorBidi" w:cstheme="majorBidi"/>
          <w:sz w:val="24"/>
          <w:szCs w:val="24"/>
        </w:rPr>
        <w:t>Comparison of transient elastography (FibroScan) with standard laboratory tests and non-invasive scores. J Hepatol.</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2009;50(1):59–68.</w:t>
      </w:r>
    </w:p>
    <w:p w14:paraId="4BDE0727" w14:textId="73A838ED" w:rsidR="004F7396" w:rsidRPr="00F34F37" w:rsidRDefault="004F7396" w:rsidP="00753C9F">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 xml:space="preserve">16- Sarin SK, Kumar M, Lau GK, Abbas Z, Chan HLY, Chen CJ, et al. </w:t>
      </w:r>
      <w:r w:rsidRPr="00F34F37">
        <w:rPr>
          <w:rFonts w:asciiTheme="majorBidi" w:hAnsiTheme="majorBidi" w:cstheme="majorBidi"/>
          <w:sz w:val="24"/>
          <w:szCs w:val="24"/>
        </w:rPr>
        <w:t>Asian-Pacific clinical practice guidelines on the management of</w:t>
      </w:r>
      <w:r w:rsidR="00753C9F" w:rsidRPr="00F34F37">
        <w:rPr>
          <w:rFonts w:asciiTheme="majorBidi" w:hAnsiTheme="majorBidi" w:cstheme="majorBidi"/>
          <w:sz w:val="24"/>
          <w:szCs w:val="24"/>
        </w:rPr>
        <w:t xml:space="preserve"> </w:t>
      </w:r>
      <w:r w:rsidRPr="00F34F37">
        <w:rPr>
          <w:rFonts w:asciiTheme="majorBidi" w:hAnsiTheme="majorBidi" w:cstheme="majorBidi"/>
          <w:sz w:val="24"/>
          <w:szCs w:val="24"/>
        </w:rPr>
        <w:t>hepatitis B: a 2015 update. Hepatol Int. 2015, 13;10(1):1–98.</w:t>
      </w:r>
    </w:p>
    <w:p w14:paraId="1FC530CC" w14:textId="179CD110" w:rsidR="004F7396" w:rsidRPr="00F34F37" w:rsidRDefault="004F7396" w:rsidP="00753C9F">
      <w:pPr>
        <w:bidi w:val="0"/>
        <w:jc w:val="mediumKashida"/>
        <w:rPr>
          <w:rFonts w:asciiTheme="majorBidi" w:hAnsiTheme="majorBidi" w:cstheme="majorBidi"/>
          <w:sz w:val="24"/>
          <w:szCs w:val="24"/>
        </w:rPr>
      </w:pPr>
      <w:r w:rsidRPr="00F34F37">
        <w:rPr>
          <w:rFonts w:asciiTheme="majorBidi" w:hAnsiTheme="majorBidi" w:cstheme="majorBidi"/>
          <w:b/>
          <w:bCs/>
          <w:sz w:val="24"/>
          <w:szCs w:val="24"/>
        </w:rPr>
        <w:t>17- EASL Clinical Practice Guidelines</w:t>
      </w:r>
      <w:r w:rsidRPr="00F34F37">
        <w:rPr>
          <w:rFonts w:asciiTheme="majorBidi" w:hAnsiTheme="majorBidi" w:cstheme="majorBidi"/>
          <w:sz w:val="24"/>
          <w:szCs w:val="24"/>
        </w:rPr>
        <w:t>: Management of chronic hepatitis B virus infection. J Hepatol. 2012 57(1):167–85.</w:t>
      </w:r>
    </w:p>
    <w:p w14:paraId="6AEDBC7A" w14:textId="6FD63299" w:rsidR="004F7396" w:rsidRPr="00F34F37" w:rsidRDefault="004F7396" w:rsidP="00753C9F">
      <w:pPr>
        <w:bidi w:val="0"/>
        <w:jc w:val="mediumKashida"/>
        <w:rPr>
          <w:rFonts w:asciiTheme="majorBidi" w:hAnsiTheme="majorBidi" w:cstheme="majorBidi"/>
          <w:sz w:val="24"/>
          <w:szCs w:val="24"/>
        </w:rPr>
      </w:pPr>
      <w:r w:rsidRPr="00F34F37">
        <w:rPr>
          <w:rFonts w:asciiTheme="majorBidi" w:hAnsiTheme="majorBidi" w:cstheme="majorBidi"/>
          <w:b/>
          <w:bCs/>
          <w:sz w:val="24"/>
          <w:szCs w:val="24"/>
        </w:rPr>
        <w:t>18- Frith J, Day CP</w:t>
      </w:r>
      <w:r w:rsidRPr="00F34F37">
        <w:rPr>
          <w:rFonts w:asciiTheme="majorBidi" w:hAnsiTheme="majorBidi" w:cstheme="majorBidi"/>
          <w:sz w:val="24"/>
          <w:szCs w:val="24"/>
        </w:rPr>
        <w:t>, Henderson E, Burt AD, Newton JL. Non- Alcoholic Fatty Liver Disease in Older People. Gerontol. 2009;55(6):607–13.</w:t>
      </w:r>
    </w:p>
    <w:p w14:paraId="6CA5EE43" w14:textId="0D35437E" w:rsidR="00753C9F" w:rsidRPr="00F34F37" w:rsidRDefault="004F7396" w:rsidP="00753C9F">
      <w:pPr>
        <w:bidi w:val="0"/>
        <w:jc w:val="mediumKashida"/>
        <w:rPr>
          <w:rFonts w:asciiTheme="majorBidi" w:hAnsiTheme="majorBidi" w:cstheme="majorBidi"/>
          <w:sz w:val="24"/>
          <w:szCs w:val="24"/>
        </w:rPr>
      </w:pPr>
      <w:r w:rsidRPr="00F34F37">
        <w:rPr>
          <w:rFonts w:asciiTheme="majorBidi" w:hAnsiTheme="majorBidi" w:cstheme="majorBidi"/>
          <w:b/>
          <w:bCs/>
          <w:sz w:val="24"/>
          <w:szCs w:val="24"/>
        </w:rPr>
        <w:t>19- Moran-Lev H, Cohen S, Webb M, Yerushalmy-Feler A, Amir A, Gal DL, et al.</w:t>
      </w:r>
      <w:r w:rsidRPr="00F34F37">
        <w:rPr>
          <w:rFonts w:asciiTheme="majorBidi" w:hAnsiTheme="majorBidi" w:cstheme="majorBidi"/>
          <w:sz w:val="24"/>
          <w:szCs w:val="24"/>
        </w:rPr>
        <w:t xml:space="preserve"> Higher BMI predicts liver fibrosis among obese children and adolescents with NAFLD - an interventional pilot study. BMC Pediatrics. 2021 3;21(1)</w:t>
      </w:r>
      <w:r w:rsidR="00753C9F" w:rsidRPr="00F34F37">
        <w:rPr>
          <w:rFonts w:asciiTheme="majorBidi" w:hAnsiTheme="majorBidi" w:cstheme="majorBidi"/>
          <w:sz w:val="24"/>
          <w:szCs w:val="24"/>
        </w:rPr>
        <w:t>.</w:t>
      </w:r>
    </w:p>
    <w:p w14:paraId="04C389EE" w14:textId="4F6AF790" w:rsidR="004F7396" w:rsidRPr="00F34F37" w:rsidRDefault="004F7396" w:rsidP="00753C9F">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 xml:space="preserve">20-Ratziu V, Giral P, Charlotte F, Bruckert E, Thibault V, Theodorou I, et al. </w:t>
      </w:r>
      <w:r w:rsidRPr="00F34F37">
        <w:rPr>
          <w:rFonts w:asciiTheme="majorBidi" w:hAnsiTheme="majorBidi" w:cstheme="majorBidi"/>
          <w:sz w:val="24"/>
          <w:szCs w:val="24"/>
        </w:rPr>
        <w:t>Liver fibrosis in overweight patients. Gastroenterol. 2000; 118(6):1117–1123.</w:t>
      </w:r>
    </w:p>
    <w:p w14:paraId="7A13E4AB" w14:textId="55A83165" w:rsidR="004F7396" w:rsidRPr="00F34F37" w:rsidRDefault="004F7396" w:rsidP="00753C9F">
      <w:pPr>
        <w:bidi w:val="0"/>
        <w:jc w:val="mediumKashida"/>
        <w:rPr>
          <w:rFonts w:asciiTheme="majorBidi" w:hAnsiTheme="majorBidi" w:cstheme="majorBidi"/>
          <w:sz w:val="24"/>
          <w:szCs w:val="24"/>
        </w:rPr>
      </w:pPr>
      <w:r w:rsidRPr="00F34F37">
        <w:rPr>
          <w:rFonts w:asciiTheme="majorBidi" w:hAnsiTheme="majorBidi" w:cstheme="majorBidi"/>
          <w:b/>
          <w:bCs/>
          <w:sz w:val="24"/>
          <w:szCs w:val="24"/>
        </w:rPr>
        <w:t xml:space="preserve">21-Shimada M. </w:t>
      </w:r>
      <w:r w:rsidRPr="00F34F37">
        <w:rPr>
          <w:rFonts w:asciiTheme="majorBidi" w:hAnsiTheme="majorBidi" w:cstheme="majorBidi"/>
          <w:sz w:val="24"/>
          <w:szCs w:val="24"/>
        </w:rPr>
        <w:t>Nonalcoholic steatohepatitis</w:t>
      </w:r>
      <w:r w:rsidRPr="00F34F37">
        <w:rPr>
          <w:rFonts w:asciiTheme="majorBidi" w:hAnsiTheme="majorBidi" w:cstheme="majorBidi"/>
          <w:b/>
          <w:bCs/>
          <w:sz w:val="24"/>
          <w:szCs w:val="24"/>
        </w:rPr>
        <w:t>:</w:t>
      </w:r>
      <w:r w:rsidRPr="00F34F37">
        <w:rPr>
          <w:rFonts w:asciiTheme="majorBidi" w:hAnsiTheme="majorBidi" w:cstheme="majorBidi"/>
          <w:sz w:val="24"/>
          <w:szCs w:val="24"/>
        </w:rPr>
        <w:t xml:space="preserve"> risk factors for liver fibrosis. Hepatol Research. 2002 Dec;24(4):429–38.</w:t>
      </w:r>
    </w:p>
    <w:p w14:paraId="5940AD10" w14:textId="77777777" w:rsidR="00480218" w:rsidRPr="001C51FB" w:rsidRDefault="004F7396" w:rsidP="00480218">
      <w:pPr>
        <w:bidi w:val="0"/>
        <w:jc w:val="mediumKashida"/>
        <w:rPr>
          <w:rFonts w:asciiTheme="majorBidi" w:hAnsiTheme="majorBidi" w:cstheme="majorBidi"/>
          <w:sz w:val="24"/>
          <w:szCs w:val="24"/>
        </w:rPr>
      </w:pPr>
      <w:r w:rsidRPr="00F34F37">
        <w:rPr>
          <w:rFonts w:asciiTheme="majorBidi" w:hAnsiTheme="majorBidi" w:cstheme="majorBidi"/>
          <w:b/>
          <w:bCs/>
          <w:sz w:val="24"/>
          <w:szCs w:val="24"/>
        </w:rPr>
        <w:t>22- </w:t>
      </w:r>
      <w:r w:rsidR="00480218" w:rsidRPr="00480218">
        <w:rPr>
          <w:rFonts w:asciiTheme="majorBidi" w:hAnsiTheme="majorBidi" w:cstheme="majorBidi"/>
          <w:b/>
          <w:bCs/>
          <w:sz w:val="24"/>
          <w:szCs w:val="24"/>
        </w:rPr>
        <w:t>Ballestri S, Mantovani A, Baldelli E, Lugari S, Maurantonio M, Nascimbeni F, Marrazzo A, Romagnoli D, Targher G, Lonardo A.</w:t>
      </w:r>
      <w:r w:rsidR="00480218">
        <w:rPr>
          <w:rFonts w:ascii="Roboto" w:hAnsi="Roboto"/>
          <w:color w:val="212121"/>
          <w:sz w:val="26"/>
          <w:szCs w:val="26"/>
          <w:shd w:val="clear" w:color="auto" w:fill="FFFFFF"/>
        </w:rPr>
        <w:t xml:space="preserve"> </w:t>
      </w:r>
      <w:r w:rsidR="00480218" w:rsidRPr="001C51FB">
        <w:rPr>
          <w:rFonts w:asciiTheme="majorBidi" w:hAnsiTheme="majorBidi" w:cstheme="majorBidi"/>
          <w:sz w:val="24"/>
          <w:szCs w:val="24"/>
        </w:rPr>
        <w:t>Liver Fibrosis Biomarkers Accurately Exclude Advanced Fibrosis and Are Associated with Higher Cardiovascular Risk Scores in Patients with NAFLD or Viral Chronic Liver Disease. Diagnostics (Basel). 2021 Jan 9;11(1):98. doi: 10.3390/diagnostics11010098. PMID: 33435415; PMCID: PMC7827076.</w:t>
      </w:r>
    </w:p>
    <w:p w14:paraId="53564E64" w14:textId="307BC09E" w:rsidR="004F7396" w:rsidRPr="00F34F37" w:rsidRDefault="004F7396" w:rsidP="00480218">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 xml:space="preserve">23- Kumari B, Kumar R, Sharma S, Banerjee A, Kumar V, Kumar P, et al. </w:t>
      </w:r>
      <w:r w:rsidRPr="00F34F37">
        <w:rPr>
          <w:rFonts w:asciiTheme="majorBidi" w:hAnsiTheme="majorBidi" w:cstheme="majorBidi"/>
          <w:sz w:val="24"/>
          <w:szCs w:val="24"/>
        </w:rPr>
        <w:t>Diagnostic Accuracy of FIB-4 and FIB-5 Scores as Compared to Fibroscan for Assessment of Liver Fibrosis in Patients With Non-Alcoholic Fatty Liver</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 xml:space="preserve">Disease. Cureus. 2021 </w:t>
      </w:r>
      <w:r w:rsidR="00753C9F" w:rsidRPr="00F34F37">
        <w:rPr>
          <w:rFonts w:asciiTheme="majorBidi" w:hAnsiTheme="majorBidi" w:cstheme="majorBidi"/>
          <w:sz w:val="24"/>
          <w:szCs w:val="24"/>
        </w:rPr>
        <w:t>31; e</w:t>
      </w:r>
      <w:r w:rsidRPr="00F34F37">
        <w:rPr>
          <w:rFonts w:asciiTheme="majorBidi" w:hAnsiTheme="majorBidi" w:cstheme="majorBidi"/>
          <w:sz w:val="24"/>
          <w:szCs w:val="24"/>
        </w:rPr>
        <w:t>17622.</w:t>
      </w:r>
    </w:p>
    <w:p w14:paraId="713B7D89" w14:textId="70A92320" w:rsidR="004F7396" w:rsidRPr="00F34F37" w:rsidRDefault="004F7396" w:rsidP="00753C9F">
      <w:pPr>
        <w:bidi w:val="0"/>
        <w:jc w:val="mediumKashida"/>
        <w:rPr>
          <w:rFonts w:asciiTheme="majorBidi" w:hAnsiTheme="majorBidi" w:cstheme="majorBidi"/>
          <w:sz w:val="24"/>
          <w:szCs w:val="24"/>
        </w:rPr>
      </w:pPr>
      <w:r w:rsidRPr="00F34F37">
        <w:rPr>
          <w:rFonts w:asciiTheme="majorBidi" w:hAnsiTheme="majorBidi" w:cstheme="majorBidi"/>
          <w:b/>
          <w:bCs/>
          <w:sz w:val="24"/>
          <w:szCs w:val="24"/>
        </w:rPr>
        <w:t xml:space="preserve">24- Amernia B, Moosavy SH, Banookh F, Zoghi G. </w:t>
      </w:r>
      <w:r w:rsidRPr="00F34F37">
        <w:rPr>
          <w:rFonts w:asciiTheme="majorBidi" w:hAnsiTheme="majorBidi" w:cstheme="majorBidi"/>
          <w:sz w:val="24"/>
          <w:szCs w:val="24"/>
        </w:rPr>
        <w:t xml:space="preserve">FIB-4, APRI, and AST/ALT ratio compared to FibroScan for the assessment of hepatic fibrosis in patients with non-alcoholic fatty liver disease in Bandar Abbas, Iran. BMC Gastroenterol. 2021 Dec [cited 2022 May 4];21(1). Available from: </w:t>
      </w:r>
      <w:hyperlink r:id="rId19" w:history="1">
        <w:r w:rsidRPr="00F34F37">
          <w:rPr>
            <w:rFonts w:asciiTheme="majorBidi" w:hAnsiTheme="majorBidi" w:cstheme="majorBidi"/>
            <w:color w:val="0000FF" w:themeColor="hyperlink"/>
            <w:sz w:val="24"/>
            <w:szCs w:val="24"/>
            <w:u w:val="single"/>
          </w:rPr>
          <w:t>https://dx.doi.org/10.1186%2Fs12876-021-02038</w:t>
        </w:r>
      </w:hyperlink>
      <w:r w:rsidRPr="00F34F37">
        <w:rPr>
          <w:rFonts w:asciiTheme="majorBidi" w:hAnsiTheme="majorBidi" w:cstheme="majorBidi"/>
          <w:sz w:val="24"/>
          <w:szCs w:val="24"/>
        </w:rPr>
        <w:t>.</w:t>
      </w:r>
    </w:p>
    <w:p w14:paraId="0AE4D155" w14:textId="77777777" w:rsidR="00432810" w:rsidRDefault="004F7396" w:rsidP="00432810">
      <w:pPr>
        <w:bidi w:val="0"/>
        <w:jc w:val="mediumKashida"/>
        <w:rPr>
          <w:rFonts w:ascii="Segoe UI" w:hAnsi="Segoe UI" w:cs="Segoe UI"/>
          <w:color w:val="212121"/>
          <w:shd w:val="clear" w:color="auto" w:fill="FFFFFF"/>
        </w:rPr>
      </w:pPr>
      <w:r w:rsidRPr="00F34F37">
        <w:rPr>
          <w:rFonts w:asciiTheme="majorBidi" w:hAnsiTheme="majorBidi" w:cstheme="majorBidi"/>
          <w:b/>
          <w:bCs/>
          <w:sz w:val="24"/>
          <w:szCs w:val="24"/>
        </w:rPr>
        <w:t>25-</w:t>
      </w:r>
      <w:r w:rsidR="00432810" w:rsidRPr="00432810">
        <w:rPr>
          <w:rFonts w:ascii="Segoe UI" w:hAnsi="Segoe UI" w:cs="Segoe UI"/>
          <w:color w:val="212121"/>
          <w:shd w:val="clear" w:color="auto" w:fill="FFFFFF"/>
        </w:rPr>
        <w:t xml:space="preserve"> </w:t>
      </w:r>
      <w:r w:rsidR="00432810" w:rsidRPr="00432810">
        <w:rPr>
          <w:rFonts w:asciiTheme="majorBidi" w:hAnsiTheme="majorBidi" w:cstheme="majorBidi"/>
          <w:b/>
          <w:bCs/>
          <w:sz w:val="24"/>
          <w:szCs w:val="24"/>
        </w:rPr>
        <w:t>Sumida Y, Yoneda M, Tokushige K, Kawanaka M, Fujii H, Yoneda M, Imajo K, Takahashi H, Eguchi Y, Ono M, Nozaki Y, Hyogo H, Koseki M, Yoshida Y, Kawaguchi T, Kamada Y, Okanoue T, Nakajima A, Japan Study Group Of Nafld Jsg-Nafld.</w:t>
      </w:r>
      <w:r w:rsidR="00432810">
        <w:rPr>
          <w:rFonts w:ascii="Segoe UI" w:hAnsi="Segoe UI" w:cs="Segoe UI"/>
          <w:color w:val="212121"/>
          <w:shd w:val="clear" w:color="auto" w:fill="FFFFFF"/>
        </w:rPr>
        <w:t xml:space="preserve"> FIB-4 First in the Diagnostic Algorithm of Metabolic-Dysfunction-Associated Fatty Liver Disease in the Era of the Global Metabodemic. Life (Basel). 2021 Feb 14;11(2):143. doi: 10.3390/life11020143. PMID: 33672864; PMCID: PMC7917687.</w:t>
      </w:r>
    </w:p>
    <w:p w14:paraId="593F772D" w14:textId="23B571D2" w:rsidR="004F7396" w:rsidRPr="00F34F37" w:rsidRDefault="004F7396" w:rsidP="00432810">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26- Metwally K, Elsabaawy M, Abdel-Samiee M, Morad W, Ehsan N, Abdelsameea E.</w:t>
      </w:r>
      <w:r w:rsidRPr="00F34F37">
        <w:rPr>
          <w:rFonts w:asciiTheme="majorBidi" w:hAnsiTheme="majorBidi" w:cstheme="majorBidi"/>
          <w:sz w:val="24"/>
          <w:szCs w:val="24"/>
        </w:rPr>
        <w:t xml:space="preserve"> FIB-5 versus FIB-4 index for assessment of hepatic fibrosis</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in chronic hepatitis B affected patients. Clinical and Experimental Hepatol.</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2020; 6(4):335–338.</w:t>
      </w:r>
    </w:p>
    <w:p w14:paraId="72CBD129" w14:textId="1D80ECEA" w:rsidR="004F7396" w:rsidRPr="00F34F37" w:rsidRDefault="004F7396" w:rsidP="00753C9F">
      <w:pPr>
        <w:bidi w:val="0"/>
        <w:jc w:val="mediumKashida"/>
        <w:rPr>
          <w:rFonts w:asciiTheme="majorBidi" w:hAnsiTheme="majorBidi" w:cstheme="majorBidi"/>
          <w:sz w:val="24"/>
          <w:szCs w:val="24"/>
        </w:rPr>
      </w:pPr>
      <w:r w:rsidRPr="00F34F37">
        <w:rPr>
          <w:rFonts w:asciiTheme="majorBidi" w:hAnsiTheme="majorBidi" w:cstheme="majorBidi"/>
          <w:b/>
          <w:bCs/>
          <w:sz w:val="24"/>
          <w:szCs w:val="24"/>
        </w:rPr>
        <w:t>27-Shiha G, Seif S, Eldesoky A, Elbasiony M, Soliman R, Metwally A, et al.</w:t>
      </w:r>
      <w:r w:rsidRPr="00F34F37">
        <w:rPr>
          <w:rFonts w:asciiTheme="majorBidi" w:hAnsiTheme="majorBidi" w:cstheme="majorBidi"/>
          <w:sz w:val="24"/>
          <w:szCs w:val="24"/>
        </w:rPr>
        <w:t xml:space="preserve"> A</w:t>
      </w:r>
      <w:r w:rsidR="00256CE5">
        <w:rPr>
          <w:rFonts w:asciiTheme="majorBidi" w:hAnsiTheme="majorBidi" w:cstheme="majorBidi"/>
          <w:sz w:val="24"/>
          <w:szCs w:val="24"/>
        </w:rPr>
        <w:t xml:space="preserve"> </w:t>
      </w:r>
      <w:r w:rsidRPr="00F34F37">
        <w:rPr>
          <w:rFonts w:asciiTheme="majorBidi" w:hAnsiTheme="majorBidi" w:cstheme="majorBidi"/>
          <w:sz w:val="24"/>
          <w:szCs w:val="24"/>
        </w:rPr>
        <w:t>simple bedside blood test (Fibrofast; FIB-5) is superior to FIB-4 index for the differentiation between non-significant and significant fibrosis in patients with chronic hepatitis C. Hepatol Int. 2017 19;11(3):286–291.</w:t>
      </w:r>
    </w:p>
    <w:p w14:paraId="10240D9B" w14:textId="0AC80A0A" w:rsidR="004F7396" w:rsidRPr="00F34F37" w:rsidRDefault="004F7396" w:rsidP="00753C9F">
      <w:pPr>
        <w:bidi w:val="0"/>
        <w:jc w:val="mediumKashida"/>
        <w:rPr>
          <w:rFonts w:asciiTheme="majorBidi" w:hAnsiTheme="majorBidi" w:cstheme="majorBidi"/>
          <w:b/>
          <w:bCs/>
          <w:sz w:val="24"/>
          <w:szCs w:val="24"/>
        </w:rPr>
      </w:pPr>
      <w:r w:rsidRPr="00F34F37">
        <w:rPr>
          <w:rFonts w:asciiTheme="majorBidi" w:hAnsiTheme="majorBidi" w:cstheme="majorBidi"/>
          <w:b/>
          <w:bCs/>
          <w:sz w:val="24"/>
          <w:szCs w:val="24"/>
        </w:rPr>
        <w:t>2</w:t>
      </w:r>
      <w:r w:rsidR="006A789B" w:rsidRPr="00F34F37">
        <w:rPr>
          <w:rFonts w:asciiTheme="majorBidi" w:hAnsiTheme="majorBidi" w:cstheme="majorBidi"/>
          <w:b/>
          <w:bCs/>
          <w:sz w:val="24"/>
          <w:szCs w:val="24"/>
        </w:rPr>
        <w:t>8</w:t>
      </w:r>
      <w:r w:rsidRPr="00F34F37">
        <w:rPr>
          <w:rFonts w:asciiTheme="majorBidi" w:hAnsiTheme="majorBidi" w:cstheme="majorBidi"/>
          <w:b/>
          <w:bCs/>
          <w:sz w:val="24"/>
          <w:szCs w:val="24"/>
        </w:rPr>
        <w:t>- Kolhe KM, Amarapurkar A, Parikh P, Chaubal A, Chauhan S, Khairnar H, et al.</w:t>
      </w:r>
      <w:r w:rsidRPr="00F34F37">
        <w:rPr>
          <w:rFonts w:asciiTheme="majorBidi" w:hAnsiTheme="majorBidi" w:cstheme="majorBidi"/>
          <w:sz w:val="24"/>
          <w:szCs w:val="24"/>
        </w:rPr>
        <w:t xml:space="preserve"> Aspartate transaminase to platelet ratio index (APRI) but not FIB-5 or FIB-4 is accurate in ruling out significant fibrosis in patients with non-alcoholic fatty liver disease (NAFLD) in an urban slum-dwelling population.</w:t>
      </w:r>
      <w:r w:rsidRPr="00F34F37">
        <w:rPr>
          <w:rFonts w:asciiTheme="majorBidi" w:hAnsiTheme="majorBidi" w:cstheme="majorBidi"/>
          <w:b/>
          <w:bCs/>
          <w:sz w:val="24"/>
          <w:szCs w:val="24"/>
        </w:rPr>
        <w:t xml:space="preserve"> </w:t>
      </w:r>
      <w:r w:rsidRPr="00F34F37">
        <w:rPr>
          <w:rFonts w:asciiTheme="majorBidi" w:hAnsiTheme="majorBidi" w:cstheme="majorBidi"/>
          <w:sz w:val="24"/>
          <w:szCs w:val="24"/>
        </w:rPr>
        <w:t>BMJ Open Gastroenterol. 2019;6(1</w:t>
      </w:r>
      <w:r w:rsidR="00753C9F" w:rsidRPr="00F34F37">
        <w:rPr>
          <w:rFonts w:asciiTheme="majorBidi" w:hAnsiTheme="majorBidi" w:cstheme="majorBidi"/>
          <w:sz w:val="24"/>
          <w:szCs w:val="24"/>
        </w:rPr>
        <w:t>): e</w:t>
      </w:r>
      <w:r w:rsidRPr="00F34F37">
        <w:rPr>
          <w:rFonts w:asciiTheme="majorBidi" w:hAnsiTheme="majorBidi" w:cstheme="majorBidi"/>
          <w:sz w:val="24"/>
          <w:szCs w:val="24"/>
        </w:rPr>
        <w:t>000288.</w:t>
      </w:r>
    </w:p>
    <w:p w14:paraId="66119AA9" w14:textId="13088805" w:rsidR="006A789B" w:rsidRPr="00F34F37" w:rsidRDefault="006A789B" w:rsidP="00753C9F">
      <w:pPr>
        <w:bidi w:val="0"/>
        <w:jc w:val="mediumKashida"/>
        <w:rPr>
          <w:rFonts w:asciiTheme="majorBidi" w:hAnsiTheme="majorBidi" w:cstheme="majorBidi"/>
          <w:sz w:val="24"/>
          <w:szCs w:val="24"/>
          <w:u w:val="single"/>
        </w:rPr>
      </w:pPr>
      <w:r w:rsidRPr="00F34F37">
        <w:rPr>
          <w:rFonts w:asciiTheme="majorBidi" w:hAnsiTheme="majorBidi" w:cstheme="majorBidi"/>
          <w:b/>
          <w:bCs/>
          <w:sz w:val="24"/>
          <w:szCs w:val="24"/>
        </w:rPr>
        <w:t xml:space="preserve">29- Singh D, Das CJ, Baruah MP. </w:t>
      </w:r>
      <w:r w:rsidRPr="00F34F37">
        <w:rPr>
          <w:rFonts w:asciiTheme="majorBidi" w:hAnsiTheme="majorBidi" w:cstheme="majorBidi"/>
          <w:sz w:val="24"/>
          <w:szCs w:val="24"/>
        </w:rPr>
        <w:t xml:space="preserve">Imaging of </w:t>
      </w:r>
      <w:r w:rsidR="00753C9F" w:rsidRPr="00F34F37">
        <w:rPr>
          <w:rFonts w:asciiTheme="majorBidi" w:hAnsiTheme="majorBidi" w:cstheme="majorBidi"/>
          <w:sz w:val="24"/>
          <w:szCs w:val="24"/>
        </w:rPr>
        <w:t>non-alcoholic</w:t>
      </w:r>
      <w:r w:rsidRPr="00F34F37">
        <w:rPr>
          <w:rFonts w:asciiTheme="majorBidi" w:hAnsiTheme="majorBidi" w:cstheme="majorBidi"/>
          <w:sz w:val="24"/>
          <w:szCs w:val="24"/>
        </w:rPr>
        <w:t xml:space="preserve"> fatty liver disease: A road less travelled. Indian J Endocrinol Metab. 2013 Nov;17(6):990-5. doi: 10.4103/2230-8210.122606. PMID: 24381873; PMCID: PMC3872717.</w:t>
      </w:r>
    </w:p>
    <w:p w14:paraId="54EEA497" w14:textId="44F22A8E" w:rsidR="00892D1F" w:rsidRPr="00F34F37" w:rsidRDefault="006A789B" w:rsidP="00256CE5">
      <w:pPr>
        <w:bidi w:val="0"/>
        <w:jc w:val="mediumKashida"/>
        <w:rPr>
          <w:rFonts w:asciiTheme="majorBidi" w:hAnsiTheme="majorBidi" w:cstheme="majorBidi"/>
          <w:sz w:val="24"/>
          <w:szCs w:val="24"/>
          <w:rtl/>
        </w:rPr>
      </w:pPr>
      <w:r w:rsidRPr="00F34F37">
        <w:rPr>
          <w:rFonts w:asciiTheme="majorBidi" w:hAnsiTheme="majorBidi" w:cstheme="majorBidi"/>
          <w:b/>
          <w:bCs/>
          <w:sz w:val="24"/>
          <w:szCs w:val="24"/>
        </w:rPr>
        <w:t>30-</w:t>
      </w:r>
      <w:r w:rsidR="00256CE5" w:rsidRPr="00256CE5">
        <w:rPr>
          <w:rFonts w:ascii="Roboto" w:hAnsi="Roboto"/>
          <w:color w:val="212121"/>
          <w:sz w:val="26"/>
          <w:szCs w:val="26"/>
          <w:shd w:val="clear" w:color="auto" w:fill="FFFFFF"/>
        </w:rPr>
        <w:t xml:space="preserve"> </w:t>
      </w:r>
      <w:r w:rsidR="00256CE5" w:rsidRPr="00256CE5">
        <w:rPr>
          <w:rFonts w:asciiTheme="majorBidi" w:hAnsiTheme="majorBidi" w:cstheme="majorBidi"/>
          <w:b/>
          <w:bCs/>
          <w:sz w:val="24"/>
          <w:szCs w:val="24"/>
        </w:rPr>
        <w:t>Kamali L, Adibi A, Ebrahimian S, Jafari F, Sharifi M.</w:t>
      </w:r>
      <w:r w:rsidR="00256CE5">
        <w:rPr>
          <w:rFonts w:ascii="Roboto" w:hAnsi="Roboto"/>
          <w:color w:val="212121"/>
          <w:sz w:val="26"/>
          <w:szCs w:val="26"/>
          <w:shd w:val="clear" w:color="auto" w:fill="FFFFFF"/>
        </w:rPr>
        <w:t xml:space="preserve"> </w:t>
      </w:r>
      <w:r w:rsidR="00256CE5" w:rsidRPr="00256CE5">
        <w:rPr>
          <w:rFonts w:asciiTheme="majorBidi" w:hAnsiTheme="majorBidi" w:cstheme="majorBidi"/>
          <w:sz w:val="24"/>
          <w:szCs w:val="24"/>
        </w:rPr>
        <w:t>Diagnostic Performance of Ultrasonography in Detecting Fatty Liver Disease in Comparison with Fibroscan in People Suspected of Fatty Liver. Adv Biomed Res. 2019 Nov 27;8:69. doi: 10.4103/abr.abr_114_19. PMID: 31897407; PMCID: PMC6909544.</w:t>
      </w:r>
    </w:p>
    <w:sectPr w:rsidR="00892D1F" w:rsidRPr="00F34F37" w:rsidSect="00613AC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FA65" w14:textId="77777777" w:rsidR="00F37779" w:rsidRDefault="00F37779" w:rsidP="00367F3F">
      <w:pPr>
        <w:spacing w:after="0" w:line="240" w:lineRule="auto"/>
      </w:pPr>
      <w:r>
        <w:separator/>
      </w:r>
    </w:p>
  </w:endnote>
  <w:endnote w:type="continuationSeparator" w:id="0">
    <w:p w14:paraId="03431A9D" w14:textId="77777777" w:rsidR="00F37779" w:rsidRDefault="00F37779" w:rsidP="0036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F2BF" w14:textId="77CD4CBC" w:rsidR="00A60A22" w:rsidRPr="00A60A22" w:rsidRDefault="00A60A22" w:rsidP="00A60A22">
    <w:pPr>
      <w:pBdr>
        <w:top w:val="thinThickSmallGap" w:sz="24" w:space="1" w:color="823B0B"/>
      </w:pBdr>
      <w:tabs>
        <w:tab w:val="center" w:pos="4320"/>
        <w:tab w:val="right" w:pos="8640"/>
      </w:tabs>
      <w:bidi w:val="0"/>
      <w:rPr>
        <w:rFonts w:cs="Arial"/>
      </w:rPr>
    </w:pPr>
    <w:r w:rsidRPr="005317CB">
      <w:rPr>
        <w:rFonts w:asciiTheme="majorBidi" w:hAnsiTheme="majorBidi" w:cstheme="majorBidi"/>
        <w:sz w:val="24"/>
        <w:szCs w:val="24"/>
        <w:lang w:bidi="ar-EG"/>
      </w:rPr>
      <w:t>Badawi</w:t>
    </w:r>
    <w:r w:rsidRPr="00A60A22">
      <w:rPr>
        <w:rFonts w:cs="Arial"/>
      </w:rPr>
      <w:t xml:space="preserve"> </w:t>
    </w:r>
    <w:r>
      <w:rPr>
        <w:rFonts w:cs="Arial"/>
      </w:rPr>
      <w:t>R</w:t>
    </w:r>
    <w:r w:rsidRPr="00A60A22">
      <w:rPr>
        <w:rFonts w:cs="Arial"/>
      </w:rPr>
      <w:t xml:space="preserve"> et al.2022</w:t>
    </w:r>
    <w:r w:rsidRPr="00A60A22">
      <w:rPr>
        <w:rFonts w:ascii="Calibri Light" w:eastAsia="Times New Roman" w:hAnsi="Calibri Light" w:cs="Times New Roman"/>
      </w:rPr>
      <w:ptab w:relativeTo="margin" w:alignment="right" w:leader="none"/>
    </w:r>
    <w:r w:rsidRPr="00A60A22">
      <w:rPr>
        <w:rFonts w:ascii="Calibri" w:eastAsia="Times New Roman" w:hAnsi="Calibri" w:cs="Arial"/>
      </w:rPr>
      <w:fldChar w:fldCharType="begin"/>
    </w:r>
    <w:r w:rsidRPr="00A60A22">
      <w:rPr>
        <w:rFonts w:cs="Arial"/>
      </w:rPr>
      <w:instrText xml:space="preserve"> PAGE   \* MERGEFORMAT </w:instrText>
    </w:r>
    <w:r w:rsidRPr="00A60A22">
      <w:rPr>
        <w:rFonts w:ascii="Calibri" w:eastAsia="Times New Roman" w:hAnsi="Calibri" w:cs="Arial"/>
      </w:rPr>
      <w:fldChar w:fldCharType="separate"/>
    </w:r>
    <w:r w:rsidRPr="00A60A22">
      <w:rPr>
        <w:rFonts w:ascii="Calibri" w:eastAsia="Times New Roman" w:hAnsi="Calibri" w:cs="Arial"/>
      </w:rPr>
      <w:t>1</w:t>
    </w:r>
    <w:r w:rsidRPr="00A60A22">
      <w:rPr>
        <w:rFonts w:ascii="Calibri Light" w:eastAsia="Times New Roman" w:hAnsi="Calibri Light" w:cs="Times New Roman"/>
        <w:noProof/>
      </w:rPr>
      <w:fldChar w:fldCharType="end"/>
    </w:r>
  </w:p>
  <w:p w14:paraId="2EF105CB" w14:textId="77777777" w:rsidR="00A60A22" w:rsidRDefault="00A60A22" w:rsidP="00A60A22">
    <w:pPr>
      <w:pStyle w:val="Footer"/>
      <w:bidi w:val="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C5CA" w14:textId="77777777" w:rsidR="00F37779" w:rsidRDefault="00F37779" w:rsidP="00367F3F">
      <w:pPr>
        <w:spacing w:after="0" w:line="240" w:lineRule="auto"/>
      </w:pPr>
      <w:r>
        <w:separator/>
      </w:r>
    </w:p>
  </w:footnote>
  <w:footnote w:type="continuationSeparator" w:id="0">
    <w:p w14:paraId="764A719F" w14:textId="77777777" w:rsidR="00F37779" w:rsidRDefault="00F37779" w:rsidP="0036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A86" w14:textId="77777777" w:rsidR="00367F3F" w:rsidRPr="00367F3F" w:rsidRDefault="00367F3F" w:rsidP="00367F3F">
    <w:pPr>
      <w:pBdr>
        <w:bottom w:val="thickThinSmallGap" w:sz="24" w:space="21" w:color="622423"/>
      </w:pBdr>
      <w:tabs>
        <w:tab w:val="right" w:pos="8640"/>
      </w:tabs>
      <w:bidi w:val="0"/>
      <w:spacing w:after="0" w:line="240" w:lineRule="auto"/>
      <w:rPr>
        <w:rFonts w:ascii="Cambria" w:eastAsia="Times New Roman" w:hAnsi="Cambria" w:cs="Times New Roman"/>
        <w:sz w:val="18"/>
        <w:szCs w:val="18"/>
      </w:rPr>
    </w:pPr>
    <w:r w:rsidRPr="00367F3F">
      <w:rPr>
        <w:rFonts w:ascii="Cambria" w:eastAsia="Times New Roman" w:hAnsi="Cambria" w:cs="Times New Roman"/>
        <w:sz w:val="18"/>
        <w:szCs w:val="18"/>
      </w:rPr>
      <w:t>African journal of gastroenterology and hepatology</w:t>
    </w:r>
    <w:r w:rsidRPr="00367F3F">
      <w:rPr>
        <w:rFonts w:ascii="Cambria" w:eastAsia="Times New Roman" w:hAnsi="Cambria" w:cs="Times New Roman"/>
        <w:sz w:val="18"/>
        <w:szCs w:val="18"/>
      </w:rPr>
      <w:tab/>
    </w:r>
    <w:r w:rsidRPr="00367F3F">
      <w:rPr>
        <w:rFonts w:ascii="Calibri Light" w:eastAsia="Times New Roman" w:hAnsi="Calibri Light" w:cs="Times New Roman"/>
        <w:noProof/>
        <w:sz w:val="32"/>
        <w:szCs w:val="32"/>
      </w:rPr>
      <w:drawing>
        <wp:inline distT="0" distB="0" distL="0" distR="0" wp14:anchorId="33E3563C" wp14:editId="3370011B">
          <wp:extent cx="14478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5864F3A1" w14:textId="77777777" w:rsidR="00367F3F" w:rsidRPr="00367F3F" w:rsidRDefault="00367F3F" w:rsidP="00367F3F">
    <w:pPr>
      <w:tabs>
        <w:tab w:val="center" w:pos="4680"/>
        <w:tab w:val="right" w:pos="9360"/>
      </w:tabs>
      <w:bidi w:val="0"/>
      <w:spacing w:after="0" w:line="240" w:lineRule="auto"/>
      <w:rPr>
        <w:rFonts w:cs="Arial"/>
      </w:rPr>
    </w:pPr>
    <w:r w:rsidRPr="00367F3F">
      <w:rPr>
        <w:rFonts w:cs="Arial"/>
        <w:noProof/>
      </w:rPr>
      <mc:AlternateContent>
        <mc:Choice Requires="wps">
          <w:drawing>
            <wp:anchor distT="0" distB="0" distL="114300" distR="114300" simplePos="0" relativeHeight="251659264" behindDoc="0" locked="0" layoutInCell="1" allowOverlap="1" wp14:anchorId="6AE74352" wp14:editId="43A7AC18">
              <wp:simplePos x="0" y="0"/>
              <wp:positionH relativeFrom="column">
                <wp:posOffset>10236</wp:posOffset>
              </wp:positionH>
              <wp:positionV relativeFrom="page">
                <wp:posOffset>1030406</wp:posOffset>
              </wp:positionV>
              <wp:extent cx="1194179" cy="286603"/>
              <wp:effectExtent l="0" t="0" r="25400" b="18415"/>
              <wp:wrapNone/>
              <wp:docPr id="7" name="Text Box 7"/>
              <wp:cNvGraphicFramePr/>
              <a:graphic xmlns:a="http://schemas.openxmlformats.org/drawingml/2006/main">
                <a:graphicData uri="http://schemas.microsoft.com/office/word/2010/wordprocessingShape">
                  <wps:wsp>
                    <wps:cNvSpPr txBox="1"/>
                    <wps:spPr>
                      <a:xfrm>
                        <a:off x="0" y="0"/>
                        <a:ext cx="1194179" cy="286603"/>
                      </a:xfrm>
                      <a:prstGeom prst="rect">
                        <a:avLst/>
                      </a:prstGeom>
                      <a:solidFill>
                        <a:srgbClr val="00B0F0"/>
                      </a:solidFill>
                      <a:ln w="6350">
                        <a:solidFill>
                          <a:prstClr val="black"/>
                        </a:solidFill>
                      </a:ln>
                    </wps:spPr>
                    <wps:txbx>
                      <w:txbxContent>
                        <w:p w14:paraId="66B0B69B" w14:textId="381B98E9" w:rsidR="00367F3F" w:rsidRDefault="00367F3F" w:rsidP="00367F3F">
                          <w:pPr>
                            <w:bidi w:val="0"/>
                          </w:pPr>
                          <w:r>
                            <w:t>Original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74352" id="_x0000_t202" coordsize="21600,21600" o:spt="202" path="m,l,21600r21600,l21600,xe">
              <v:stroke joinstyle="miter"/>
              <v:path gradientshapeok="t" o:connecttype="rect"/>
            </v:shapetype>
            <v:shape id="Text Box 7" o:spid="_x0000_s1026" type="#_x0000_t202" style="position:absolute;margin-left:.8pt;margin-top:81.15pt;width:94.0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" fillcolor="#00b0f0" strokeweight=".5pt">
              <v:textbox>
                <w:txbxContent>
                  <w:p w14:paraId="66B0B69B" w14:textId="381B98E9" w:rsidR="00367F3F" w:rsidRDefault="00367F3F" w:rsidP="00367F3F">
                    <w:pPr>
                      <w:bidi w:val="0"/>
                    </w:pPr>
                    <w:r>
                      <w:t>Original research</w:t>
                    </w:r>
                  </w:p>
                </w:txbxContent>
              </v:textbox>
              <w10:wrap anchory="page"/>
            </v:shape>
          </w:pict>
        </mc:Fallback>
      </mc:AlternateContent>
    </w:r>
  </w:p>
  <w:p w14:paraId="1FD9E742" w14:textId="77777777" w:rsidR="00367F3F" w:rsidRDefault="00367F3F" w:rsidP="00367F3F">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4F1"/>
    <w:multiLevelType w:val="hybridMultilevel"/>
    <w:tmpl w:val="E50ED53C"/>
    <w:lvl w:ilvl="0" w:tplc="022EDA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BD71A2"/>
    <w:multiLevelType w:val="hybridMultilevel"/>
    <w:tmpl w:val="62BC55D4"/>
    <w:lvl w:ilvl="0" w:tplc="579C6006">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0D3A10"/>
    <w:multiLevelType w:val="hybridMultilevel"/>
    <w:tmpl w:val="8688A9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0951FBC"/>
    <w:multiLevelType w:val="hybridMultilevel"/>
    <w:tmpl w:val="C98A4318"/>
    <w:lvl w:ilvl="0" w:tplc="5CFED534">
      <w:start w:val="14"/>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FC3988"/>
    <w:multiLevelType w:val="multilevel"/>
    <w:tmpl w:val="958C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B370E"/>
    <w:multiLevelType w:val="hybridMultilevel"/>
    <w:tmpl w:val="70329A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51059985">
    <w:abstractNumId w:val="2"/>
  </w:num>
  <w:num w:numId="2" w16cid:durableId="204565758">
    <w:abstractNumId w:val="5"/>
  </w:num>
  <w:num w:numId="3" w16cid:durableId="304119793">
    <w:abstractNumId w:val="1"/>
  </w:num>
  <w:num w:numId="4" w16cid:durableId="1297833363">
    <w:abstractNumId w:val="3"/>
  </w:num>
  <w:num w:numId="5" w16cid:durableId="53625308">
    <w:abstractNumId w:val="4"/>
  </w:num>
  <w:num w:numId="6" w16cid:durableId="583998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1NLQwMjI1MjEwNDRT0lEKTi0uzszPAykwqgUArbjQ5ywAAAA="/>
  </w:docVars>
  <w:rsids>
    <w:rsidRoot w:val="00EC1B29"/>
    <w:rsid w:val="000066D3"/>
    <w:rsid w:val="000205F8"/>
    <w:rsid w:val="00026BFA"/>
    <w:rsid w:val="00036F7A"/>
    <w:rsid w:val="00040AF0"/>
    <w:rsid w:val="00042881"/>
    <w:rsid w:val="00081EB2"/>
    <w:rsid w:val="00087E2A"/>
    <w:rsid w:val="000A1E1F"/>
    <w:rsid w:val="00106B69"/>
    <w:rsid w:val="001173A0"/>
    <w:rsid w:val="001315B6"/>
    <w:rsid w:val="00154EB2"/>
    <w:rsid w:val="00170E9D"/>
    <w:rsid w:val="00180018"/>
    <w:rsid w:val="001C51FB"/>
    <w:rsid w:val="001C52DA"/>
    <w:rsid w:val="001D0AAF"/>
    <w:rsid w:val="00210792"/>
    <w:rsid w:val="00220C6C"/>
    <w:rsid w:val="0022436C"/>
    <w:rsid w:val="0022663F"/>
    <w:rsid w:val="00237341"/>
    <w:rsid w:val="00256CE5"/>
    <w:rsid w:val="0029474D"/>
    <w:rsid w:val="002A388A"/>
    <w:rsid w:val="002D0EC4"/>
    <w:rsid w:val="002F694E"/>
    <w:rsid w:val="003042C3"/>
    <w:rsid w:val="00311C5E"/>
    <w:rsid w:val="00315969"/>
    <w:rsid w:val="003337C1"/>
    <w:rsid w:val="00335F9F"/>
    <w:rsid w:val="003544FC"/>
    <w:rsid w:val="00360741"/>
    <w:rsid w:val="00367F3F"/>
    <w:rsid w:val="0038369E"/>
    <w:rsid w:val="003A2D25"/>
    <w:rsid w:val="003A33F5"/>
    <w:rsid w:val="003A354A"/>
    <w:rsid w:val="003C1353"/>
    <w:rsid w:val="003C42B2"/>
    <w:rsid w:val="003C55EC"/>
    <w:rsid w:val="003D38BF"/>
    <w:rsid w:val="004023C1"/>
    <w:rsid w:val="00424085"/>
    <w:rsid w:val="00432810"/>
    <w:rsid w:val="004411C3"/>
    <w:rsid w:val="00461DDA"/>
    <w:rsid w:val="00470F60"/>
    <w:rsid w:val="00480218"/>
    <w:rsid w:val="00493FF6"/>
    <w:rsid w:val="004B7E56"/>
    <w:rsid w:val="004C5D06"/>
    <w:rsid w:val="004F09F6"/>
    <w:rsid w:val="004F7396"/>
    <w:rsid w:val="00500E4C"/>
    <w:rsid w:val="005275ED"/>
    <w:rsid w:val="005317CB"/>
    <w:rsid w:val="00542109"/>
    <w:rsid w:val="00542E34"/>
    <w:rsid w:val="00547D98"/>
    <w:rsid w:val="0056457E"/>
    <w:rsid w:val="00575565"/>
    <w:rsid w:val="00581C14"/>
    <w:rsid w:val="00583939"/>
    <w:rsid w:val="00585E3A"/>
    <w:rsid w:val="005B3703"/>
    <w:rsid w:val="005D7DCA"/>
    <w:rsid w:val="005F2EAB"/>
    <w:rsid w:val="00603AFB"/>
    <w:rsid w:val="00613ACB"/>
    <w:rsid w:val="006415F7"/>
    <w:rsid w:val="00642AD2"/>
    <w:rsid w:val="00652770"/>
    <w:rsid w:val="00657648"/>
    <w:rsid w:val="006765F2"/>
    <w:rsid w:val="006844C6"/>
    <w:rsid w:val="006A00D7"/>
    <w:rsid w:val="006A202F"/>
    <w:rsid w:val="006A2975"/>
    <w:rsid w:val="006A789B"/>
    <w:rsid w:val="006C4684"/>
    <w:rsid w:val="006C6C9F"/>
    <w:rsid w:val="006D15CF"/>
    <w:rsid w:val="006D6AA4"/>
    <w:rsid w:val="006E2D02"/>
    <w:rsid w:val="0071112B"/>
    <w:rsid w:val="00711FCD"/>
    <w:rsid w:val="00753C9F"/>
    <w:rsid w:val="00790B32"/>
    <w:rsid w:val="007B5763"/>
    <w:rsid w:val="007E45D4"/>
    <w:rsid w:val="007F70AF"/>
    <w:rsid w:val="00806298"/>
    <w:rsid w:val="00812D92"/>
    <w:rsid w:val="00824C9D"/>
    <w:rsid w:val="00837C51"/>
    <w:rsid w:val="00846150"/>
    <w:rsid w:val="008605F8"/>
    <w:rsid w:val="008717CE"/>
    <w:rsid w:val="00875BE3"/>
    <w:rsid w:val="00892D1F"/>
    <w:rsid w:val="008B69AB"/>
    <w:rsid w:val="008D2695"/>
    <w:rsid w:val="008F0BD8"/>
    <w:rsid w:val="00904E15"/>
    <w:rsid w:val="0091695F"/>
    <w:rsid w:val="00941018"/>
    <w:rsid w:val="009421D4"/>
    <w:rsid w:val="009863AD"/>
    <w:rsid w:val="0099782B"/>
    <w:rsid w:val="009B479E"/>
    <w:rsid w:val="009D1FBF"/>
    <w:rsid w:val="009D32D3"/>
    <w:rsid w:val="009E154E"/>
    <w:rsid w:val="00A16393"/>
    <w:rsid w:val="00A271C5"/>
    <w:rsid w:val="00A50BBA"/>
    <w:rsid w:val="00A60A22"/>
    <w:rsid w:val="00A64EC7"/>
    <w:rsid w:val="00A67158"/>
    <w:rsid w:val="00A70B17"/>
    <w:rsid w:val="00A72CC7"/>
    <w:rsid w:val="00A73CA4"/>
    <w:rsid w:val="00A75D43"/>
    <w:rsid w:val="00A84AB8"/>
    <w:rsid w:val="00A86D91"/>
    <w:rsid w:val="00AC578E"/>
    <w:rsid w:val="00AE2D67"/>
    <w:rsid w:val="00AE4F92"/>
    <w:rsid w:val="00AF4D05"/>
    <w:rsid w:val="00AF5471"/>
    <w:rsid w:val="00B15439"/>
    <w:rsid w:val="00B160C8"/>
    <w:rsid w:val="00B23C60"/>
    <w:rsid w:val="00B41CE9"/>
    <w:rsid w:val="00B451A1"/>
    <w:rsid w:val="00B7476C"/>
    <w:rsid w:val="00B876F1"/>
    <w:rsid w:val="00B9000E"/>
    <w:rsid w:val="00BB0C2D"/>
    <w:rsid w:val="00BB66C5"/>
    <w:rsid w:val="00BF68C1"/>
    <w:rsid w:val="00C30C67"/>
    <w:rsid w:val="00C32AD8"/>
    <w:rsid w:val="00C35760"/>
    <w:rsid w:val="00C44BB7"/>
    <w:rsid w:val="00C55DE6"/>
    <w:rsid w:val="00C56037"/>
    <w:rsid w:val="00C60736"/>
    <w:rsid w:val="00C61720"/>
    <w:rsid w:val="00C867C9"/>
    <w:rsid w:val="00D23C39"/>
    <w:rsid w:val="00D33D8F"/>
    <w:rsid w:val="00D411CA"/>
    <w:rsid w:val="00D44BBB"/>
    <w:rsid w:val="00D46309"/>
    <w:rsid w:val="00D54767"/>
    <w:rsid w:val="00D73E93"/>
    <w:rsid w:val="00D949E7"/>
    <w:rsid w:val="00DB4F8B"/>
    <w:rsid w:val="00DC22E1"/>
    <w:rsid w:val="00DE05B0"/>
    <w:rsid w:val="00DE60B6"/>
    <w:rsid w:val="00DE6420"/>
    <w:rsid w:val="00DF5FA9"/>
    <w:rsid w:val="00E05653"/>
    <w:rsid w:val="00E139BA"/>
    <w:rsid w:val="00E14B69"/>
    <w:rsid w:val="00E279B0"/>
    <w:rsid w:val="00E33011"/>
    <w:rsid w:val="00E33174"/>
    <w:rsid w:val="00E545C2"/>
    <w:rsid w:val="00E54AEA"/>
    <w:rsid w:val="00E63DBF"/>
    <w:rsid w:val="00E70772"/>
    <w:rsid w:val="00EB1DFF"/>
    <w:rsid w:val="00EC1B29"/>
    <w:rsid w:val="00EC4A07"/>
    <w:rsid w:val="00EC5AFF"/>
    <w:rsid w:val="00ED61E4"/>
    <w:rsid w:val="00EF33BD"/>
    <w:rsid w:val="00F13EDA"/>
    <w:rsid w:val="00F31BDD"/>
    <w:rsid w:val="00F34F37"/>
    <w:rsid w:val="00F37779"/>
    <w:rsid w:val="00F6606D"/>
    <w:rsid w:val="00F70F7F"/>
    <w:rsid w:val="00F74960"/>
    <w:rsid w:val="00F832C8"/>
    <w:rsid w:val="00F84793"/>
    <w:rsid w:val="00F95942"/>
    <w:rsid w:val="00FC0366"/>
    <w:rsid w:val="00FE45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8067866"/>
  <w15:docId w15:val="{C8A4B8F6-6ED8-4FEA-8322-C798910E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1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1F"/>
    <w:pPr>
      <w:bidi w:val="0"/>
      <w:spacing w:after="160" w:line="254" w:lineRule="auto"/>
      <w:ind w:left="720"/>
      <w:contextualSpacing/>
    </w:pPr>
  </w:style>
  <w:style w:type="paragraph" w:customStyle="1" w:styleId="c-article-info-details">
    <w:name w:val="c-article-info-details"/>
    <w:basedOn w:val="Normal"/>
    <w:rsid w:val="00892D1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6420"/>
    <w:rPr>
      <w:rFonts w:ascii="Times New Roman" w:hAnsi="Times New Roman" w:cs="Times New Roman"/>
      <w:sz w:val="24"/>
      <w:szCs w:val="24"/>
    </w:rPr>
  </w:style>
  <w:style w:type="character" w:styleId="Hyperlink">
    <w:name w:val="Hyperlink"/>
    <w:basedOn w:val="DefaultParagraphFont"/>
    <w:uiPriority w:val="99"/>
    <w:unhideWhenUsed/>
    <w:rsid w:val="00E14B69"/>
    <w:rPr>
      <w:color w:val="0000FF" w:themeColor="hyperlink"/>
      <w:u w:val="single"/>
    </w:rPr>
  </w:style>
  <w:style w:type="character" w:styleId="UnresolvedMention">
    <w:name w:val="Unresolved Mention"/>
    <w:basedOn w:val="DefaultParagraphFont"/>
    <w:uiPriority w:val="99"/>
    <w:semiHidden/>
    <w:unhideWhenUsed/>
    <w:rsid w:val="005317CB"/>
    <w:rPr>
      <w:color w:val="605E5C"/>
      <w:shd w:val="clear" w:color="auto" w:fill="E1DFDD"/>
    </w:rPr>
  </w:style>
  <w:style w:type="paragraph" w:styleId="Caption">
    <w:name w:val="caption"/>
    <w:basedOn w:val="Normal"/>
    <w:next w:val="Normal"/>
    <w:uiPriority w:val="35"/>
    <w:unhideWhenUsed/>
    <w:qFormat/>
    <w:rsid w:val="00A86D91"/>
    <w:pPr>
      <w:spacing w:line="240" w:lineRule="auto"/>
    </w:pPr>
    <w:rPr>
      <w:i/>
      <w:iCs/>
      <w:color w:val="1F497D" w:themeColor="text2"/>
      <w:sz w:val="18"/>
      <w:szCs w:val="18"/>
    </w:rPr>
  </w:style>
  <w:style w:type="table" w:styleId="TableGrid">
    <w:name w:val="Table Grid"/>
    <w:basedOn w:val="TableNormal"/>
    <w:uiPriority w:val="59"/>
    <w:rsid w:val="003C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F3F"/>
  </w:style>
  <w:style w:type="paragraph" w:styleId="Footer">
    <w:name w:val="footer"/>
    <w:basedOn w:val="Normal"/>
    <w:link w:val="FooterChar"/>
    <w:uiPriority w:val="99"/>
    <w:unhideWhenUsed/>
    <w:rsid w:val="0036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35142">
      <w:bodyDiv w:val="1"/>
      <w:marLeft w:val="0"/>
      <w:marRight w:val="0"/>
      <w:marTop w:val="0"/>
      <w:marBottom w:val="0"/>
      <w:divBdr>
        <w:top w:val="none" w:sz="0" w:space="0" w:color="auto"/>
        <w:left w:val="none" w:sz="0" w:space="0" w:color="auto"/>
        <w:bottom w:val="none" w:sz="0" w:space="0" w:color="auto"/>
        <w:right w:val="none" w:sz="0" w:space="0" w:color="auto"/>
      </w:divBdr>
    </w:div>
    <w:div w:id="20780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rb.badawi@gmail.com" TargetMode="External"/><Relationship Id="rId13" Type="http://schemas.openxmlformats.org/officeDocument/2006/relationships/image" Target="media/image2.png"/><Relationship Id="rId18"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ubmed.ncbi.nlm.nih.gov/?term=Kumari%20B%5BAuthor%5D" TargetMode="External"/><Relationship Id="rId2" Type="http://schemas.openxmlformats.org/officeDocument/2006/relationships/numbering" Target="numbering.xml"/><Relationship Id="rId16" Type="http://schemas.openxmlformats.org/officeDocument/2006/relationships/hyperlink" Target="https://www.sciencedirect.com/topics/medicine-and-dentistry/liver-fibro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sysalem@medicine.zu.edu.eg?subject=10.21608/AJGH.2022.153872.1010" TargetMode="External"/><Relationship Id="rId19" Type="http://schemas.openxmlformats.org/officeDocument/2006/relationships/hyperlink" Target="https://dx.doi.org/10.1186%2Fs12876-021-02038" TargetMode="External"/><Relationship Id="rId4" Type="http://schemas.openxmlformats.org/officeDocument/2006/relationships/settings" Target="settings.xml"/><Relationship Id="rId9" Type="http://schemas.openxmlformats.org/officeDocument/2006/relationships/hyperlink" Target="mailto:rehab.elsheshtawy@med.tanta.edu.eg"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D4D3-CF79-4EA1-95C5-B6BBA85E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SYSalem</cp:lastModifiedBy>
  <cp:revision>2</cp:revision>
  <dcterms:created xsi:type="dcterms:W3CDTF">2022-09-12T14:50:00Z</dcterms:created>
  <dcterms:modified xsi:type="dcterms:W3CDTF">2022-09-12T14:50:00Z</dcterms:modified>
</cp:coreProperties>
</file>