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18573" w14:textId="6F2A7CB2" w:rsidR="00E95C05" w:rsidRPr="008207E2" w:rsidRDefault="000514BE" w:rsidP="008207E2">
      <w:pPr>
        <w:jc w:val="center"/>
        <w:rPr>
          <w:sz w:val="28"/>
          <w:szCs w:val="28"/>
        </w:rPr>
      </w:pPr>
      <w:bookmarkStart w:id="0" w:name="_Hlk114994488"/>
      <w:bookmarkStart w:id="1" w:name="_Hlk114997903"/>
      <w:r w:rsidRPr="008207E2">
        <w:rPr>
          <w:sz w:val="28"/>
          <w:szCs w:val="28"/>
        </w:rPr>
        <w:t xml:space="preserve">The </w:t>
      </w:r>
      <w:r w:rsidR="00A83A48" w:rsidRPr="008207E2">
        <w:rPr>
          <w:sz w:val="28"/>
          <w:szCs w:val="28"/>
        </w:rPr>
        <w:t>relationship</w:t>
      </w:r>
      <w:r w:rsidRPr="008207E2">
        <w:rPr>
          <w:sz w:val="28"/>
          <w:szCs w:val="28"/>
        </w:rPr>
        <w:t xml:space="preserve"> between </w:t>
      </w:r>
      <w:bookmarkStart w:id="2" w:name="_Hlk109415427"/>
      <w:bookmarkStart w:id="3" w:name="_Hlk115041908"/>
      <w:r w:rsidR="00216F0A" w:rsidRPr="008207E2">
        <w:rPr>
          <w:sz w:val="28"/>
          <w:szCs w:val="28"/>
        </w:rPr>
        <w:t xml:space="preserve">hepatitis </w:t>
      </w:r>
      <w:r w:rsidRPr="008207E2">
        <w:rPr>
          <w:sz w:val="28"/>
          <w:szCs w:val="28"/>
        </w:rPr>
        <w:t>C</w:t>
      </w:r>
      <w:r w:rsidR="00E95649" w:rsidRPr="008207E2">
        <w:rPr>
          <w:sz w:val="28"/>
          <w:szCs w:val="28"/>
        </w:rPr>
        <w:t xml:space="preserve"> </w:t>
      </w:r>
      <w:r w:rsidR="00A04017" w:rsidRPr="008207E2">
        <w:rPr>
          <w:sz w:val="28"/>
          <w:szCs w:val="28"/>
        </w:rPr>
        <w:t xml:space="preserve">- </w:t>
      </w:r>
      <w:r w:rsidRPr="008207E2">
        <w:rPr>
          <w:sz w:val="28"/>
          <w:szCs w:val="28"/>
        </w:rPr>
        <w:t xml:space="preserve">related </w:t>
      </w:r>
      <w:bookmarkEnd w:id="2"/>
      <w:r w:rsidRPr="008207E2">
        <w:rPr>
          <w:sz w:val="28"/>
          <w:szCs w:val="28"/>
        </w:rPr>
        <w:t xml:space="preserve">hepatocellular carcinoma </w:t>
      </w:r>
      <w:bookmarkEnd w:id="3"/>
      <w:r w:rsidRPr="008207E2">
        <w:rPr>
          <w:sz w:val="28"/>
          <w:szCs w:val="28"/>
        </w:rPr>
        <w:t xml:space="preserve">and </w:t>
      </w:r>
      <w:bookmarkStart w:id="4" w:name="_Hlk109415404"/>
      <w:r w:rsidRPr="008207E2">
        <w:rPr>
          <w:i/>
          <w:iCs/>
          <w:sz w:val="28"/>
          <w:szCs w:val="28"/>
        </w:rPr>
        <w:t>IL-23</w:t>
      </w:r>
      <w:r w:rsidR="00CD101F" w:rsidRPr="008207E2">
        <w:rPr>
          <w:i/>
          <w:iCs/>
          <w:sz w:val="28"/>
          <w:szCs w:val="28"/>
        </w:rPr>
        <w:t xml:space="preserve"> receptor</w:t>
      </w:r>
      <w:r w:rsidRPr="008207E2">
        <w:rPr>
          <w:sz w:val="28"/>
          <w:szCs w:val="28"/>
        </w:rPr>
        <w:t xml:space="preserve"> gene polymorphism</w:t>
      </w:r>
    </w:p>
    <w:bookmarkEnd w:id="0"/>
    <w:bookmarkEnd w:id="4"/>
    <w:p w14:paraId="6553EBD7" w14:textId="5F8B8FBD" w:rsidR="000514BE" w:rsidRPr="000514BE" w:rsidRDefault="000514BE" w:rsidP="000514BE">
      <w:pPr>
        <w:rPr>
          <w:rFonts w:asciiTheme="majorBidi" w:hAnsiTheme="majorBidi" w:cstheme="majorBidi"/>
          <w:b/>
          <w:sz w:val="24"/>
          <w:szCs w:val="24"/>
        </w:rPr>
      </w:pPr>
    </w:p>
    <w:p w14:paraId="7D23CF28" w14:textId="77777777" w:rsidR="00CB6191" w:rsidRDefault="00CB6191" w:rsidP="00CB6191">
      <w:pPr>
        <w:jc w:val="center"/>
        <w:rPr>
          <w:rFonts w:asciiTheme="majorBidi" w:eastAsia="Palatino Linotype" w:hAnsiTheme="majorBidi" w:cstheme="majorBidi"/>
          <w:b/>
          <w:sz w:val="24"/>
          <w:szCs w:val="24"/>
        </w:rPr>
      </w:pPr>
      <w:bookmarkStart w:id="5" w:name="_Hlk114993844"/>
      <w:bookmarkEnd w:id="1"/>
      <w:r w:rsidRPr="000514BE">
        <w:rPr>
          <w:rFonts w:asciiTheme="majorBidi" w:eastAsia="Palatino Linotype" w:hAnsiTheme="majorBidi" w:cstheme="majorBidi"/>
          <w:b/>
          <w:sz w:val="24"/>
          <w:szCs w:val="24"/>
        </w:rPr>
        <w:t>Said</w:t>
      </w:r>
      <w:r w:rsidRPr="000514BE">
        <w:rPr>
          <w:rFonts w:asciiTheme="majorBidi" w:eastAsia="Palatino Linotype" w:hAnsiTheme="majorBidi" w:cstheme="majorBidi"/>
          <w:b/>
          <w:spacing w:val="-2"/>
          <w:sz w:val="24"/>
          <w:szCs w:val="24"/>
        </w:rPr>
        <w:t xml:space="preserve"> </w:t>
      </w:r>
      <w:r>
        <w:rPr>
          <w:rFonts w:asciiTheme="majorBidi" w:eastAsia="Palatino Linotype" w:hAnsiTheme="majorBidi" w:cstheme="majorBidi"/>
          <w:b/>
          <w:sz w:val="24"/>
          <w:szCs w:val="24"/>
        </w:rPr>
        <w:t>A</w:t>
      </w:r>
      <w:r w:rsidRPr="000514BE">
        <w:rPr>
          <w:rFonts w:asciiTheme="majorBidi" w:eastAsia="Palatino Linotype" w:hAnsiTheme="majorBidi" w:cstheme="majorBidi"/>
          <w:b/>
          <w:sz w:val="24"/>
          <w:szCs w:val="24"/>
        </w:rPr>
        <w:t>bdel</w:t>
      </w:r>
      <w:r w:rsidRPr="000514BE">
        <w:rPr>
          <w:rFonts w:asciiTheme="majorBidi" w:eastAsia="Palatino Linotype" w:hAnsiTheme="majorBidi" w:cstheme="majorBidi"/>
          <w:b/>
          <w:spacing w:val="-3"/>
          <w:sz w:val="24"/>
          <w:szCs w:val="24"/>
        </w:rPr>
        <w:t xml:space="preserve"> </w:t>
      </w:r>
      <w:proofErr w:type="spellStart"/>
      <w:r>
        <w:rPr>
          <w:rFonts w:asciiTheme="majorBidi" w:eastAsia="Palatino Linotype" w:hAnsiTheme="majorBidi" w:cstheme="majorBidi"/>
          <w:b/>
          <w:sz w:val="24"/>
          <w:szCs w:val="24"/>
        </w:rPr>
        <w:t>B</w:t>
      </w:r>
      <w:r w:rsidRPr="000514BE">
        <w:rPr>
          <w:rFonts w:asciiTheme="majorBidi" w:eastAsia="Palatino Linotype" w:hAnsiTheme="majorBidi" w:cstheme="majorBidi"/>
          <w:b/>
          <w:sz w:val="24"/>
          <w:szCs w:val="24"/>
        </w:rPr>
        <w:t>aky</w:t>
      </w:r>
      <w:proofErr w:type="spellEnd"/>
      <w:r w:rsidRPr="000514BE">
        <w:rPr>
          <w:rFonts w:asciiTheme="majorBidi" w:eastAsia="Palatino Linotype" w:hAnsiTheme="majorBidi" w:cstheme="majorBidi"/>
          <w:b/>
          <w:spacing w:val="-5"/>
          <w:sz w:val="24"/>
          <w:szCs w:val="24"/>
        </w:rPr>
        <w:t xml:space="preserve"> </w:t>
      </w:r>
      <w:bookmarkStart w:id="6" w:name="_Hlk116125980"/>
      <w:r w:rsidRPr="000514BE">
        <w:rPr>
          <w:rFonts w:asciiTheme="majorBidi" w:eastAsia="Palatino Linotype" w:hAnsiTheme="majorBidi" w:cstheme="majorBidi"/>
          <w:b/>
          <w:sz w:val="24"/>
          <w:szCs w:val="24"/>
        </w:rPr>
        <w:t>Gad</w:t>
      </w:r>
      <w:bookmarkEnd w:id="6"/>
      <w:r w:rsidRPr="00F13B14">
        <w:rPr>
          <w:rFonts w:asciiTheme="majorBidi" w:eastAsia="Palatino Linotype" w:hAnsiTheme="majorBidi" w:cstheme="majorBidi"/>
          <w:b/>
          <w:spacing w:val="20"/>
          <w:position w:val="5"/>
          <w:sz w:val="24"/>
          <w:szCs w:val="24"/>
          <w:vertAlign w:val="superscript"/>
        </w:rPr>
        <w:t>1</w:t>
      </w:r>
      <w:r w:rsidRPr="000514BE">
        <w:rPr>
          <w:rFonts w:asciiTheme="majorBidi" w:eastAsia="Palatino Linotype" w:hAnsiTheme="majorBidi" w:cstheme="majorBidi"/>
          <w:b/>
          <w:position w:val="5"/>
          <w:sz w:val="24"/>
          <w:szCs w:val="24"/>
        </w:rPr>
        <w:t>*</w:t>
      </w:r>
      <w:r w:rsidRPr="000514BE">
        <w:rPr>
          <w:rFonts w:asciiTheme="majorBidi" w:eastAsia="Palatino Linotype" w:hAnsiTheme="majorBidi" w:cstheme="majorBidi"/>
          <w:b/>
          <w:sz w:val="24"/>
          <w:szCs w:val="24"/>
        </w:rPr>
        <w:t xml:space="preserve">, </w:t>
      </w:r>
      <w:r>
        <w:rPr>
          <w:rFonts w:asciiTheme="majorBidi" w:eastAsia="Palatino Linotype" w:hAnsiTheme="majorBidi" w:cstheme="majorBidi"/>
          <w:b/>
          <w:sz w:val="24"/>
          <w:szCs w:val="24"/>
        </w:rPr>
        <w:t>Ashraf Khalifa</w:t>
      </w:r>
      <w:r w:rsidRPr="00CB58AC">
        <w:rPr>
          <w:rFonts w:asciiTheme="majorBidi" w:eastAsia="Palatino Linotype" w:hAnsiTheme="majorBidi" w:cstheme="majorBidi"/>
          <w:b/>
          <w:sz w:val="24"/>
          <w:szCs w:val="24"/>
          <w:vertAlign w:val="superscript"/>
        </w:rPr>
        <w:t>1</w:t>
      </w:r>
      <w:r>
        <w:rPr>
          <w:rFonts w:asciiTheme="majorBidi" w:eastAsia="Palatino Linotype" w:hAnsiTheme="majorBidi" w:cstheme="majorBidi"/>
          <w:b/>
          <w:sz w:val="24"/>
          <w:szCs w:val="24"/>
        </w:rPr>
        <w:t xml:space="preserve">, </w:t>
      </w:r>
      <w:proofErr w:type="spellStart"/>
      <w:r w:rsidRPr="000514BE">
        <w:rPr>
          <w:rFonts w:asciiTheme="majorBidi" w:eastAsia="Palatino Linotype" w:hAnsiTheme="majorBidi" w:cstheme="majorBidi"/>
          <w:b/>
          <w:sz w:val="24"/>
          <w:szCs w:val="24"/>
        </w:rPr>
        <w:t>Samia</w:t>
      </w:r>
      <w:proofErr w:type="spellEnd"/>
      <w:r w:rsidRPr="000514BE">
        <w:rPr>
          <w:rFonts w:asciiTheme="majorBidi" w:eastAsia="Palatino Linotype" w:hAnsiTheme="majorBidi" w:cstheme="majorBidi"/>
          <w:b/>
          <w:sz w:val="24"/>
          <w:szCs w:val="24"/>
        </w:rPr>
        <w:t xml:space="preserve"> Hussein</w:t>
      </w:r>
      <w:r w:rsidRPr="00F13B14">
        <w:rPr>
          <w:rFonts w:asciiTheme="majorBidi" w:eastAsia="Palatino Linotype" w:hAnsiTheme="majorBidi" w:cstheme="majorBidi"/>
          <w:b/>
          <w:spacing w:val="20"/>
          <w:position w:val="5"/>
          <w:sz w:val="24"/>
          <w:szCs w:val="24"/>
          <w:vertAlign w:val="superscript"/>
        </w:rPr>
        <w:t>2,3</w:t>
      </w:r>
      <w:r>
        <w:rPr>
          <w:rFonts w:asciiTheme="majorBidi" w:eastAsia="Palatino Linotype" w:hAnsiTheme="majorBidi" w:cstheme="majorBidi"/>
          <w:b/>
          <w:position w:val="5"/>
          <w:sz w:val="24"/>
          <w:szCs w:val="24"/>
        </w:rPr>
        <w:t>*,</w:t>
      </w:r>
      <w:r w:rsidRPr="000514BE">
        <w:rPr>
          <w:rFonts w:asciiTheme="majorBidi" w:eastAsia="Palatino Linotype" w:hAnsiTheme="majorBidi" w:cstheme="majorBidi"/>
          <w:b/>
          <w:spacing w:val="20"/>
          <w:position w:val="5"/>
          <w:sz w:val="24"/>
          <w:szCs w:val="24"/>
        </w:rPr>
        <w:t xml:space="preserve"> </w:t>
      </w:r>
      <w:proofErr w:type="spellStart"/>
      <w:r w:rsidRPr="00B1074C">
        <w:rPr>
          <w:rFonts w:asciiTheme="majorBidi" w:eastAsia="Palatino Linotype" w:hAnsiTheme="majorBidi" w:cstheme="majorBidi"/>
          <w:b/>
          <w:sz w:val="24"/>
          <w:szCs w:val="24"/>
        </w:rPr>
        <w:t>Abeer</w:t>
      </w:r>
      <w:proofErr w:type="spellEnd"/>
      <w:r w:rsidRPr="00B1074C">
        <w:rPr>
          <w:rFonts w:asciiTheme="majorBidi" w:eastAsia="Palatino Linotype" w:hAnsiTheme="majorBidi" w:cstheme="majorBidi"/>
          <w:b/>
          <w:sz w:val="24"/>
          <w:szCs w:val="24"/>
        </w:rPr>
        <w:t xml:space="preserve"> A. Abdelrahman</w:t>
      </w:r>
      <w:r w:rsidRPr="00B1074C">
        <w:rPr>
          <w:rFonts w:asciiTheme="majorBidi" w:eastAsia="Palatino Linotype" w:hAnsiTheme="majorBidi" w:cstheme="majorBidi"/>
          <w:b/>
          <w:spacing w:val="20"/>
          <w:position w:val="5"/>
          <w:sz w:val="24"/>
          <w:szCs w:val="24"/>
          <w:vertAlign w:val="superscript"/>
        </w:rPr>
        <w:t>2</w:t>
      </w:r>
      <w:r>
        <w:rPr>
          <w:rFonts w:asciiTheme="majorBidi" w:eastAsia="Palatino Linotype" w:hAnsiTheme="majorBidi" w:cstheme="majorBidi"/>
          <w:b/>
          <w:spacing w:val="20"/>
          <w:position w:val="5"/>
          <w:sz w:val="24"/>
          <w:szCs w:val="24"/>
        </w:rPr>
        <w:t xml:space="preserve">, </w:t>
      </w:r>
      <w:r w:rsidRPr="00001B72">
        <w:rPr>
          <w:rFonts w:asciiTheme="majorBidi" w:eastAsia="Palatino Linotype" w:hAnsiTheme="majorBidi" w:cstheme="majorBidi"/>
          <w:b/>
          <w:sz w:val="24"/>
          <w:szCs w:val="24"/>
        </w:rPr>
        <w:t>Ola M. Elfarargy</w:t>
      </w:r>
      <w:r>
        <w:rPr>
          <w:rFonts w:asciiTheme="majorBidi" w:eastAsia="Palatino Linotype" w:hAnsiTheme="majorBidi" w:cstheme="majorBidi"/>
          <w:b/>
          <w:sz w:val="24"/>
          <w:szCs w:val="24"/>
          <w:vertAlign w:val="superscript"/>
        </w:rPr>
        <w:t>4, 5</w:t>
      </w:r>
      <w:r>
        <w:rPr>
          <w:rFonts w:asciiTheme="majorBidi" w:eastAsia="Palatino Linotype" w:hAnsiTheme="majorBidi" w:cstheme="majorBidi"/>
          <w:b/>
          <w:spacing w:val="20"/>
          <w:position w:val="5"/>
          <w:sz w:val="24"/>
          <w:szCs w:val="24"/>
        </w:rPr>
        <w:t xml:space="preserve">, </w:t>
      </w:r>
      <w:r w:rsidRPr="000514BE">
        <w:rPr>
          <w:rFonts w:asciiTheme="majorBidi" w:eastAsia="Palatino Linotype" w:hAnsiTheme="majorBidi" w:cstheme="majorBidi"/>
          <w:b/>
          <w:sz w:val="24"/>
          <w:szCs w:val="24"/>
        </w:rPr>
        <w:t>and</w:t>
      </w:r>
      <w:r w:rsidRPr="000514BE">
        <w:rPr>
          <w:rFonts w:asciiTheme="majorBidi" w:eastAsia="Palatino Linotype" w:hAnsiTheme="majorBidi" w:cstheme="majorBidi"/>
          <w:b/>
          <w:spacing w:val="-2"/>
          <w:sz w:val="24"/>
          <w:szCs w:val="24"/>
        </w:rPr>
        <w:t xml:space="preserve"> </w:t>
      </w:r>
      <w:r w:rsidRPr="000514BE">
        <w:rPr>
          <w:rFonts w:asciiTheme="majorBidi" w:eastAsia="Palatino Linotype" w:hAnsiTheme="majorBidi" w:cstheme="majorBidi"/>
          <w:b/>
          <w:sz w:val="24"/>
          <w:szCs w:val="24"/>
        </w:rPr>
        <w:t>Ahmad</w:t>
      </w:r>
      <w:r w:rsidRPr="000514BE">
        <w:rPr>
          <w:rFonts w:asciiTheme="majorBidi" w:eastAsia="Palatino Linotype" w:hAnsiTheme="majorBidi" w:cstheme="majorBidi"/>
          <w:b/>
          <w:spacing w:val="-1"/>
          <w:sz w:val="24"/>
          <w:szCs w:val="24"/>
        </w:rPr>
        <w:t xml:space="preserve"> </w:t>
      </w:r>
      <w:r w:rsidRPr="000514BE">
        <w:rPr>
          <w:rFonts w:asciiTheme="majorBidi" w:eastAsia="Palatino Linotype" w:hAnsiTheme="majorBidi" w:cstheme="majorBidi"/>
          <w:b/>
          <w:sz w:val="24"/>
          <w:szCs w:val="24"/>
        </w:rPr>
        <w:t>I.</w:t>
      </w:r>
      <w:r>
        <w:rPr>
          <w:rFonts w:asciiTheme="majorBidi" w:eastAsia="Palatino Linotype" w:hAnsiTheme="majorBidi" w:cstheme="majorBidi"/>
          <w:b/>
          <w:sz w:val="24"/>
          <w:szCs w:val="24"/>
        </w:rPr>
        <w:t xml:space="preserve"> </w:t>
      </w:r>
      <w:proofErr w:type="spellStart"/>
      <w:r w:rsidRPr="000514BE">
        <w:rPr>
          <w:rFonts w:asciiTheme="majorBidi" w:eastAsia="Palatino Linotype" w:hAnsiTheme="majorBidi" w:cstheme="majorBidi"/>
          <w:b/>
          <w:sz w:val="24"/>
          <w:szCs w:val="24"/>
        </w:rPr>
        <w:t>Elagrody</w:t>
      </w:r>
      <w:proofErr w:type="spellEnd"/>
      <w:r w:rsidRPr="00F13B14">
        <w:rPr>
          <w:rFonts w:asciiTheme="majorBidi" w:eastAsia="Palatino Linotype" w:hAnsiTheme="majorBidi" w:cstheme="majorBidi"/>
          <w:b/>
          <w:spacing w:val="20"/>
          <w:position w:val="5"/>
          <w:sz w:val="24"/>
          <w:szCs w:val="24"/>
          <w:vertAlign w:val="superscript"/>
        </w:rPr>
        <w:t>1</w:t>
      </w:r>
    </w:p>
    <w:bookmarkEnd w:id="5"/>
    <w:p w14:paraId="61CF2E96" w14:textId="77777777" w:rsidR="00CB6191" w:rsidRDefault="00CB6191" w:rsidP="00CB6191">
      <w:pPr>
        <w:rPr>
          <w:rFonts w:asciiTheme="majorBidi" w:eastAsia="Palatino Linotype" w:hAnsiTheme="majorBidi" w:cstheme="majorBidi"/>
          <w:b/>
          <w:sz w:val="24"/>
          <w:szCs w:val="24"/>
        </w:rPr>
      </w:pPr>
    </w:p>
    <w:p w14:paraId="643B1079" w14:textId="77777777" w:rsidR="00CB6191" w:rsidRDefault="00CB6191" w:rsidP="00CB6191">
      <w:pPr>
        <w:rPr>
          <w:rFonts w:asciiTheme="majorBidi" w:eastAsia="Palatino Linotype" w:hAnsiTheme="majorBidi" w:cstheme="majorBidi"/>
          <w:sz w:val="20"/>
          <w:szCs w:val="20"/>
        </w:rPr>
      </w:pPr>
      <w:bookmarkStart w:id="7" w:name="_Hlk114993954"/>
      <w:r w:rsidRPr="00F8068A">
        <w:rPr>
          <w:rFonts w:asciiTheme="majorBidi" w:eastAsia="Palatino Linotype" w:hAnsiTheme="majorBidi" w:cstheme="majorBidi"/>
          <w:sz w:val="20"/>
          <w:szCs w:val="20"/>
          <w:vertAlign w:val="superscript"/>
        </w:rPr>
        <w:t>1</w:t>
      </w:r>
      <w:r w:rsidRPr="000514BE">
        <w:rPr>
          <w:rFonts w:asciiTheme="majorBidi" w:eastAsia="Palatino Linotype" w:hAnsiTheme="majorBidi" w:cstheme="majorBidi"/>
          <w:spacing w:val="8"/>
          <w:position w:val="4"/>
          <w:sz w:val="20"/>
          <w:szCs w:val="20"/>
        </w:rPr>
        <w:t xml:space="preserve"> </w:t>
      </w:r>
      <w:r w:rsidRPr="000514BE">
        <w:rPr>
          <w:rFonts w:asciiTheme="majorBidi" w:eastAsia="Palatino Linotype" w:hAnsiTheme="majorBidi" w:cstheme="majorBidi"/>
          <w:sz w:val="20"/>
          <w:szCs w:val="20"/>
        </w:rPr>
        <w:t>Department</w:t>
      </w:r>
      <w:r w:rsidRPr="000514BE">
        <w:rPr>
          <w:rFonts w:asciiTheme="majorBidi" w:eastAsia="Palatino Linotype" w:hAnsiTheme="majorBidi" w:cstheme="majorBidi"/>
          <w:spacing w:val="-3"/>
          <w:sz w:val="20"/>
          <w:szCs w:val="20"/>
        </w:rPr>
        <w:t xml:space="preserve"> </w:t>
      </w:r>
      <w:r w:rsidRPr="000514BE">
        <w:rPr>
          <w:rFonts w:asciiTheme="majorBidi" w:eastAsia="Palatino Linotype" w:hAnsiTheme="majorBidi" w:cstheme="majorBidi"/>
          <w:sz w:val="20"/>
          <w:szCs w:val="20"/>
        </w:rPr>
        <w:t xml:space="preserve">of </w:t>
      </w:r>
      <w:r>
        <w:rPr>
          <w:rFonts w:asciiTheme="majorBidi" w:eastAsia="Palatino Linotype" w:hAnsiTheme="majorBidi" w:cstheme="majorBidi"/>
          <w:sz w:val="20"/>
          <w:szCs w:val="20"/>
        </w:rPr>
        <w:t xml:space="preserve">Internal Medicine, </w:t>
      </w:r>
      <w:r w:rsidRPr="000514BE">
        <w:rPr>
          <w:rFonts w:asciiTheme="majorBidi" w:eastAsia="Palatino Linotype" w:hAnsiTheme="majorBidi" w:cstheme="majorBidi"/>
          <w:sz w:val="20"/>
          <w:szCs w:val="20"/>
        </w:rPr>
        <w:t>Gastroenterology</w:t>
      </w:r>
      <w:r w:rsidRPr="000514BE">
        <w:rPr>
          <w:rFonts w:asciiTheme="majorBidi" w:eastAsia="Palatino Linotype" w:hAnsiTheme="majorBidi" w:cstheme="majorBidi"/>
          <w:spacing w:val="-7"/>
          <w:sz w:val="20"/>
          <w:szCs w:val="20"/>
        </w:rPr>
        <w:t xml:space="preserve"> </w:t>
      </w:r>
      <w:r w:rsidRPr="000514BE">
        <w:rPr>
          <w:rFonts w:asciiTheme="majorBidi" w:eastAsia="Palatino Linotype" w:hAnsiTheme="majorBidi" w:cstheme="majorBidi"/>
          <w:sz w:val="20"/>
          <w:szCs w:val="20"/>
        </w:rPr>
        <w:t>and</w:t>
      </w:r>
      <w:r w:rsidRPr="000514BE">
        <w:rPr>
          <w:rFonts w:asciiTheme="majorBidi" w:eastAsia="Palatino Linotype" w:hAnsiTheme="majorBidi" w:cstheme="majorBidi"/>
          <w:spacing w:val="-1"/>
          <w:sz w:val="20"/>
          <w:szCs w:val="20"/>
        </w:rPr>
        <w:t xml:space="preserve"> </w:t>
      </w:r>
      <w:r w:rsidRPr="000514BE">
        <w:rPr>
          <w:rFonts w:asciiTheme="majorBidi" w:eastAsia="Palatino Linotype" w:hAnsiTheme="majorBidi" w:cstheme="majorBidi"/>
          <w:sz w:val="20"/>
          <w:szCs w:val="20"/>
        </w:rPr>
        <w:t>Hepatology</w:t>
      </w:r>
      <w:bookmarkStart w:id="8" w:name="_Hlk109415284"/>
      <w:r w:rsidRPr="000514BE">
        <w:rPr>
          <w:rFonts w:asciiTheme="majorBidi" w:eastAsia="Palatino Linotype" w:hAnsiTheme="majorBidi" w:cstheme="majorBidi"/>
          <w:sz w:val="20"/>
          <w:szCs w:val="20"/>
        </w:rPr>
        <w:t>,</w:t>
      </w:r>
      <w:r w:rsidRPr="000514BE">
        <w:rPr>
          <w:rFonts w:asciiTheme="majorBidi" w:eastAsia="Palatino Linotype" w:hAnsiTheme="majorBidi" w:cstheme="majorBidi"/>
          <w:spacing w:val="-1"/>
          <w:sz w:val="20"/>
          <w:szCs w:val="20"/>
        </w:rPr>
        <w:t xml:space="preserve"> </w:t>
      </w:r>
      <w:r w:rsidRPr="000514BE">
        <w:rPr>
          <w:rFonts w:asciiTheme="majorBidi" w:eastAsia="Palatino Linotype" w:hAnsiTheme="majorBidi" w:cstheme="majorBidi"/>
          <w:sz w:val="20"/>
          <w:szCs w:val="20"/>
        </w:rPr>
        <w:t>Faculty</w:t>
      </w:r>
      <w:r w:rsidRPr="000514BE">
        <w:rPr>
          <w:rFonts w:asciiTheme="majorBidi" w:eastAsia="Palatino Linotype" w:hAnsiTheme="majorBidi" w:cstheme="majorBidi"/>
          <w:spacing w:val="-7"/>
          <w:sz w:val="20"/>
          <w:szCs w:val="20"/>
        </w:rPr>
        <w:t xml:space="preserve"> </w:t>
      </w:r>
      <w:r w:rsidRPr="000514BE">
        <w:rPr>
          <w:rFonts w:asciiTheme="majorBidi" w:eastAsia="Palatino Linotype" w:hAnsiTheme="majorBidi" w:cstheme="majorBidi"/>
          <w:sz w:val="20"/>
          <w:szCs w:val="20"/>
        </w:rPr>
        <w:t>of Human Medicine,</w:t>
      </w:r>
      <w:r w:rsidRPr="000514BE">
        <w:rPr>
          <w:rFonts w:asciiTheme="majorBidi" w:eastAsia="Palatino Linotype" w:hAnsiTheme="majorBidi" w:cstheme="majorBidi"/>
          <w:spacing w:val="-6"/>
          <w:sz w:val="20"/>
          <w:szCs w:val="20"/>
        </w:rPr>
        <w:t xml:space="preserve"> </w:t>
      </w:r>
      <w:r w:rsidRPr="000514BE">
        <w:rPr>
          <w:rFonts w:asciiTheme="majorBidi" w:eastAsia="Palatino Linotype" w:hAnsiTheme="majorBidi" w:cstheme="majorBidi"/>
          <w:sz w:val="20"/>
          <w:szCs w:val="20"/>
        </w:rPr>
        <w:t>Zagazig</w:t>
      </w:r>
      <w:r w:rsidRPr="000514BE">
        <w:rPr>
          <w:rFonts w:asciiTheme="majorBidi" w:eastAsia="Palatino Linotype" w:hAnsiTheme="majorBidi" w:cstheme="majorBidi"/>
          <w:spacing w:val="-6"/>
          <w:sz w:val="20"/>
          <w:szCs w:val="20"/>
        </w:rPr>
        <w:t xml:space="preserve"> </w:t>
      </w:r>
      <w:r w:rsidRPr="000514BE">
        <w:rPr>
          <w:rFonts w:asciiTheme="majorBidi" w:eastAsia="Palatino Linotype" w:hAnsiTheme="majorBidi" w:cstheme="majorBidi"/>
          <w:sz w:val="20"/>
          <w:szCs w:val="20"/>
        </w:rPr>
        <w:t>University,</w:t>
      </w:r>
      <w:r w:rsidRPr="000514BE">
        <w:rPr>
          <w:rFonts w:asciiTheme="majorBidi" w:eastAsia="Palatino Linotype" w:hAnsiTheme="majorBidi" w:cstheme="majorBidi"/>
          <w:spacing w:val="-2"/>
          <w:sz w:val="20"/>
          <w:szCs w:val="20"/>
        </w:rPr>
        <w:t xml:space="preserve"> </w:t>
      </w:r>
      <w:r w:rsidRPr="000514BE">
        <w:rPr>
          <w:rFonts w:asciiTheme="majorBidi" w:eastAsia="Palatino Linotype" w:hAnsiTheme="majorBidi" w:cstheme="majorBidi"/>
          <w:sz w:val="20"/>
          <w:szCs w:val="20"/>
        </w:rPr>
        <w:t>Egypt.</w:t>
      </w:r>
      <w:bookmarkEnd w:id="8"/>
    </w:p>
    <w:p w14:paraId="48F3E5F2" w14:textId="77777777" w:rsidR="00CB6191" w:rsidRDefault="00CB6191" w:rsidP="00CB6191">
      <w:pPr>
        <w:rPr>
          <w:rFonts w:asciiTheme="majorBidi" w:eastAsia="Palatino Linotype" w:hAnsiTheme="majorBidi" w:cstheme="majorBidi"/>
          <w:sz w:val="20"/>
          <w:szCs w:val="20"/>
        </w:rPr>
      </w:pPr>
      <w:r w:rsidRPr="00CB58AC">
        <w:rPr>
          <w:rFonts w:asciiTheme="majorBidi" w:eastAsia="Palatino Linotype" w:hAnsiTheme="majorBidi" w:cstheme="majorBidi"/>
          <w:sz w:val="20"/>
          <w:szCs w:val="20"/>
          <w:vertAlign w:val="superscript"/>
        </w:rPr>
        <w:t xml:space="preserve">2 </w:t>
      </w:r>
      <w:r>
        <w:rPr>
          <w:rFonts w:asciiTheme="majorBidi" w:eastAsia="Palatino Linotype" w:hAnsiTheme="majorBidi" w:cstheme="majorBidi"/>
          <w:sz w:val="20"/>
          <w:szCs w:val="20"/>
        </w:rPr>
        <w:t>Medical Biochemistry&amp; Molecular Biology Department</w:t>
      </w:r>
      <w:r w:rsidRPr="00CB58AC">
        <w:rPr>
          <w:rFonts w:asciiTheme="majorBidi" w:eastAsia="Palatino Linotype" w:hAnsiTheme="majorBidi" w:cstheme="majorBidi"/>
          <w:sz w:val="20"/>
          <w:szCs w:val="20"/>
        </w:rPr>
        <w:t>, Faculty of Human Medicine, Zagazig University, Egypt.</w:t>
      </w:r>
    </w:p>
    <w:p w14:paraId="4FC955A5" w14:textId="78A9DEA0" w:rsidR="00CB6191" w:rsidRDefault="00CB6191" w:rsidP="00CB6191">
      <w:pPr>
        <w:rPr>
          <w:rFonts w:asciiTheme="majorBidi" w:eastAsia="Palatino Linotype" w:hAnsiTheme="majorBidi" w:cstheme="majorBidi"/>
          <w:sz w:val="20"/>
          <w:szCs w:val="20"/>
        </w:rPr>
      </w:pPr>
      <w:r w:rsidRPr="00F13B14">
        <w:rPr>
          <w:rFonts w:asciiTheme="majorBidi" w:eastAsia="Palatino Linotype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eastAsia="Palatino Linotype" w:hAnsiTheme="majorBidi" w:cstheme="majorBidi"/>
          <w:sz w:val="20"/>
          <w:szCs w:val="20"/>
        </w:rPr>
        <w:t xml:space="preserve">Department of Basic Medical Sciences, Ibn </w:t>
      </w:r>
      <w:proofErr w:type="spellStart"/>
      <w:r>
        <w:rPr>
          <w:rFonts w:asciiTheme="majorBidi" w:eastAsia="Palatino Linotype" w:hAnsiTheme="majorBidi" w:cstheme="majorBidi"/>
          <w:sz w:val="20"/>
          <w:szCs w:val="20"/>
        </w:rPr>
        <w:t>Sina</w:t>
      </w:r>
      <w:proofErr w:type="spellEnd"/>
      <w:r>
        <w:rPr>
          <w:rFonts w:asciiTheme="majorBidi" w:eastAsia="Palatino Linotype" w:hAnsiTheme="majorBidi" w:cstheme="majorBidi"/>
          <w:sz w:val="20"/>
          <w:szCs w:val="20"/>
        </w:rPr>
        <w:t xml:space="preserve"> University for Medical Sciences, Amman, Jordan</w:t>
      </w:r>
      <w:r w:rsidR="00BD7CBB">
        <w:rPr>
          <w:rFonts w:asciiTheme="majorBidi" w:eastAsia="Palatino Linotype" w:hAnsiTheme="majorBidi" w:cstheme="majorBidi"/>
          <w:sz w:val="20"/>
          <w:szCs w:val="20"/>
        </w:rPr>
        <w:t>.</w:t>
      </w:r>
    </w:p>
    <w:bookmarkEnd w:id="7"/>
    <w:p w14:paraId="79E787E2" w14:textId="27CE87C1" w:rsidR="00CB6191" w:rsidRDefault="00CB6191" w:rsidP="00CB6191">
      <w:pPr>
        <w:rPr>
          <w:rFonts w:asciiTheme="majorBidi" w:eastAsia="Palatino Linotype" w:hAnsiTheme="majorBidi" w:cstheme="majorBidi"/>
          <w:sz w:val="20"/>
          <w:szCs w:val="20"/>
        </w:rPr>
      </w:pPr>
      <w:r>
        <w:rPr>
          <w:rFonts w:asciiTheme="majorBidi" w:eastAsia="Palatino Linotype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eastAsia="Palatino Linotype" w:hAnsiTheme="majorBidi" w:cstheme="majorBidi"/>
          <w:sz w:val="20"/>
          <w:szCs w:val="20"/>
        </w:rPr>
        <w:t>Medical Oncology</w:t>
      </w:r>
      <w:r w:rsidRPr="00001B72">
        <w:rPr>
          <w:rFonts w:asciiTheme="majorBidi" w:eastAsia="Palatino Linotype" w:hAnsiTheme="majorBidi" w:cstheme="majorBidi"/>
          <w:sz w:val="20"/>
          <w:szCs w:val="20"/>
        </w:rPr>
        <w:t xml:space="preserve"> Department, Faculty of Human Medicine, Zagazig University, Egypt</w:t>
      </w:r>
      <w:r w:rsidR="00BD7CBB">
        <w:rPr>
          <w:rFonts w:asciiTheme="majorBidi" w:eastAsia="Palatino Linotype" w:hAnsiTheme="majorBidi" w:cstheme="majorBidi"/>
          <w:sz w:val="20"/>
          <w:szCs w:val="20"/>
        </w:rPr>
        <w:t>.</w:t>
      </w:r>
      <w:r>
        <w:rPr>
          <w:rFonts w:asciiTheme="majorBidi" w:eastAsia="Palatino Linotype" w:hAnsiTheme="majorBidi" w:cstheme="majorBidi"/>
          <w:sz w:val="20"/>
          <w:szCs w:val="20"/>
        </w:rPr>
        <w:t xml:space="preserve"> </w:t>
      </w:r>
    </w:p>
    <w:p w14:paraId="4254ED5A" w14:textId="393AB2AF" w:rsidR="00CB6191" w:rsidRDefault="00CB6191" w:rsidP="00CB6191">
      <w:pPr>
        <w:rPr>
          <w:rFonts w:asciiTheme="majorBidi" w:eastAsia="Palatino Linotype" w:hAnsiTheme="majorBidi" w:cstheme="majorBidi"/>
          <w:sz w:val="20"/>
          <w:szCs w:val="20"/>
        </w:rPr>
      </w:pPr>
      <w:r w:rsidRPr="00F13B14">
        <w:rPr>
          <w:rFonts w:asciiTheme="majorBidi" w:eastAsia="Palatino Linotype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eastAsia="Palatino Linotype" w:hAnsiTheme="majorBidi" w:cstheme="majorBidi"/>
          <w:sz w:val="20"/>
          <w:szCs w:val="20"/>
        </w:rPr>
        <w:t>Armed Force College of Medicine, Egypt</w:t>
      </w:r>
      <w:r w:rsidR="00BD7CBB">
        <w:rPr>
          <w:rFonts w:asciiTheme="majorBidi" w:eastAsia="Palatino Linotype" w:hAnsiTheme="majorBidi" w:cstheme="majorBidi"/>
          <w:sz w:val="20"/>
          <w:szCs w:val="20"/>
        </w:rPr>
        <w:t>.</w:t>
      </w:r>
      <w:r>
        <w:rPr>
          <w:rFonts w:asciiTheme="majorBidi" w:eastAsia="Palatino Linotype" w:hAnsiTheme="majorBidi" w:cstheme="majorBidi"/>
          <w:sz w:val="20"/>
          <w:szCs w:val="20"/>
        </w:rPr>
        <w:t xml:space="preserve"> </w:t>
      </w:r>
    </w:p>
    <w:p w14:paraId="4F226019" w14:textId="77777777" w:rsidR="00CB6191" w:rsidRPr="00CB58AC" w:rsidRDefault="00CB6191" w:rsidP="00CB6191">
      <w:pPr>
        <w:spacing w:line="256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CB58AC">
        <w:rPr>
          <w:rFonts w:ascii="Times New Roman" w:eastAsia="Times New Roman" w:hAnsi="Times New Roman" w:cs="Times New Roman"/>
          <w:sz w:val="24"/>
          <w:szCs w:val="24"/>
          <w:lang w:bidi="ar-EG"/>
        </w:rPr>
        <w:t>* The corresponding author</w:t>
      </w:r>
    </w:p>
    <w:p w14:paraId="74CD8714" w14:textId="77777777" w:rsidR="00CB6191" w:rsidRPr="00CB58AC" w:rsidRDefault="00CB6191" w:rsidP="00CB6191">
      <w:pPr>
        <w:spacing w:line="25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CB58AC">
        <w:rPr>
          <w:rFonts w:ascii="Times New Roman" w:eastAsia="Times New Roman" w:hAnsi="Times New Roman" w:cs="Times New Roman"/>
          <w:sz w:val="24"/>
          <w:szCs w:val="24"/>
          <w:lang w:bidi="ar-EG"/>
        </w:rPr>
        <w:t>Address of the corresponding author: Medical Biochemistry and Molecular Biology Department, Faculty of Medicine, Zagazig University, Zagazig, Egypt.</w:t>
      </w:r>
    </w:p>
    <w:p w14:paraId="0BC40EF8" w14:textId="14F51EA0" w:rsidR="00CB6191" w:rsidRPr="00CB58AC" w:rsidRDefault="00CB6191" w:rsidP="00CB6191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CB58AC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>E-mail of the corresponding author:</w:t>
      </w:r>
      <w:r w:rsidRPr="00CB58AC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 samiahussein82@hotmail.com</w:t>
      </w:r>
      <w:r w:rsidR="00DE6DB2">
        <w:rPr>
          <w:rFonts w:ascii="Times New Roman" w:eastAsia="Times New Roman" w:hAnsi="Times New Roman" w:cs="Times New Roman"/>
          <w:sz w:val="24"/>
          <w:szCs w:val="24"/>
          <w:lang w:bidi="ar-EG"/>
        </w:rPr>
        <w:t>.</w:t>
      </w:r>
    </w:p>
    <w:p w14:paraId="7B7EE794" w14:textId="08DA2480" w:rsidR="00CB6191" w:rsidRDefault="00CB6191" w:rsidP="00CB6191">
      <w:pPr>
        <w:rPr>
          <w:rFonts w:ascii="Times New Roman" w:eastAsia="Times New Roman" w:hAnsi="Times New Roman" w:cs="Times New Roman"/>
          <w:bCs/>
          <w:sz w:val="24"/>
          <w:szCs w:val="24"/>
          <w:lang w:bidi="ar-EG"/>
        </w:rPr>
      </w:pPr>
      <w:r w:rsidRPr="00CB58AC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>Running head:</w:t>
      </w:r>
      <w:r w:rsidRPr="00A04017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A04017">
        <w:rPr>
          <w:rFonts w:ascii="Times New Roman" w:eastAsia="Times New Roman" w:hAnsi="Times New Roman" w:cs="Times New Roman"/>
          <w:i/>
          <w:iCs/>
          <w:sz w:val="24"/>
          <w:szCs w:val="24"/>
          <w:lang w:bidi="ar-EG"/>
        </w:rPr>
        <w:t>IL-23R</w:t>
      </w:r>
      <w:r w:rsidRPr="00A04017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 polymorphism</w:t>
      </w:r>
      <w:r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 and</w:t>
      </w:r>
      <w:r w:rsidRPr="00A04017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A04017">
        <w:rPr>
          <w:rFonts w:ascii="Times New Roman" w:eastAsia="Times New Roman" w:hAnsi="Times New Roman" w:cs="Times New Roman"/>
          <w:bCs/>
          <w:sz w:val="24"/>
          <w:szCs w:val="24"/>
          <w:lang w:bidi="ar-EG"/>
        </w:rPr>
        <w:t>HCV</w:t>
      </w:r>
      <w:r>
        <w:rPr>
          <w:rFonts w:ascii="Times New Roman" w:eastAsia="Times New Roman" w:hAnsi="Times New Roman" w:cs="Times New Roman"/>
          <w:bCs/>
          <w:sz w:val="24"/>
          <w:szCs w:val="24"/>
          <w:lang w:bidi="ar-EG"/>
        </w:rPr>
        <w:t>-</w:t>
      </w:r>
      <w:r w:rsidRPr="00A04017">
        <w:rPr>
          <w:rFonts w:ascii="Times New Roman" w:eastAsia="Times New Roman" w:hAnsi="Times New Roman" w:cs="Times New Roman"/>
          <w:bCs/>
          <w:sz w:val="24"/>
          <w:szCs w:val="24"/>
          <w:lang w:bidi="ar-EG"/>
        </w:rPr>
        <w:t xml:space="preserve"> related</w:t>
      </w:r>
      <w:r>
        <w:rPr>
          <w:rFonts w:ascii="Times New Roman" w:eastAsia="Times New Roman" w:hAnsi="Times New Roman" w:cs="Times New Roman"/>
          <w:bCs/>
          <w:sz w:val="24"/>
          <w:szCs w:val="24"/>
          <w:lang w:bidi="ar-EG"/>
        </w:rPr>
        <w:t xml:space="preserve"> HCC</w:t>
      </w:r>
      <w:r w:rsidR="00A530C5">
        <w:rPr>
          <w:rFonts w:ascii="Times New Roman" w:eastAsia="Times New Roman" w:hAnsi="Times New Roman" w:cs="Times New Roman"/>
          <w:bCs/>
          <w:sz w:val="24"/>
          <w:szCs w:val="24"/>
          <w:lang w:bidi="ar-EG"/>
        </w:rPr>
        <w:t>.</w:t>
      </w:r>
    </w:p>
    <w:p w14:paraId="0E299F71" w14:textId="1DE53DE0" w:rsidR="00576E84" w:rsidRPr="00576E84" w:rsidRDefault="00576E84" w:rsidP="00645512">
      <w:pPr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</w:pPr>
      <w:r w:rsidRPr="00576E84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>DOI:</w:t>
      </w:r>
      <w:r w:rsidR="00E30924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 xml:space="preserve"> </w:t>
      </w:r>
      <w:hyperlink r:id="rId7" w:history="1">
        <w:r w:rsidR="00E30924" w:rsidRPr="00E30924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bidi="ar-EG"/>
          </w:rPr>
          <w:t>10.21608/AJGH.2022.151904.1009</w:t>
        </w:r>
      </w:hyperlink>
      <w:r w:rsidR="00E30924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>.</w:t>
      </w:r>
    </w:p>
    <w:p w14:paraId="6DD67675" w14:textId="64CB1D2A" w:rsidR="00576E84" w:rsidRPr="00F8068A" w:rsidRDefault="00576E84" w:rsidP="00576E84">
      <w:pPr>
        <w:rPr>
          <w:rFonts w:ascii="Times New Roman" w:eastAsia="Times New Roman" w:hAnsi="Times New Roman" w:cs="Times New Roman"/>
          <w:lang w:bidi="ar-EG"/>
        </w:rPr>
      </w:pPr>
      <w:r w:rsidRPr="00F8068A">
        <w:rPr>
          <w:rFonts w:ascii="Times New Roman" w:eastAsia="Times New Roman" w:hAnsi="Times New Roman" w:cs="Times New Roman"/>
          <w:b/>
          <w:bCs/>
          <w:lang w:bidi="ar-EG"/>
        </w:rPr>
        <w:t xml:space="preserve">Type of manuscript: </w:t>
      </w:r>
      <w:r w:rsidRPr="00F8068A">
        <w:rPr>
          <w:rFonts w:ascii="Times New Roman" w:eastAsia="Times New Roman" w:hAnsi="Times New Roman" w:cs="Times New Roman"/>
          <w:lang w:bidi="ar-EG"/>
        </w:rPr>
        <w:t>original research</w:t>
      </w:r>
      <w:r w:rsidR="00AA769F" w:rsidRPr="00F8068A">
        <w:rPr>
          <w:rFonts w:ascii="Times New Roman" w:eastAsia="Times New Roman" w:hAnsi="Times New Roman" w:cs="Times New Roman"/>
          <w:lang w:bidi="ar-EG"/>
        </w:rPr>
        <w:t>.</w:t>
      </w:r>
    </w:p>
    <w:p w14:paraId="578B607C" w14:textId="786C10BD" w:rsidR="00576E84" w:rsidRPr="00F8068A" w:rsidRDefault="00576E84" w:rsidP="00576E84">
      <w:pPr>
        <w:rPr>
          <w:rFonts w:ascii="Times New Roman" w:eastAsia="Times New Roman" w:hAnsi="Times New Roman" w:cs="Times New Roman"/>
          <w:lang w:bidi="ar-EG"/>
        </w:rPr>
      </w:pPr>
      <w:r w:rsidRPr="00F8068A">
        <w:rPr>
          <w:rFonts w:ascii="Times New Roman" w:eastAsia="Times New Roman" w:hAnsi="Times New Roman" w:cs="Times New Roman"/>
          <w:b/>
          <w:bCs/>
          <w:lang w:bidi="ar-EG"/>
        </w:rPr>
        <w:t>Conflict of interest:</w:t>
      </w:r>
      <w:r w:rsidRPr="00F8068A">
        <w:rPr>
          <w:rFonts w:ascii="Times New Roman" w:eastAsia="Times New Roman" w:hAnsi="Times New Roman" w:cs="Times New Roman"/>
          <w:lang w:bidi="ar-EG"/>
        </w:rPr>
        <w:t xml:space="preserve"> N / A</w:t>
      </w:r>
      <w:r w:rsidR="00AA769F" w:rsidRPr="00F8068A">
        <w:rPr>
          <w:rFonts w:ascii="Times New Roman" w:eastAsia="Times New Roman" w:hAnsi="Times New Roman" w:cs="Times New Roman"/>
          <w:lang w:bidi="ar-EG"/>
        </w:rPr>
        <w:t>.</w:t>
      </w:r>
    </w:p>
    <w:p w14:paraId="66527D0F" w14:textId="713CC981" w:rsidR="00576E84" w:rsidRPr="00F8068A" w:rsidRDefault="00576E84" w:rsidP="00C42EE4">
      <w:pPr>
        <w:rPr>
          <w:rFonts w:ascii="Times New Roman" w:eastAsia="Times New Roman" w:hAnsi="Times New Roman" w:cs="Times New Roman"/>
          <w:lang w:bidi="ar-EG"/>
        </w:rPr>
      </w:pPr>
      <w:r w:rsidRPr="00F8068A">
        <w:rPr>
          <w:rFonts w:ascii="Times New Roman" w:eastAsia="Times New Roman" w:hAnsi="Times New Roman" w:cs="Times New Roman"/>
          <w:b/>
          <w:bCs/>
          <w:lang w:bidi="ar-EG"/>
        </w:rPr>
        <w:t>Funding source:</w:t>
      </w:r>
      <w:r w:rsidRPr="00F8068A">
        <w:rPr>
          <w:rFonts w:ascii="Times New Roman" w:eastAsia="Times New Roman" w:hAnsi="Times New Roman" w:cs="Times New Roman"/>
          <w:lang w:bidi="ar-EG"/>
        </w:rPr>
        <w:t xml:space="preserve"> This research received no specific grant from any funding agency in</w:t>
      </w:r>
      <w:r w:rsidR="00C42EE4" w:rsidRPr="00F8068A">
        <w:rPr>
          <w:rFonts w:ascii="Times New Roman" w:eastAsia="Times New Roman" w:hAnsi="Times New Roman" w:cs="Times New Roman"/>
          <w:lang w:bidi="ar-EG"/>
        </w:rPr>
        <w:t xml:space="preserve"> </w:t>
      </w:r>
      <w:r w:rsidRPr="00F8068A">
        <w:rPr>
          <w:rFonts w:ascii="Times New Roman" w:eastAsia="Times New Roman" w:hAnsi="Times New Roman" w:cs="Times New Roman"/>
          <w:lang w:bidi="ar-EG"/>
        </w:rPr>
        <w:t>the public, commercial, or not-for-profit sectors.</w:t>
      </w:r>
    </w:p>
    <w:p w14:paraId="0594A44F" w14:textId="7B6E27BE" w:rsidR="00576E84" w:rsidRPr="00F8068A" w:rsidRDefault="00576E84" w:rsidP="00645512">
      <w:pPr>
        <w:rPr>
          <w:rFonts w:ascii="Times New Roman" w:eastAsia="Times New Roman" w:hAnsi="Times New Roman" w:cs="Times New Roman"/>
          <w:lang w:bidi="ar-EG"/>
        </w:rPr>
      </w:pPr>
      <w:r w:rsidRPr="00F8068A">
        <w:rPr>
          <w:rFonts w:ascii="Times New Roman" w:eastAsia="Times New Roman" w:hAnsi="Times New Roman" w:cs="Times New Roman"/>
          <w:b/>
          <w:bCs/>
          <w:lang w:bidi="ar-EG"/>
        </w:rPr>
        <w:t>Date of submission:</w:t>
      </w:r>
      <w:r w:rsidRPr="00F8068A">
        <w:rPr>
          <w:rFonts w:ascii="Times New Roman" w:eastAsia="Times New Roman" w:hAnsi="Times New Roman" w:cs="Times New Roman"/>
          <w:lang w:bidi="ar-EG"/>
        </w:rPr>
        <w:t xml:space="preserve"> </w:t>
      </w:r>
      <w:r w:rsidR="004123A2" w:rsidRPr="00F8068A">
        <w:rPr>
          <w:rFonts w:ascii="Times New Roman" w:eastAsia="Times New Roman" w:hAnsi="Times New Roman" w:cs="Times New Roman"/>
          <w:lang w:bidi="ar-EG"/>
        </w:rPr>
        <w:t>22- July-2022.</w:t>
      </w:r>
    </w:p>
    <w:p w14:paraId="327027D8" w14:textId="4BF7ACD8" w:rsidR="00576E84" w:rsidRPr="00F8068A" w:rsidRDefault="00576E84" w:rsidP="00A6083F">
      <w:pPr>
        <w:rPr>
          <w:rFonts w:ascii="Times New Roman" w:eastAsia="Times New Roman" w:hAnsi="Times New Roman" w:cs="Times New Roman"/>
          <w:lang w:bidi="ar-EG"/>
        </w:rPr>
      </w:pPr>
      <w:r w:rsidRPr="00F8068A">
        <w:rPr>
          <w:rFonts w:ascii="Times New Roman" w:eastAsia="Times New Roman" w:hAnsi="Times New Roman" w:cs="Times New Roman"/>
          <w:b/>
          <w:bCs/>
          <w:lang w:bidi="ar-EG"/>
        </w:rPr>
        <w:t>Revised:</w:t>
      </w:r>
      <w:r w:rsidRPr="00F8068A">
        <w:rPr>
          <w:rFonts w:ascii="Times New Roman" w:eastAsia="Times New Roman" w:hAnsi="Times New Roman" w:cs="Times New Roman"/>
          <w:lang w:bidi="ar-EG"/>
        </w:rPr>
        <w:t xml:space="preserve"> </w:t>
      </w:r>
      <w:r w:rsidR="004123A2" w:rsidRPr="00F8068A">
        <w:rPr>
          <w:rFonts w:ascii="Times New Roman" w:eastAsia="Times New Roman" w:hAnsi="Times New Roman" w:cs="Times New Roman"/>
          <w:lang w:bidi="ar-EG"/>
        </w:rPr>
        <w:t>02-October-2022.</w:t>
      </w:r>
    </w:p>
    <w:p w14:paraId="6A789B9D" w14:textId="77777777" w:rsidR="00F8068A" w:rsidRPr="00F8068A" w:rsidRDefault="00576E84" w:rsidP="00F8068A">
      <w:pPr>
        <w:rPr>
          <w:rFonts w:ascii="Times New Roman" w:eastAsia="Times New Roman" w:hAnsi="Times New Roman" w:cs="Times New Roman"/>
          <w:lang w:bidi="ar-EG"/>
        </w:rPr>
      </w:pPr>
      <w:r w:rsidRPr="00F8068A">
        <w:rPr>
          <w:rFonts w:ascii="Times New Roman" w:eastAsia="Times New Roman" w:hAnsi="Times New Roman" w:cs="Times New Roman"/>
          <w:b/>
          <w:bCs/>
          <w:lang w:bidi="ar-EG"/>
        </w:rPr>
        <w:t>Accepted:</w:t>
      </w:r>
      <w:r w:rsidRPr="00F8068A">
        <w:rPr>
          <w:rFonts w:ascii="Times New Roman" w:eastAsia="Times New Roman" w:hAnsi="Times New Roman" w:cs="Times New Roman"/>
          <w:lang w:bidi="ar-EG"/>
        </w:rPr>
        <w:t xml:space="preserve"> </w:t>
      </w:r>
      <w:r w:rsidR="004123A2" w:rsidRPr="00F8068A">
        <w:rPr>
          <w:rFonts w:ascii="Times New Roman" w:eastAsia="Times New Roman" w:hAnsi="Times New Roman" w:cs="Times New Roman"/>
          <w:lang w:bidi="ar-EG"/>
        </w:rPr>
        <w:t>05-October-2022.</w:t>
      </w:r>
    </w:p>
    <w:p w14:paraId="33B6E68B" w14:textId="24C3DADC" w:rsidR="00576E84" w:rsidRPr="00F8068A" w:rsidRDefault="00576E84" w:rsidP="00F8068A">
      <w:pPr>
        <w:rPr>
          <w:rFonts w:ascii="Times New Roman" w:eastAsia="Times New Roman" w:hAnsi="Times New Roman" w:cs="Times New Roman"/>
          <w:lang w:bidi="ar-EG"/>
        </w:rPr>
      </w:pPr>
      <w:r w:rsidRPr="00F8068A">
        <w:rPr>
          <w:rFonts w:ascii="Times New Roman" w:eastAsia="Times New Roman" w:hAnsi="Times New Roman" w:cs="Times New Roman"/>
          <w:b/>
          <w:bCs/>
          <w:lang w:bidi="ar-EG"/>
        </w:rPr>
        <w:t>First online</w:t>
      </w:r>
      <w:r w:rsidR="00B13051" w:rsidRPr="00F8068A">
        <w:rPr>
          <w:rFonts w:ascii="Times New Roman" w:eastAsia="Times New Roman" w:hAnsi="Times New Roman" w:cs="Times New Roman"/>
          <w:b/>
          <w:bCs/>
          <w:lang w:bidi="ar-EG"/>
        </w:rPr>
        <w:t>:</w:t>
      </w:r>
      <w:r w:rsidR="00F8068A">
        <w:rPr>
          <w:rFonts w:ascii="Times New Roman" w:eastAsia="Times New Roman" w:hAnsi="Times New Roman" w:cs="Times New Roman"/>
          <w:b/>
          <w:bCs/>
          <w:lang w:bidi="ar-EG"/>
        </w:rPr>
        <w:t xml:space="preserve"> </w:t>
      </w:r>
      <w:r w:rsidR="00F8068A" w:rsidRPr="00F8068A">
        <w:rPr>
          <w:rFonts w:ascii="Times New Roman" w:eastAsia="Times New Roman" w:hAnsi="Times New Roman" w:cs="Times New Roman"/>
          <w:lang w:bidi="ar-EG"/>
        </w:rPr>
        <w:t>08-</w:t>
      </w:r>
      <w:r w:rsidR="00F8068A">
        <w:rPr>
          <w:rFonts w:ascii="Times New Roman" w:eastAsia="Times New Roman" w:hAnsi="Times New Roman" w:cs="Times New Roman"/>
          <w:lang w:bidi="ar-EG"/>
        </w:rPr>
        <w:t>October</w:t>
      </w:r>
      <w:r w:rsidR="00F8068A" w:rsidRPr="00F8068A">
        <w:rPr>
          <w:rFonts w:ascii="Times New Roman" w:eastAsia="Times New Roman" w:hAnsi="Times New Roman" w:cs="Times New Roman"/>
          <w:lang w:bidi="ar-EG"/>
        </w:rPr>
        <w:t>-2022.</w:t>
      </w:r>
    </w:p>
    <w:p w14:paraId="1E4867A0" w14:textId="77777777" w:rsidR="00E82AF3" w:rsidRDefault="000514BE" w:rsidP="007E49F9">
      <w:pPr>
        <w:spacing w:line="36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FF7ECD">
        <w:rPr>
          <w:rFonts w:asciiTheme="majorBidi" w:hAnsiTheme="majorBidi" w:cstheme="majorBidi"/>
          <w:b/>
          <w:bCs/>
          <w:sz w:val="24"/>
          <w:szCs w:val="24"/>
        </w:rPr>
        <w:lastRenderedPageBreak/>
        <w:t>Abstract:</w:t>
      </w:r>
    </w:p>
    <w:p w14:paraId="3733B418" w14:textId="013B38E2" w:rsidR="00E82AF3" w:rsidRDefault="00E82AF3" w:rsidP="005E26CE">
      <w:pPr>
        <w:spacing w:line="360" w:lineRule="auto"/>
        <w:jc w:val="lowKashida"/>
        <w:rPr>
          <w:rFonts w:asciiTheme="majorBidi" w:hAnsiTheme="majorBidi" w:cstheme="majorBidi"/>
          <w:sz w:val="24"/>
          <w:szCs w:val="24"/>
        </w:rPr>
      </w:pPr>
      <w:r w:rsidRPr="008207E2">
        <w:rPr>
          <w:rFonts w:asciiTheme="majorBidi" w:hAnsiTheme="majorBidi" w:cstheme="majorBidi"/>
          <w:b/>
          <w:bCs/>
          <w:sz w:val="24"/>
          <w:szCs w:val="24"/>
        </w:rPr>
        <w:t>Aims:</w:t>
      </w:r>
      <w:r w:rsidR="000514BE" w:rsidRPr="008207E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615CE">
        <w:rPr>
          <w:rFonts w:asciiTheme="majorBidi" w:hAnsiTheme="majorBidi" w:cstheme="majorBidi"/>
          <w:sz w:val="24"/>
          <w:szCs w:val="24"/>
        </w:rPr>
        <w:t>T</w:t>
      </w:r>
      <w:r w:rsidR="000514BE" w:rsidRPr="000514BE">
        <w:rPr>
          <w:rFonts w:asciiTheme="majorBidi" w:hAnsiTheme="majorBidi" w:cstheme="majorBidi"/>
          <w:sz w:val="24"/>
          <w:szCs w:val="24"/>
        </w:rPr>
        <w:t>his</w:t>
      </w:r>
      <w:r w:rsidR="005615CE">
        <w:rPr>
          <w:rFonts w:asciiTheme="majorBidi" w:hAnsiTheme="majorBidi" w:cstheme="majorBidi"/>
          <w:sz w:val="24"/>
          <w:szCs w:val="24"/>
        </w:rPr>
        <w:t xml:space="preserve"> </w:t>
      </w:r>
      <w:r w:rsidR="000514BE" w:rsidRPr="000514BE">
        <w:rPr>
          <w:rFonts w:asciiTheme="majorBidi" w:hAnsiTheme="majorBidi" w:cstheme="majorBidi"/>
          <w:sz w:val="24"/>
          <w:szCs w:val="24"/>
        </w:rPr>
        <w:t>study</w:t>
      </w:r>
      <w:r w:rsidR="00DD2E62">
        <w:rPr>
          <w:rFonts w:asciiTheme="majorBidi" w:hAnsiTheme="majorBidi" w:cstheme="majorBidi"/>
          <w:sz w:val="24"/>
          <w:szCs w:val="24"/>
        </w:rPr>
        <w:t xml:space="preserve"> </w:t>
      </w:r>
      <w:r w:rsidR="004A5059">
        <w:rPr>
          <w:rFonts w:asciiTheme="majorBidi" w:hAnsiTheme="majorBidi" w:cstheme="majorBidi"/>
          <w:sz w:val="24"/>
          <w:szCs w:val="24"/>
        </w:rPr>
        <w:t>evaluated</w:t>
      </w:r>
      <w:r w:rsidR="000514BE" w:rsidRPr="000514BE">
        <w:rPr>
          <w:rFonts w:asciiTheme="majorBidi" w:hAnsiTheme="majorBidi" w:cstheme="majorBidi"/>
          <w:sz w:val="24"/>
          <w:szCs w:val="24"/>
        </w:rPr>
        <w:t xml:space="preserve"> the </w:t>
      </w:r>
      <w:r w:rsidR="005E26CE">
        <w:rPr>
          <w:rFonts w:asciiTheme="majorBidi" w:hAnsiTheme="majorBidi" w:cstheme="majorBidi"/>
          <w:sz w:val="24"/>
          <w:szCs w:val="24"/>
        </w:rPr>
        <w:t xml:space="preserve">relationship between </w:t>
      </w:r>
      <w:r w:rsidR="00260986">
        <w:rPr>
          <w:rFonts w:asciiTheme="majorBidi" w:hAnsiTheme="majorBidi" w:cstheme="majorBidi"/>
          <w:i/>
          <w:iCs/>
          <w:sz w:val="24"/>
          <w:szCs w:val="24"/>
        </w:rPr>
        <w:t>developing</w:t>
      </w:r>
      <w:r w:rsidR="00260986" w:rsidRPr="00260986">
        <w:rPr>
          <w:rFonts w:asciiTheme="majorBidi" w:hAnsiTheme="majorBidi" w:cstheme="majorBidi"/>
          <w:i/>
          <w:iCs/>
          <w:sz w:val="24"/>
          <w:szCs w:val="24"/>
        </w:rPr>
        <w:t xml:space="preserve"> interleukin-23 receptor (IL- 23R) gene polymorphism and hepatitis C-related hepatocellular carcinoma (HCC) </w:t>
      </w:r>
      <w:r w:rsidR="000514BE" w:rsidRPr="000514BE">
        <w:rPr>
          <w:rFonts w:asciiTheme="majorBidi" w:hAnsiTheme="majorBidi" w:cstheme="majorBidi"/>
          <w:sz w:val="24"/>
          <w:szCs w:val="24"/>
        </w:rPr>
        <w:t xml:space="preserve">in Egyptian </w:t>
      </w:r>
      <w:r w:rsidR="005E26CE">
        <w:rPr>
          <w:rFonts w:asciiTheme="majorBidi" w:hAnsiTheme="majorBidi" w:cstheme="majorBidi"/>
          <w:sz w:val="24"/>
          <w:szCs w:val="24"/>
        </w:rPr>
        <w:t>patients</w:t>
      </w:r>
      <w:r w:rsidR="000514BE" w:rsidRPr="000514BE">
        <w:rPr>
          <w:rFonts w:asciiTheme="majorBidi" w:hAnsiTheme="majorBidi" w:cstheme="majorBidi"/>
          <w:sz w:val="24"/>
          <w:szCs w:val="24"/>
        </w:rPr>
        <w:t>.</w:t>
      </w:r>
      <w:r w:rsidR="007E49F9">
        <w:rPr>
          <w:rFonts w:asciiTheme="majorBidi" w:hAnsiTheme="majorBidi" w:cstheme="majorBidi"/>
          <w:sz w:val="24"/>
          <w:szCs w:val="24"/>
        </w:rPr>
        <w:t xml:space="preserve"> </w:t>
      </w:r>
    </w:p>
    <w:p w14:paraId="7ACA2F4A" w14:textId="0BFF78DF" w:rsidR="00E82AF3" w:rsidRDefault="00E82AF3" w:rsidP="00E635E3">
      <w:pPr>
        <w:spacing w:line="360" w:lineRule="auto"/>
        <w:jc w:val="lowKashida"/>
        <w:rPr>
          <w:rFonts w:asciiTheme="majorBidi" w:hAnsiTheme="majorBidi" w:cstheme="majorBidi"/>
          <w:sz w:val="24"/>
          <w:szCs w:val="24"/>
        </w:rPr>
      </w:pPr>
      <w:r w:rsidRPr="008207E2">
        <w:rPr>
          <w:rFonts w:asciiTheme="majorBidi" w:hAnsiTheme="majorBidi" w:cstheme="majorBidi"/>
          <w:b/>
          <w:bCs/>
          <w:sz w:val="24"/>
          <w:szCs w:val="24"/>
        </w:rPr>
        <w:t>Patients &amp; Methods:</w:t>
      </w:r>
      <w:r w:rsidRPr="00E82AF3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="00DD2E62">
        <w:rPr>
          <w:rFonts w:asciiTheme="majorBidi" w:hAnsiTheme="majorBidi" w:cstheme="majorBidi"/>
          <w:sz w:val="24"/>
          <w:szCs w:val="24"/>
        </w:rPr>
        <w:t>The current</w:t>
      </w:r>
      <w:r w:rsidR="000514BE" w:rsidRPr="000514BE">
        <w:rPr>
          <w:rFonts w:asciiTheme="majorBidi" w:hAnsiTheme="majorBidi" w:cstheme="majorBidi"/>
          <w:sz w:val="24"/>
          <w:szCs w:val="24"/>
        </w:rPr>
        <w:t xml:space="preserve"> </w:t>
      </w:r>
      <w:r w:rsidR="005E26CE">
        <w:rPr>
          <w:rFonts w:asciiTheme="majorBidi" w:hAnsiTheme="majorBidi" w:cstheme="majorBidi"/>
          <w:sz w:val="24"/>
          <w:szCs w:val="24"/>
        </w:rPr>
        <w:t>study</w:t>
      </w:r>
      <w:r w:rsidR="000514BE" w:rsidRPr="000514BE">
        <w:rPr>
          <w:rFonts w:asciiTheme="majorBidi" w:hAnsiTheme="majorBidi" w:cstheme="majorBidi"/>
          <w:sz w:val="24"/>
          <w:szCs w:val="24"/>
        </w:rPr>
        <w:t xml:space="preserve"> included 250 subjects</w:t>
      </w:r>
      <w:r w:rsidR="00E635E3">
        <w:rPr>
          <w:rFonts w:asciiTheme="majorBidi" w:hAnsiTheme="majorBidi" w:cstheme="majorBidi"/>
          <w:sz w:val="24"/>
          <w:szCs w:val="24"/>
        </w:rPr>
        <w:t>. They were</w:t>
      </w:r>
      <w:r w:rsidR="000514BE" w:rsidRPr="000514BE">
        <w:rPr>
          <w:rFonts w:asciiTheme="majorBidi" w:hAnsiTheme="majorBidi" w:cstheme="majorBidi"/>
          <w:sz w:val="24"/>
          <w:szCs w:val="24"/>
        </w:rPr>
        <w:t xml:space="preserve"> divided into three groups: one hundred patients with </w:t>
      </w:r>
      <w:r w:rsidR="00E635E3">
        <w:rPr>
          <w:rFonts w:asciiTheme="majorBidi" w:hAnsiTheme="majorBidi" w:cstheme="majorBidi"/>
          <w:sz w:val="24"/>
          <w:szCs w:val="24"/>
        </w:rPr>
        <w:t xml:space="preserve">hepatitis C virus (HCV) </w:t>
      </w:r>
      <w:r w:rsidR="000514BE" w:rsidRPr="000514BE">
        <w:rPr>
          <w:rFonts w:asciiTheme="majorBidi" w:hAnsiTheme="majorBidi" w:cstheme="majorBidi"/>
          <w:sz w:val="24"/>
          <w:szCs w:val="24"/>
        </w:rPr>
        <w:t>infection without HCC, one hundred patients with HCV and HCC, and fifty healthy non-hepatic volunteers as a control group</w:t>
      </w:r>
      <w:r w:rsidR="00A04017">
        <w:rPr>
          <w:rFonts w:asciiTheme="majorBidi" w:hAnsiTheme="majorBidi" w:cstheme="majorBidi"/>
          <w:sz w:val="24"/>
          <w:szCs w:val="24"/>
        </w:rPr>
        <w:t>.</w:t>
      </w:r>
      <w:r w:rsidR="000514BE" w:rsidRPr="000514BE">
        <w:rPr>
          <w:rFonts w:asciiTheme="majorBidi" w:hAnsiTheme="majorBidi" w:cstheme="majorBidi"/>
          <w:sz w:val="24"/>
          <w:szCs w:val="24"/>
        </w:rPr>
        <w:t xml:space="preserve"> </w:t>
      </w:r>
      <w:r w:rsidR="000514BE" w:rsidRPr="00A04017">
        <w:rPr>
          <w:rFonts w:asciiTheme="majorBidi" w:hAnsiTheme="majorBidi" w:cstheme="majorBidi"/>
          <w:i/>
          <w:iCs/>
          <w:sz w:val="24"/>
          <w:szCs w:val="24"/>
        </w:rPr>
        <w:t>IL- 23R</w:t>
      </w:r>
      <w:r w:rsidR="000514BE" w:rsidRPr="000514BE">
        <w:rPr>
          <w:rFonts w:asciiTheme="majorBidi" w:hAnsiTheme="majorBidi" w:cstheme="majorBidi"/>
          <w:sz w:val="24"/>
          <w:szCs w:val="24"/>
        </w:rPr>
        <w:t xml:space="preserve"> gene polymorphism </w:t>
      </w:r>
      <w:bookmarkStart w:id="9" w:name="_Hlk115637949"/>
      <w:r w:rsidR="000514BE" w:rsidRPr="000514BE">
        <w:rPr>
          <w:rFonts w:asciiTheme="majorBidi" w:hAnsiTheme="majorBidi" w:cstheme="majorBidi"/>
          <w:sz w:val="24"/>
          <w:szCs w:val="24"/>
        </w:rPr>
        <w:t>(</w:t>
      </w:r>
      <w:r w:rsidR="00E635E3" w:rsidRPr="00E635E3">
        <w:rPr>
          <w:rFonts w:asciiTheme="majorBidi" w:hAnsiTheme="majorBidi" w:cstheme="majorBidi"/>
          <w:sz w:val="24"/>
          <w:szCs w:val="24"/>
        </w:rPr>
        <w:t>rs10889677</w:t>
      </w:r>
      <w:r w:rsidR="000514BE" w:rsidRPr="000514BE">
        <w:rPr>
          <w:rFonts w:asciiTheme="majorBidi" w:hAnsiTheme="majorBidi" w:cstheme="majorBidi"/>
          <w:sz w:val="24"/>
          <w:szCs w:val="24"/>
        </w:rPr>
        <w:t xml:space="preserve">) </w:t>
      </w:r>
      <w:bookmarkEnd w:id="9"/>
      <w:r w:rsidR="000514BE" w:rsidRPr="000514BE">
        <w:rPr>
          <w:rFonts w:asciiTheme="majorBidi" w:hAnsiTheme="majorBidi" w:cstheme="majorBidi"/>
          <w:sz w:val="24"/>
          <w:szCs w:val="24"/>
        </w:rPr>
        <w:t>w</w:t>
      </w:r>
      <w:r w:rsidR="00A04017">
        <w:rPr>
          <w:rFonts w:asciiTheme="majorBidi" w:hAnsiTheme="majorBidi" w:cstheme="majorBidi"/>
          <w:sz w:val="24"/>
          <w:szCs w:val="24"/>
        </w:rPr>
        <w:t>as</w:t>
      </w:r>
      <w:r w:rsidR="000514BE" w:rsidRPr="000514BE">
        <w:rPr>
          <w:rFonts w:asciiTheme="majorBidi" w:hAnsiTheme="majorBidi" w:cstheme="majorBidi"/>
          <w:sz w:val="24"/>
          <w:szCs w:val="24"/>
        </w:rPr>
        <w:t xml:space="preserve"> genotyped by </w:t>
      </w:r>
      <w:r w:rsidR="00354897">
        <w:rPr>
          <w:rFonts w:asciiTheme="majorBidi" w:hAnsiTheme="majorBidi" w:cstheme="majorBidi"/>
          <w:sz w:val="24"/>
          <w:szCs w:val="24"/>
        </w:rPr>
        <w:t>restriction fragment length polymorphism- polymerase chain reaction (</w:t>
      </w:r>
      <w:r w:rsidR="00CD101F">
        <w:rPr>
          <w:rFonts w:asciiTheme="majorBidi" w:hAnsiTheme="majorBidi" w:cstheme="majorBidi"/>
          <w:sz w:val="24"/>
          <w:szCs w:val="24"/>
        </w:rPr>
        <w:t>RFLP-</w:t>
      </w:r>
      <w:r w:rsidR="000514BE" w:rsidRPr="000514BE">
        <w:rPr>
          <w:rFonts w:asciiTheme="majorBidi" w:hAnsiTheme="majorBidi" w:cstheme="majorBidi"/>
          <w:sz w:val="24"/>
          <w:szCs w:val="24"/>
        </w:rPr>
        <w:t xml:space="preserve"> PCR</w:t>
      </w:r>
      <w:r w:rsidR="00354897">
        <w:rPr>
          <w:rFonts w:asciiTheme="majorBidi" w:hAnsiTheme="majorBidi" w:cstheme="majorBidi"/>
          <w:sz w:val="24"/>
          <w:szCs w:val="24"/>
        </w:rPr>
        <w:t>)</w:t>
      </w:r>
      <w:r w:rsidR="000514BE" w:rsidRPr="000514BE">
        <w:rPr>
          <w:rFonts w:asciiTheme="majorBidi" w:hAnsiTheme="majorBidi" w:cstheme="majorBidi"/>
          <w:sz w:val="24"/>
          <w:szCs w:val="24"/>
        </w:rPr>
        <w:t xml:space="preserve">. </w:t>
      </w:r>
    </w:p>
    <w:p w14:paraId="445818EB" w14:textId="45B9BA55" w:rsidR="00282E5D" w:rsidRPr="008207E2" w:rsidRDefault="00E82AF3" w:rsidP="00282E5D">
      <w:pPr>
        <w:spacing w:line="360" w:lineRule="auto"/>
        <w:jc w:val="lowKashida"/>
        <w:rPr>
          <w:rFonts w:asciiTheme="majorBidi" w:hAnsiTheme="majorBidi" w:cstheme="majorBidi"/>
          <w:sz w:val="24"/>
          <w:szCs w:val="24"/>
        </w:rPr>
      </w:pPr>
      <w:r w:rsidRPr="008207E2">
        <w:rPr>
          <w:rFonts w:asciiTheme="majorBidi" w:hAnsiTheme="majorBidi" w:cstheme="majorBidi"/>
          <w:b/>
          <w:bCs/>
          <w:sz w:val="24"/>
          <w:szCs w:val="24"/>
        </w:rPr>
        <w:t>R</w:t>
      </w:r>
      <w:r w:rsidR="00354897" w:rsidRPr="008207E2">
        <w:rPr>
          <w:rFonts w:asciiTheme="majorBidi" w:hAnsiTheme="majorBidi" w:cstheme="majorBidi"/>
          <w:b/>
          <w:bCs/>
          <w:sz w:val="24"/>
          <w:szCs w:val="24"/>
        </w:rPr>
        <w:t>esults</w:t>
      </w:r>
      <w:r w:rsidRPr="008207E2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8207E2">
        <w:rPr>
          <w:rFonts w:asciiTheme="majorBidi" w:hAnsiTheme="majorBidi" w:cstheme="majorBidi"/>
          <w:sz w:val="24"/>
          <w:szCs w:val="24"/>
        </w:rPr>
        <w:t xml:space="preserve"> </w:t>
      </w:r>
      <w:r w:rsidR="005615CE" w:rsidRPr="008207E2">
        <w:rPr>
          <w:rFonts w:asciiTheme="majorBidi" w:hAnsiTheme="majorBidi" w:cstheme="majorBidi"/>
          <w:sz w:val="24"/>
          <w:szCs w:val="24"/>
        </w:rPr>
        <w:t>T</w:t>
      </w:r>
      <w:r w:rsidRPr="008207E2">
        <w:rPr>
          <w:rFonts w:asciiTheme="majorBidi" w:hAnsiTheme="majorBidi" w:cstheme="majorBidi"/>
          <w:sz w:val="24"/>
          <w:szCs w:val="24"/>
        </w:rPr>
        <w:t>here was</w:t>
      </w:r>
      <w:r w:rsidR="000514BE" w:rsidRPr="008207E2">
        <w:rPr>
          <w:rFonts w:asciiTheme="majorBidi" w:hAnsiTheme="majorBidi" w:cstheme="majorBidi"/>
          <w:sz w:val="24"/>
          <w:szCs w:val="24"/>
        </w:rPr>
        <w:t xml:space="preserve"> a s</w:t>
      </w:r>
      <w:r w:rsidR="00354897" w:rsidRPr="008207E2">
        <w:rPr>
          <w:rFonts w:asciiTheme="majorBidi" w:hAnsiTheme="majorBidi" w:cstheme="majorBidi"/>
          <w:sz w:val="24"/>
          <w:szCs w:val="24"/>
        </w:rPr>
        <w:t>ignificant</w:t>
      </w:r>
      <w:r w:rsidR="006A25E8" w:rsidRPr="008207E2">
        <w:rPr>
          <w:rFonts w:asciiTheme="majorBidi" w:hAnsiTheme="majorBidi" w:cstheme="majorBidi"/>
          <w:sz w:val="24"/>
          <w:szCs w:val="24"/>
        </w:rPr>
        <w:t xml:space="preserve"> difference between the studied groups regarding the frequency of genotypes and alleles (P =0.006</w:t>
      </w:r>
      <w:r w:rsidR="00BB5E31" w:rsidRPr="008207E2">
        <w:rPr>
          <w:rFonts w:asciiTheme="majorBidi" w:hAnsiTheme="majorBidi" w:cstheme="majorBidi"/>
          <w:sz w:val="24"/>
          <w:szCs w:val="24"/>
        </w:rPr>
        <w:t xml:space="preserve"> and</w:t>
      </w:r>
      <w:r w:rsidR="006A25E8" w:rsidRPr="008207E2">
        <w:rPr>
          <w:rFonts w:asciiTheme="majorBidi" w:hAnsiTheme="majorBidi" w:cstheme="majorBidi"/>
          <w:sz w:val="24"/>
          <w:szCs w:val="24"/>
        </w:rPr>
        <w:t xml:space="preserve"> &lt; 0.001</w:t>
      </w:r>
      <w:r w:rsidR="00BB5E31" w:rsidRPr="008207E2">
        <w:rPr>
          <w:rFonts w:asciiTheme="majorBidi" w:hAnsiTheme="majorBidi" w:cstheme="majorBidi"/>
          <w:sz w:val="24"/>
          <w:szCs w:val="24"/>
        </w:rPr>
        <w:t xml:space="preserve">, </w:t>
      </w:r>
      <w:r w:rsidR="006A25E8" w:rsidRPr="008207E2">
        <w:rPr>
          <w:rFonts w:asciiTheme="majorBidi" w:hAnsiTheme="majorBidi" w:cstheme="majorBidi"/>
          <w:sz w:val="24"/>
          <w:szCs w:val="24"/>
        </w:rPr>
        <w:t>respectively</w:t>
      </w:r>
      <w:r w:rsidR="00BB5E31" w:rsidRPr="008207E2">
        <w:rPr>
          <w:rFonts w:asciiTheme="majorBidi" w:hAnsiTheme="majorBidi" w:cstheme="majorBidi"/>
          <w:sz w:val="24"/>
          <w:szCs w:val="24"/>
        </w:rPr>
        <w:t>)</w:t>
      </w:r>
      <w:r w:rsidR="000514BE" w:rsidRPr="008207E2">
        <w:rPr>
          <w:rFonts w:asciiTheme="majorBidi" w:hAnsiTheme="majorBidi" w:cstheme="majorBidi"/>
          <w:sz w:val="24"/>
          <w:szCs w:val="24"/>
        </w:rPr>
        <w:t>.</w:t>
      </w:r>
      <w:r w:rsidR="003B5D73" w:rsidRPr="008207E2">
        <w:rPr>
          <w:rFonts w:asciiTheme="majorBidi" w:hAnsiTheme="majorBidi" w:cstheme="majorBidi"/>
          <w:sz w:val="24"/>
          <w:szCs w:val="24"/>
        </w:rPr>
        <w:t xml:space="preserve"> </w:t>
      </w:r>
      <w:r w:rsidR="00282E5D" w:rsidRPr="008207E2">
        <w:rPr>
          <w:rFonts w:asciiTheme="majorBidi" w:hAnsiTheme="majorBidi" w:cstheme="majorBidi"/>
          <w:sz w:val="24"/>
          <w:szCs w:val="24"/>
        </w:rPr>
        <w:t>Additionally</w:t>
      </w:r>
      <w:r w:rsidR="003B5D73" w:rsidRPr="008207E2">
        <w:rPr>
          <w:rFonts w:asciiTheme="majorBidi" w:hAnsiTheme="majorBidi" w:cstheme="majorBidi"/>
          <w:sz w:val="24"/>
          <w:szCs w:val="24"/>
        </w:rPr>
        <w:t xml:space="preserve">, under the recessive </w:t>
      </w:r>
      <w:r w:rsidR="004A5059" w:rsidRPr="008207E2">
        <w:rPr>
          <w:rFonts w:asciiTheme="majorBidi" w:hAnsiTheme="majorBidi" w:cstheme="majorBidi"/>
          <w:sz w:val="24"/>
          <w:szCs w:val="24"/>
        </w:rPr>
        <w:t>inheritance model</w:t>
      </w:r>
      <w:r w:rsidR="003B5D73" w:rsidRPr="008207E2">
        <w:rPr>
          <w:rFonts w:asciiTheme="majorBidi" w:hAnsiTheme="majorBidi" w:cstheme="majorBidi"/>
          <w:sz w:val="24"/>
          <w:szCs w:val="24"/>
        </w:rPr>
        <w:t xml:space="preserve">, IL-23R polymorphism </w:t>
      </w:r>
      <w:r w:rsidR="00260986" w:rsidRPr="008207E2">
        <w:rPr>
          <w:rFonts w:asciiTheme="majorBidi" w:hAnsiTheme="majorBidi" w:cstheme="majorBidi"/>
          <w:sz w:val="24"/>
          <w:szCs w:val="24"/>
        </w:rPr>
        <w:t>is significantly associated</w:t>
      </w:r>
      <w:r w:rsidR="003B5D73" w:rsidRPr="008207E2">
        <w:rPr>
          <w:rFonts w:asciiTheme="majorBidi" w:hAnsiTheme="majorBidi" w:cstheme="majorBidi"/>
          <w:sz w:val="24"/>
          <w:szCs w:val="24"/>
        </w:rPr>
        <w:t xml:space="preserve"> with HCC development (P=0.001)</w:t>
      </w:r>
      <w:r w:rsidR="00D76116" w:rsidRPr="008207E2">
        <w:rPr>
          <w:rFonts w:asciiTheme="majorBidi" w:hAnsiTheme="majorBidi" w:cstheme="majorBidi"/>
          <w:sz w:val="24"/>
          <w:szCs w:val="24"/>
        </w:rPr>
        <w:t>.</w:t>
      </w:r>
      <w:r w:rsidR="00282E5D" w:rsidRPr="008207E2">
        <w:rPr>
          <w:rFonts w:asciiTheme="majorBidi" w:hAnsiTheme="majorBidi" w:cstheme="majorBidi"/>
          <w:sz w:val="24"/>
          <w:szCs w:val="24"/>
        </w:rPr>
        <w:t xml:space="preserve">  Moreover, a significant protective effect of </w:t>
      </w:r>
      <w:r w:rsidR="00A922DE" w:rsidRPr="008207E2">
        <w:rPr>
          <w:rFonts w:asciiTheme="majorBidi" w:hAnsiTheme="majorBidi" w:cstheme="majorBidi"/>
          <w:sz w:val="24"/>
          <w:szCs w:val="24"/>
        </w:rPr>
        <w:t xml:space="preserve">the </w:t>
      </w:r>
      <w:r w:rsidR="00282E5D" w:rsidRPr="008207E2">
        <w:rPr>
          <w:rFonts w:asciiTheme="majorBidi" w:hAnsiTheme="majorBidi" w:cstheme="majorBidi"/>
          <w:sz w:val="24"/>
          <w:szCs w:val="24"/>
        </w:rPr>
        <w:t xml:space="preserve">rs10889677 C allele in HCC susceptibility was detected (OR = 0.15, 95% CI = 0.05–0.39, P &lt; 0.001). AC and CC genotypes </w:t>
      </w:r>
      <w:r w:rsidR="00A922DE" w:rsidRPr="008207E2">
        <w:rPr>
          <w:rFonts w:asciiTheme="majorBidi" w:hAnsiTheme="majorBidi" w:cstheme="majorBidi"/>
          <w:sz w:val="24"/>
          <w:szCs w:val="24"/>
        </w:rPr>
        <w:t>also had a significant protective effect</w:t>
      </w:r>
      <w:r w:rsidR="00282E5D" w:rsidRPr="008207E2">
        <w:rPr>
          <w:rFonts w:asciiTheme="majorBidi" w:hAnsiTheme="majorBidi" w:cstheme="majorBidi"/>
          <w:sz w:val="24"/>
          <w:szCs w:val="24"/>
        </w:rPr>
        <w:t xml:space="preserve"> (OR = 0.16, 95% CI = 0.05–0.46, P &lt; 0.001).  </w:t>
      </w:r>
    </w:p>
    <w:p w14:paraId="32EF6890" w14:textId="4A757152" w:rsidR="000514BE" w:rsidRPr="00E45C85" w:rsidRDefault="000514BE" w:rsidP="00BF2703">
      <w:pPr>
        <w:spacing w:line="360" w:lineRule="auto"/>
        <w:jc w:val="lowKashida"/>
        <w:rPr>
          <w:rFonts w:asciiTheme="majorBidi" w:hAnsiTheme="majorBidi" w:cstheme="majorBidi"/>
          <w:color w:val="FF0000"/>
          <w:sz w:val="24"/>
          <w:szCs w:val="24"/>
        </w:rPr>
      </w:pPr>
      <w:r w:rsidRPr="008207E2">
        <w:rPr>
          <w:rFonts w:asciiTheme="majorBidi" w:hAnsiTheme="majorBidi" w:cstheme="majorBidi"/>
          <w:sz w:val="24"/>
          <w:szCs w:val="24"/>
        </w:rPr>
        <w:t xml:space="preserve"> </w:t>
      </w:r>
      <w:r w:rsidR="002B2A57" w:rsidRPr="008207E2">
        <w:rPr>
          <w:rFonts w:asciiTheme="majorBidi" w:hAnsiTheme="majorBidi" w:cstheme="majorBidi"/>
          <w:b/>
          <w:bCs/>
          <w:sz w:val="24"/>
          <w:szCs w:val="24"/>
        </w:rPr>
        <w:t>Conclusions:</w:t>
      </w:r>
      <w:r w:rsidR="002B2A57" w:rsidRPr="008207E2">
        <w:rPr>
          <w:rFonts w:asciiTheme="majorBidi" w:hAnsiTheme="majorBidi" w:cstheme="majorBidi"/>
          <w:sz w:val="24"/>
          <w:szCs w:val="24"/>
        </w:rPr>
        <w:t xml:space="preserve"> </w:t>
      </w:r>
      <w:r w:rsidR="00BF2703" w:rsidRPr="008207E2">
        <w:rPr>
          <w:rFonts w:asciiTheme="majorBidi" w:hAnsiTheme="majorBidi" w:cstheme="majorBidi"/>
          <w:sz w:val="24"/>
          <w:szCs w:val="24"/>
        </w:rPr>
        <w:t xml:space="preserve">there is a possible relationship between </w:t>
      </w:r>
      <w:r w:rsidRPr="008207E2">
        <w:rPr>
          <w:rFonts w:asciiTheme="majorBidi" w:hAnsiTheme="majorBidi" w:cstheme="majorBidi"/>
          <w:sz w:val="24"/>
          <w:szCs w:val="24"/>
        </w:rPr>
        <w:t xml:space="preserve">IL- 23R </w:t>
      </w:r>
      <w:r w:rsidR="00BF2703" w:rsidRPr="008207E2">
        <w:rPr>
          <w:rFonts w:asciiTheme="majorBidi" w:hAnsiTheme="majorBidi" w:cstheme="majorBidi"/>
          <w:sz w:val="24"/>
          <w:szCs w:val="24"/>
        </w:rPr>
        <w:t xml:space="preserve">(rs10889677) polymorphism and HCC risk </w:t>
      </w:r>
      <w:r w:rsidRPr="008207E2">
        <w:rPr>
          <w:rFonts w:asciiTheme="majorBidi" w:hAnsiTheme="majorBidi" w:cstheme="majorBidi"/>
          <w:sz w:val="24"/>
          <w:szCs w:val="24"/>
        </w:rPr>
        <w:t xml:space="preserve">in Egyptian </w:t>
      </w:r>
      <w:r w:rsidR="00DC7BE3" w:rsidRPr="008207E2">
        <w:rPr>
          <w:rFonts w:asciiTheme="majorBidi" w:hAnsiTheme="majorBidi" w:cstheme="majorBidi"/>
          <w:sz w:val="24"/>
          <w:szCs w:val="24"/>
        </w:rPr>
        <w:t>individuals</w:t>
      </w:r>
      <w:r w:rsidR="00BF2703" w:rsidRPr="008207E2">
        <w:rPr>
          <w:rFonts w:asciiTheme="majorBidi" w:hAnsiTheme="majorBidi" w:cstheme="majorBidi"/>
          <w:sz w:val="24"/>
          <w:szCs w:val="24"/>
        </w:rPr>
        <w:t xml:space="preserve"> </w:t>
      </w:r>
      <w:r w:rsidR="00BB5E31" w:rsidRPr="008207E2">
        <w:rPr>
          <w:rFonts w:asciiTheme="majorBidi" w:hAnsiTheme="majorBidi" w:cstheme="majorBidi"/>
          <w:sz w:val="24"/>
          <w:szCs w:val="24"/>
        </w:rPr>
        <w:t xml:space="preserve">where </w:t>
      </w:r>
      <w:r w:rsidR="00BF2703" w:rsidRPr="008207E2">
        <w:rPr>
          <w:rFonts w:asciiTheme="majorBidi" w:hAnsiTheme="majorBidi" w:cstheme="majorBidi"/>
          <w:sz w:val="24"/>
          <w:szCs w:val="24"/>
        </w:rPr>
        <w:t xml:space="preserve">AC and CC </w:t>
      </w:r>
      <w:r w:rsidR="00BB5E31" w:rsidRPr="008207E2">
        <w:rPr>
          <w:rFonts w:asciiTheme="majorBidi" w:hAnsiTheme="majorBidi" w:cstheme="majorBidi"/>
          <w:sz w:val="24"/>
          <w:szCs w:val="24"/>
        </w:rPr>
        <w:t xml:space="preserve">genotypes and C </w:t>
      </w:r>
      <w:r w:rsidR="00A922DE" w:rsidRPr="008207E2">
        <w:rPr>
          <w:rFonts w:asciiTheme="majorBidi" w:hAnsiTheme="majorBidi" w:cstheme="majorBidi"/>
          <w:sz w:val="24"/>
          <w:szCs w:val="24"/>
        </w:rPr>
        <w:t>alleles</w:t>
      </w:r>
      <w:r w:rsidR="00BB5E31" w:rsidRPr="008207E2">
        <w:rPr>
          <w:rFonts w:asciiTheme="majorBidi" w:hAnsiTheme="majorBidi" w:cstheme="majorBidi"/>
          <w:sz w:val="24"/>
          <w:szCs w:val="24"/>
        </w:rPr>
        <w:t xml:space="preserve"> </w:t>
      </w:r>
      <w:r w:rsidR="00BF2703" w:rsidRPr="008207E2">
        <w:rPr>
          <w:rFonts w:asciiTheme="majorBidi" w:hAnsiTheme="majorBidi" w:cstheme="majorBidi"/>
          <w:sz w:val="24"/>
          <w:szCs w:val="24"/>
        </w:rPr>
        <w:t>are protective</w:t>
      </w:r>
      <w:r w:rsidRPr="008207E2">
        <w:rPr>
          <w:rFonts w:asciiTheme="majorBidi" w:hAnsiTheme="majorBidi" w:cstheme="majorBidi"/>
          <w:sz w:val="24"/>
          <w:szCs w:val="24"/>
        </w:rPr>
        <w:t>.</w:t>
      </w:r>
      <w:r w:rsidRPr="00E45C85">
        <w:rPr>
          <w:rFonts w:asciiTheme="majorBidi" w:hAnsiTheme="majorBidi" w:cstheme="majorBidi"/>
          <w:color w:val="FF0000"/>
          <w:sz w:val="24"/>
          <w:szCs w:val="24"/>
        </w:rPr>
        <w:tab/>
      </w:r>
    </w:p>
    <w:p w14:paraId="29A4A6E6" w14:textId="4D00D14A" w:rsidR="00282E5D" w:rsidRDefault="000514BE" w:rsidP="00576E84">
      <w:pPr>
        <w:spacing w:line="360" w:lineRule="auto"/>
        <w:jc w:val="lowKashida"/>
        <w:rPr>
          <w:rFonts w:asciiTheme="majorBidi" w:hAnsiTheme="majorBidi" w:cstheme="majorBidi"/>
          <w:b/>
          <w:sz w:val="24"/>
          <w:szCs w:val="24"/>
        </w:rPr>
      </w:pPr>
      <w:r w:rsidRPr="00FF7ECD">
        <w:rPr>
          <w:rFonts w:asciiTheme="majorBidi" w:hAnsiTheme="majorBidi" w:cstheme="majorBidi"/>
          <w:b/>
          <w:bCs/>
          <w:sz w:val="24"/>
          <w:szCs w:val="24"/>
        </w:rPr>
        <w:t>Keywords:</w:t>
      </w:r>
      <w:r w:rsidRPr="000514BE">
        <w:rPr>
          <w:rFonts w:asciiTheme="majorBidi" w:hAnsiTheme="majorBidi" w:cstheme="majorBidi"/>
          <w:sz w:val="24"/>
          <w:szCs w:val="24"/>
        </w:rPr>
        <w:t xml:space="preserve"> HCC; HC</w:t>
      </w:r>
      <w:r w:rsidR="00354897">
        <w:rPr>
          <w:rFonts w:asciiTheme="majorBidi" w:hAnsiTheme="majorBidi" w:cstheme="majorBidi"/>
          <w:sz w:val="24"/>
          <w:szCs w:val="24"/>
        </w:rPr>
        <w:t>V</w:t>
      </w:r>
      <w:r w:rsidRPr="000514BE">
        <w:rPr>
          <w:rFonts w:asciiTheme="majorBidi" w:hAnsiTheme="majorBidi" w:cstheme="majorBidi"/>
          <w:sz w:val="24"/>
          <w:szCs w:val="24"/>
        </w:rPr>
        <w:t xml:space="preserve">; </w:t>
      </w:r>
      <w:r w:rsidRPr="00354897">
        <w:rPr>
          <w:rFonts w:asciiTheme="majorBidi" w:hAnsiTheme="majorBidi" w:cstheme="majorBidi"/>
          <w:i/>
          <w:iCs/>
          <w:sz w:val="24"/>
          <w:szCs w:val="24"/>
        </w:rPr>
        <w:t>IL-23R</w:t>
      </w:r>
      <w:r w:rsidR="005E26CE">
        <w:rPr>
          <w:rFonts w:asciiTheme="majorBidi" w:hAnsiTheme="majorBidi" w:cstheme="majorBidi"/>
          <w:i/>
          <w:iCs/>
          <w:sz w:val="24"/>
          <w:szCs w:val="24"/>
        </w:rPr>
        <w:t>;</w:t>
      </w:r>
      <w:r w:rsidRPr="000514BE">
        <w:rPr>
          <w:rFonts w:asciiTheme="majorBidi" w:hAnsiTheme="majorBidi" w:cstheme="majorBidi"/>
          <w:sz w:val="24"/>
          <w:szCs w:val="24"/>
        </w:rPr>
        <w:t xml:space="preserve"> gene polymorphism</w:t>
      </w:r>
      <w:r w:rsidR="008207E2">
        <w:rPr>
          <w:rFonts w:asciiTheme="majorBidi" w:hAnsiTheme="majorBidi" w:cstheme="majorBidi"/>
          <w:sz w:val="24"/>
          <w:szCs w:val="24"/>
        </w:rPr>
        <w:t>.</w:t>
      </w:r>
    </w:p>
    <w:p w14:paraId="40131446" w14:textId="1AD99E8F" w:rsidR="007E49F9" w:rsidRPr="007E49F9" w:rsidRDefault="007E49F9" w:rsidP="00354897">
      <w:pPr>
        <w:spacing w:line="360" w:lineRule="auto"/>
        <w:ind w:left="139"/>
        <w:rPr>
          <w:rFonts w:asciiTheme="majorBidi" w:hAnsiTheme="majorBidi" w:cstheme="majorBidi"/>
          <w:sz w:val="24"/>
          <w:szCs w:val="24"/>
        </w:rPr>
      </w:pPr>
      <w:r w:rsidRPr="007E49F9">
        <w:rPr>
          <w:rFonts w:asciiTheme="majorBidi" w:hAnsiTheme="majorBidi" w:cstheme="majorBidi"/>
          <w:b/>
          <w:sz w:val="24"/>
          <w:szCs w:val="24"/>
        </w:rPr>
        <w:t>Introduction</w:t>
      </w:r>
    </w:p>
    <w:p w14:paraId="37AE9451" w14:textId="723A936A" w:rsidR="007E49F9" w:rsidRPr="007E49F9" w:rsidRDefault="007E49F9" w:rsidP="0017184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10" w:name="Egypt_is_considered_to_have_one_of_the_h"/>
      <w:bookmarkStart w:id="11" w:name="_Hlk114994046"/>
      <w:bookmarkEnd w:id="10"/>
      <w:r w:rsidRPr="007E49F9">
        <w:rPr>
          <w:rFonts w:asciiTheme="majorBidi" w:hAnsiTheme="majorBidi" w:cstheme="majorBidi"/>
          <w:sz w:val="24"/>
          <w:szCs w:val="24"/>
        </w:rPr>
        <w:t xml:space="preserve">Egypt is considered to have the highest </w:t>
      </w:r>
      <w:r w:rsidR="00795702">
        <w:rPr>
          <w:rFonts w:asciiTheme="majorBidi" w:hAnsiTheme="majorBidi" w:cstheme="majorBidi"/>
          <w:sz w:val="24"/>
          <w:szCs w:val="24"/>
        </w:rPr>
        <w:t>hepatitis C virus (</w:t>
      </w:r>
      <w:r w:rsidRPr="007E49F9">
        <w:rPr>
          <w:rFonts w:asciiTheme="majorBidi" w:hAnsiTheme="majorBidi" w:cstheme="majorBidi"/>
          <w:sz w:val="24"/>
          <w:szCs w:val="24"/>
        </w:rPr>
        <w:t>HCV</w:t>
      </w:r>
      <w:r w:rsidR="00795702">
        <w:rPr>
          <w:rFonts w:asciiTheme="majorBidi" w:hAnsiTheme="majorBidi" w:cstheme="majorBidi"/>
          <w:sz w:val="24"/>
          <w:szCs w:val="24"/>
        </w:rPr>
        <w:t>)</w:t>
      </w:r>
      <w:r w:rsidRPr="007E49F9">
        <w:rPr>
          <w:rFonts w:asciiTheme="majorBidi" w:hAnsiTheme="majorBidi" w:cstheme="majorBidi"/>
          <w:sz w:val="24"/>
          <w:szCs w:val="24"/>
        </w:rPr>
        <w:t xml:space="preserve"> infection prevalence worldwide. </w:t>
      </w:r>
      <w:r w:rsidR="00171845" w:rsidRPr="008207E2">
        <w:rPr>
          <w:rFonts w:asciiTheme="majorBidi" w:hAnsiTheme="majorBidi" w:cstheme="majorBidi"/>
          <w:sz w:val="24"/>
          <w:szCs w:val="24"/>
        </w:rPr>
        <w:t>The Demographic Health Survey (DHS) of 20</w:t>
      </w:r>
      <w:r w:rsidR="00573782" w:rsidRPr="008207E2">
        <w:rPr>
          <w:rFonts w:asciiTheme="majorBidi" w:hAnsiTheme="majorBidi" w:cstheme="majorBidi"/>
          <w:sz w:val="24"/>
          <w:szCs w:val="24"/>
        </w:rPr>
        <w:t>15</w:t>
      </w:r>
      <w:r w:rsidR="00171845" w:rsidRPr="008207E2">
        <w:rPr>
          <w:rFonts w:asciiTheme="majorBidi" w:hAnsiTheme="majorBidi" w:cstheme="majorBidi"/>
          <w:sz w:val="24"/>
          <w:szCs w:val="24"/>
        </w:rPr>
        <w:t xml:space="preserve"> showed a seroprevalence of </w:t>
      </w:r>
      <w:r w:rsidR="00F00233" w:rsidRPr="008207E2">
        <w:rPr>
          <w:rFonts w:asciiTheme="majorBidi" w:hAnsiTheme="majorBidi" w:cstheme="majorBidi"/>
          <w:sz w:val="24"/>
          <w:szCs w:val="24"/>
        </w:rPr>
        <w:t>10</w:t>
      </w:r>
      <w:r w:rsidR="00171845" w:rsidRPr="008207E2">
        <w:rPr>
          <w:rFonts w:asciiTheme="majorBidi" w:hAnsiTheme="majorBidi" w:cstheme="majorBidi"/>
          <w:sz w:val="24"/>
          <w:szCs w:val="24"/>
        </w:rPr>
        <w:t xml:space="preserve">% among </w:t>
      </w:r>
      <w:r w:rsidR="00DC7BE3" w:rsidRPr="008207E2">
        <w:rPr>
          <w:rFonts w:asciiTheme="majorBidi" w:hAnsiTheme="majorBidi" w:cstheme="majorBidi"/>
          <w:sz w:val="24"/>
          <w:szCs w:val="24"/>
        </w:rPr>
        <w:t>the age group</w:t>
      </w:r>
      <w:r w:rsidR="00171845" w:rsidRPr="008207E2">
        <w:rPr>
          <w:rFonts w:asciiTheme="majorBidi" w:hAnsiTheme="majorBidi" w:cstheme="majorBidi"/>
          <w:sz w:val="24"/>
          <w:szCs w:val="24"/>
        </w:rPr>
        <w:t xml:space="preserve"> between 15 and 59 years </w:t>
      </w:r>
      <w:r w:rsidR="00BC0452" w:rsidRPr="008207E2">
        <w:rPr>
          <w:rFonts w:asciiTheme="majorBidi" w:hAnsiTheme="majorBidi" w:cstheme="majorBidi"/>
          <w:sz w:val="24"/>
          <w:szCs w:val="24"/>
        </w:rPr>
        <w:t>[</w:t>
      </w:r>
      <w:r w:rsidR="00171845" w:rsidRPr="008207E2">
        <w:rPr>
          <w:rFonts w:asciiTheme="majorBidi" w:hAnsiTheme="majorBidi" w:cstheme="majorBidi"/>
          <w:sz w:val="24"/>
          <w:szCs w:val="24"/>
        </w:rPr>
        <w:t>1]</w:t>
      </w:r>
      <w:r w:rsidRPr="007E49F9">
        <w:rPr>
          <w:rFonts w:asciiTheme="majorBidi" w:hAnsiTheme="majorBidi" w:cstheme="majorBidi"/>
          <w:sz w:val="24"/>
          <w:szCs w:val="24"/>
        </w:rPr>
        <w:t xml:space="preserve">. The most common HCV genotype </w:t>
      </w:r>
      <w:r w:rsidR="00354897">
        <w:rPr>
          <w:rFonts w:asciiTheme="majorBidi" w:hAnsiTheme="majorBidi" w:cstheme="majorBidi"/>
          <w:sz w:val="24"/>
          <w:szCs w:val="24"/>
        </w:rPr>
        <w:t>among</w:t>
      </w:r>
      <w:r w:rsidRPr="007E49F9">
        <w:rPr>
          <w:rFonts w:asciiTheme="majorBidi" w:hAnsiTheme="majorBidi" w:cstheme="majorBidi"/>
          <w:sz w:val="24"/>
          <w:szCs w:val="24"/>
        </w:rPr>
        <w:t xml:space="preserve"> </w:t>
      </w:r>
      <w:r w:rsidR="00A922DE">
        <w:rPr>
          <w:rFonts w:asciiTheme="majorBidi" w:hAnsiTheme="majorBidi" w:cstheme="majorBidi"/>
          <w:sz w:val="24"/>
          <w:szCs w:val="24"/>
        </w:rPr>
        <w:t xml:space="preserve">the </w:t>
      </w:r>
      <w:r w:rsidRPr="007E49F9">
        <w:rPr>
          <w:rFonts w:asciiTheme="majorBidi" w:hAnsiTheme="majorBidi" w:cstheme="majorBidi"/>
          <w:sz w:val="24"/>
          <w:szCs w:val="24"/>
        </w:rPr>
        <w:t xml:space="preserve">Egyptian population is genotype 4, representing 2-3% of world genotypes </w:t>
      </w:r>
      <w:r w:rsidR="005615CE">
        <w:rPr>
          <w:rFonts w:asciiTheme="majorBidi" w:hAnsiTheme="majorBidi" w:cstheme="majorBidi"/>
          <w:sz w:val="24"/>
          <w:szCs w:val="24"/>
        </w:rPr>
        <w:t>[</w:t>
      </w:r>
      <w:r w:rsidRPr="007E49F9">
        <w:rPr>
          <w:rFonts w:asciiTheme="majorBidi" w:hAnsiTheme="majorBidi" w:cstheme="majorBidi"/>
          <w:sz w:val="24"/>
          <w:szCs w:val="24"/>
        </w:rPr>
        <w:t>2</w:t>
      </w:r>
      <w:r w:rsidR="005615CE">
        <w:rPr>
          <w:rFonts w:asciiTheme="majorBidi" w:hAnsiTheme="majorBidi" w:cstheme="majorBidi"/>
          <w:sz w:val="24"/>
          <w:szCs w:val="24"/>
        </w:rPr>
        <w:t>]</w:t>
      </w:r>
      <w:r w:rsidRPr="007E49F9">
        <w:rPr>
          <w:rFonts w:asciiTheme="majorBidi" w:hAnsiTheme="majorBidi" w:cstheme="majorBidi"/>
          <w:sz w:val="24"/>
          <w:szCs w:val="24"/>
        </w:rPr>
        <w:t>.</w:t>
      </w:r>
      <w:bookmarkStart w:id="12" w:name="Hepatocellular_carcinoma_(HCC)_is_a_coll"/>
      <w:bookmarkEnd w:id="12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E49F9">
        <w:rPr>
          <w:rFonts w:asciiTheme="majorBidi" w:hAnsiTheme="majorBidi" w:cstheme="majorBidi"/>
          <w:sz w:val="24"/>
          <w:szCs w:val="24"/>
        </w:rPr>
        <w:t xml:space="preserve">Hepatocellular carcinoma (HCC) </w:t>
      </w:r>
      <w:r w:rsidRPr="008207E2">
        <w:rPr>
          <w:rFonts w:asciiTheme="majorBidi" w:hAnsiTheme="majorBidi" w:cstheme="majorBidi"/>
          <w:sz w:val="24"/>
          <w:szCs w:val="24"/>
        </w:rPr>
        <w:t xml:space="preserve">is </w:t>
      </w:r>
      <w:r w:rsidR="00DD2E62" w:rsidRPr="008207E2">
        <w:rPr>
          <w:rFonts w:asciiTheme="majorBidi" w:hAnsiTheme="majorBidi" w:cstheme="majorBidi"/>
          <w:sz w:val="24"/>
          <w:szCs w:val="24"/>
        </w:rPr>
        <w:t xml:space="preserve">a highly </w:t>
      </w:r>
      <w:r w:rsidRPr="008207E2">
        <w:rPr>
          <w:rFonts w:asciiTheme="majorBidi" w:hAnsiTheme="majorBidi" w:cstheme="majorBidi"/>
          <w:sz w:val="24"/>
          <w:szCs w:val="24"/>
        </w:rPr>
        <w:t xml:space="preserve">heterogeneous </w:t>
      </w:r>
      <w:r w:rsidR="00DD2E62" w:rsidRPr="008207E2">
        <w:rPr>
          <w:rFonts w:asciiTheme="majorBidi" w:hAnsiTheme="majorBidi" w:cstheme="majorBidi"/>
          <w:sz w:val="24"/>
          <w:szCs w:val="24"/>
        </w:rPr>
        <w:t>tumor</w:t>
      </w:r>
      <w:r w:rsidRPr="007E49F9">
        <w:rPr>
          <w:rFonts w:asciiTheme="majorBidi" w:hAnsiTheme="majorBidi" w:cstheme="majorBidi"/>
          <w:sz w:val="24"/>
          <w:szCs w:val="24"/>
        </w:rPr>
        <w:t xml:space="preserve"> complicating chronic HCV infection and is </w:t>
      </w:r>
      <w:r w:rsidR="00A922DE">
        <w:rPr>
          <w:rFonts w:asciiTheme="majorBidi" w:hAnsiTheme="majorBidi" w:cstheme="majorBidi"/>
          <w:sz w:val="24"/>
          <w:szCs w:val="24"/>
        </w:rPr>
        <w:t>mainly initiated</w:t>
      </w:r>
      <w:r w:rsidRPr="007E49F9">
        <w:rPr>
          <w:rFonts w:asciiTheme="majorBidi" w:hAnsiTheme="majorBidi" w:cstheme="majorBidi"/>
          <w:sz w:val="24"/>
          <w:szCs w:val="24"/>
        </w:rPr>
        <w:t xml:space="preserve"> by many genetic changes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615CE">
        <w:rPr>
          <w:rFonts w:asciiTheme="majorBidi" w:hAnsiTheme="majorBidi" w:cstheme="majorBidi"/>
          <w:sz w:val="24"/>
          <w:szCs w:val="24"/>
        </w:rPr>
        <w:t>[</w:t>
      </w:r>
      <w:r w:rsidRPr="007E49F9">
        <w:rPr>
          <w:rFonts w:asciiTheme="majorBidi" w:hAnsiTheme="majorBidi" w:cstheme="majorBidi"/>
          <w:sz w:val="24"/>
          <w:szCs w:val="24"/>
        </w:rPr>
        <w:t>3</w:t>
      </w:r>
      <w:r w:rsidR="005615CE">
        <w:rPr>
          <w:rFonts w:asciiTheme="majorBidi" w:hAnsiTheme="majorBidi" w:cstheme="majorBidi"/>
          <w:sz w:val="24"/>
          <w:szCs w:val="24"/>
        </w:rPr>
        <w:t>]</w:t>
      </w:r>
      <w:r w:rsidRPr="007E49F9">
        <w:rPr>
          <w:rFonts w:asciiTheme="majorBidi" w:hAnsiTheme="majorBidi" w:cstheme="majorBidi"/>
          <w:sz w:val="24"/>
          <w:szCs w:val="24"/>
        </w:rPr>
        <w:t>. HCC is the world's third and sixth most prevalent cause of cancer death in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E49F9">
        <w:rPr>
          <w:rFonts w:asciiTheme="majorBidi" w:hAnsiTheme="majorBidi" w:cstheme="majorBidi"/>
          <w:sz w:val="24"/>
          <w:szCs w:val="24"/>
        </w:rPr>
        <w:t xml:space="preserve">men and women, respectively </w:t>
      </w:r>
      <w:r w:rsidR="005615CE">
        <w:rPr>
          <w:rFonts w:asciiTheme="majorBidi" w:hAnsiTheme="majorBidi" w:cstheme="majorBidi"/>
          <w:sz w:val="24"/>
          <w:szCs w:val="24"/>
        </w:rPr>
        <w:t>[</w:t>
      </w:r>
      <w:r w:rsidRPr="007E49F9">
        <w:rPr>
          <w:rFonts w:asciiTheme="majorBidi" w:hAnsiTheme="majorBidi" w:cstheme="majorBidi"/>
          <w:sz w:val="24"/>
          <w:szCs w:val="24"/>
        </w:rPr>
        <w:t>4</w:t>
      </w:r>
      <w:r w:rsidR="005615CE">
        <w:rPr>
          <w:rFonts w:asciiTheme="majorBidi" w:hAnsiTheme="majorBidi" w:cstheme="majorBidi"/>
          <w:sz w:val="24"/>
          <w:szCs w:val="24"/>
        </w:rPr>
        <w:t>]</w:t>
      </w:r>
      <w:r w:rsidRPr="007E49F9">
        <w:rPr>
          <w:rFonts w:asciiTheme="majorBidi" w:hAnsiTheme="majorBidi" w:cstheme="majorBidi"/>
          <w:sz w:val="24"/>
          <w:szCs w:val="24"/>
        </w:rPr>
        <w:t>.</w:t>
      </w:r>
      <w:r w:rsidRPr="007E49F9">
        <w:rPr>
          <w:rFonts w:asciiTheme="majorBidi" w:hAnsiTheme="majorBidi" w:cstheme="majorBidi"/>
          <w:sz w:val="24"/>
          <w:szCs w:val="24"/>
        </w:rPr>
        <w:tab/>
      </w:r>
    </w:p>
    <w:p w14:paraId="74885901" w14:textId="5433A4A0" w:rsidR="007E49F9" w:rsidRPr="007E49F9" w:rsidRDefault="007E49F9" w:rsidP="007E49F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13" w:name="HCC_development_is_unique_to_other_kinds"/>
      <w:bookmarkEnd w:id="13"/>
      <w:r w:rsidRPr="007E49F9">
        <w:rPr>
          <w:rFonts w:asciiTheme="majorBidi" w:hAnsiTheme="majorBidi" w:cstheme="majorBidi"/>
          <w:sz w:val="24"/>
          <w:szCs w:val="24"/>
        </w:rPr>
        <w:t>HCC usually develop</w:t>
      </w:r>
      <w:r w:rsidR="00242B07">
        <w:rPr>
          <w:rFonts w:asciiTheme="majorBidi" w:hAnsiTheme="majorBidi" w:cstheme="majorBidi"/>
          <w:sz w:val="24"/>
          <w:szCs w:val="24"/>
        </w:rPr>
        <w:t xml:space="preserve">s </w:t>
      </w:r>
      <w:r w:rsidRPr="007E49F9">
        <w:rPr>
          <w:rFonts w:asciiTheme="majorBidi" w:hAnsiTheme="majorBidi" w:cstheme="majorBidi"/>
          <w:sz w:val="24"/>
          <w:szCs w:val="24"/>
        </w:rPr>
        <w:t>on top of liver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E49F9">
        <w:rPr>
          <w:rFonts w:asciiTheme="majorBidi" w:hAnsiTheme="majorBidi" w:cstheme="majorBidi"/>
          <w:sz w:val="24"/>
          <w:szCs w:val="24"/>
        </w:rPr>
        <w:t>cirrhosis which results from several factors, including alcohol abuse</w:t>
      </w:r>
      <w:r w:rsidR="00795702">
        <w:rPr>
          <w:rFonts w:asciiTheme="majorBidi" w:hAnsiTheme="majorBidi" w:cstheme="majorBidi"/>
          <w:sz w:val="24"/>
          <w:szCs w:val="24"/>
        </w:rPr>
        <w:t>,</w:t>
      </w:r>
      <w:r w:rsidRPr="007E49F9">
        <w:rPr>
          <w:rFonts w:asciiTheme="majorBidi" w:hAnsiTheme="majorBidi" w:cstheme="majorBidi"/>
          <w:sz w:val="24"/>
          <w:szCs w:val="24"/>
        </w:rPr>
        <w:t xml:space="preserve"> infection</w:t>
      </w:r>
      <w:r w:rsidR="00A922DE">
        <w:rPr>
          <w:rFonts w:asciiTheme="majorBidi" w:hAnsiTheme="majorBidi" w:cstheme="majorBidi"/>
          <w:sz w:val="24"/>
          <w:szCs w:val="24"/>
        </w:rPr>
        <w:t>,</w:t>
      </w:r>
      <w:r w:rsidRPr="007E49F9">
        <w:rPr>
          <w:rFonts w:asciiTheme="majorBidi" w:hAnsiTheme="majorBidi" w:cstheme="majorBidi"/>
          <w:sz w:val="24"/>
          <w:szCs w:val="24"/>
        </w:rPr>
        <w:t xml:space="preserve"> especially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E49F9">
        <w:rPr>
          <w:rFonts w:asciiTheme="majorBidi" w:hAnsiTheme="majorBidi" w:cstheme="majorBidi"/>
          <w:sz w:val="24"/>
          <w:szCs w:val="24"/>
        </w:rPr>
        <w:t>HCV</w:t>
      </w:r>
      <w:r w:rsidR="00795702">
        <w:rPr>
          <w:rFonts w:asciiTheme="majorBidi" w:hAnsiTheme="majorBidi" w:cstheme="majorBidi"/>
          <w:sz w:val="24"/>
          <w:szCs w:val="24"/>
        </w:rPr>
        <w:t xml:space="preserve"> and </w:t>
      </w:r>
      <w:r w:rsidRPr="007E49F9">
        <w:rPr>
          <w:rFonts w:asciiTheme="majorBidi" w:hAnsiTheme="majorBidi" w:cstheme="majorBidi"/>
          <w:sz w:val="24"/>
          <w:szCs w:val="24"/>
        </w:rPr>
        <w:t>HBV, and nonalcoholic liver disease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615CE">
        <w:rPr>
          <w:rFonts w:asciiTheme="majorBidi" w:hAnsiTheme="majorBidi" w:cstheme="majorBidi"/>
          <w:sz w:val="24"/>
          <w:szCs w:val="24"/>
        </w:rPr>
        <w:t>[</w:t>
      </w:r>
      <w:r w:rsidRPr="007E49F9">
        <w:rPr>
          <w:rFonts w:asciiTheme="majorBidi" w:hAnsiTheme="majorBidi" w:cstheme="majorBidi"/>
          <w:sz w:val="24"/>
          <w:szCs w:val="24"/>
        </w:rPr>
        <w:t>5</w:t>
      </w:r>
      <w:r w:rsidR="005615CE">
        <w:rPr>
          <w:rFonts w:asciiTheme="majorBidi" w:hAnsiTheme="majorBidi" w:cstheme="majorBidi"/>
          <w:sz w:val="24"/>
          <w:szCs w:val="24"/>
        </w:rPr>
        <w:t>]</w:t>
      </w:r>
      <w:r w:rsidRPr="007E49F9">
        <w:rPr>
          <w:rFonts w:asciiTheme="majorBidi" w:hAnsiTheme="majorBidi" w:cstheme="majorBidi"/>
          <w:sz w:val="24"/>
          <w:szCs w:val="24"/>
        </w:rPr>
        <w:t>. Besides</w:t>
      </w:r>
      <w:r w:rsidR="00242B07">
        <w:rPr>
          <w:rFonts w:asciiTheme="majorBidi" w:hAnsiTheme="majorBidi" w:cstheme="majorBidi"/>
          <w:sz w:val="24"/>
          <w:szCs w:val="24"/>
        </w:rPr>
        <w:t>,</w:t>
      </w:r>
      <w:r w:rsidRPr="007E49F9">
        <w:rPr>
          <w:rFonts w:asciiTheme="majorBidi" w:hAnsiTheme="majorBidi" w:cstheme="majorBidi"/>
          <w:sz w:val="24"/>
          <w:szCs w:val="24"/>
        </w:rPr>
        <w:t xml:space="preserve"> </w:t>
      </w:r>
      <w:r w:rsidR="00242B07">
        <w:rPr>
          <w:rFonts w:asciiTheme="majorBidi" w:hAnsiTheme="majorBidi" w:cstheme="majorBidi"/>
          <w:sz w:val="24"/>
          <w:szCs w:val="24"/>
        </w:rPr>
        <w:t xml:space="preserve">several </w:t>
      </w:r>
      <w:r w:rsidRPr="007E49F9">
        <w:rPr>
          <w:rFonts w:asciiTheme="majorBidi" w:hAnsiTheme="majorBidi" w:cstheme="majorBidi"/>
          <w:sz w:val="24"/>
          <w:szCs w:val="24"/>
        </w:rPr>
        <w:t>genetic and environmental variables</w:t>
      </w:r>
      <w:r w:rsidR="00242B07">
        <w:rPr>
          <w:rFonts w:asciiTheme="majorBidi" w:hAnsiTheme="majorBidi" w:cstheme="majorBidi"/>
          <w:sz w:val="24"/>
          <w:szCs w:val="24"/>
        </w:rPr>
        <w:t xml:space="preserve"> </w:t>
      </w:r>
      <w:r w:rsidR="00A922DE">
        <w:rPr>
          <w:rFonts w:asciiTheme="majorBidi" w:hAnsiTheme="majorBidi" w:cstheme="majorBidi"/>
          <w:sz w:val="24"/>
          <w:szCs w:val="24"/>
        </w:rPr>
        <w:t>contribute</w:t>
      </w:r>
      <w:r w:rsidRPr="007E49F9">
        <w:rPr>
          <w:rFonts w:asciiTheme="majorBidi" w:hAnsiTheme="majorBidi" w:cstheme="majorBidi"/>
          <w:sz w:val="24"/>
          <w:szCs w:val="24"/>
        </w:rPr>
        <w:t xml:space="preserve"> to this condition. </w:t>
      </w:r>
      <w:r w:rsidR="00BD7CBB">
        <w:rPr>
          <w:rFonts w:asciiTheme="majorBidi" w:hAnsiTheme="majorBidi" w:cstheme="majorBidi"/>
          <w:sz w:val="24"/>
          <w:szCs w:val="24"/>
        </w:rPr>
        <w:t>For example, s</w:t>
      </w:r>
      <w:r w:rsidRPr="007E49F9">
        <w:rPr>
          <w:rFonts w:asciiTheme="majorBidi" w:hAnsiTheme="majorBidi" w:cstheme="majorBidi"/>
          <w:sz w:val="24"/>
          <w:szCs w:val="24"/>
        </w:rPr>
        <w:t xml:space="preserve">everal </w:t>
      </w:r>
      <w:r w:rsidR="00795702">
        <w:rPr>
          <w:rFonts w:asciiTheme="majorBidi" w:hAnsiTheme="majorBidi" w:cstheme="majorBidi"/>
          <w:sz w:val="24"/>
          <w:szCs w:val="24"/>
        </w:rPr>
        <w:t xml:space="preserve">polymorphisms in </w:t>
      </w:r>
      <w:r w:rsidRPr="007E49F9">
        <w:rPr>
          <w:rFonts w:asciiTheme="majorBidi" w:hAnsiTheme="majorBidi" w:cstheme="majorBidi"/>
          <w:sz w:val="24"/>
          <w:szCs w:val="24"/>
        </w:rPr>
        <w:t xml:space="preserve">cytokine genes were reported to associate with an increased vulnerability to infection with HCV or </w:t>
      </w:r>
      <w:r w:rsidR="00A922DE">
        <w:rPr>
          <w:rFonts w:asciiTheme="majorBidi" w:hAnsiTheme="majorBidi" w:cstheme="majorBidi"/>
          <w:sz w:val="24"/>
          <w:szCs w:val="24"/>
        </w:rPr>
        <w:t xml:space="preserve">an </w:t>
      </w:r>
      <w:r w:rsidRPr="007E49F9">
        <w:rPr>
          <w:rFonts w:asciiTheme="majorBidi" w:hAnsiTheme="majorBidi" w:cstheme="majorBidi"/>
          <w:sz w:val="24"/>
          <w:szCs w:val="24"/>
        </w:rPr>
        <w:t>increased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E49F9">
        <w:rPr>
          <w:rFonts w:asciiTheme="majorBidi" w:hAnsiTheme="majorBidi" w:cstheme="majorBidi"/>
          <w:sz w:val="24"/>
          <w:szCs w:val="24"/>
        </w:rPr>
        <w:t xml:space="preserve">tendency to </w:t>
      </w:r>
      <w:r w:rsidR="000A7674">
        <w:rPr>
          <w:rFonts w:asciiTheme="majorBidi" w:hAnsiTheme="majorBidi" w:cstheme="majorBidi"/>
          <w:sz w:val="24"/>
          <w:szCs w:val="24"/>
        </w:rPr>
        <w:t>HCC</w:t>
      </w:r>
      <w:r w:rsidRPr="007E49F9">
        <w:rPr>
          <w:rFonts w:asciiTheme="majorBidi" w:hAnsiTheme="majorBidi" w:cstheme="majorBidi"/>
          <w:sz w:val="24"/>
          <w:szCs w:val="24"/>
        </w:rPr>
        <w:t xml:space="preserve"> </w:t>
      </w:r>
      <w:r w:rsidRPr="008207E2">
        <w:rPr>
          <w:rFonts w:asciiTheme="majorBidi" w:hAnsiTheme="majorBidi" w:cstheme="majorBidi"/>
          <w:sz w:val="24"/>
          <w:szCs w:val="24"/>
        </w:rPr>
        <w:t>progress</w:t>
      </w:r>
      <w:r w:rsidR="00DD2E62" w:rsidRPr="008207E2">
        <w:rPr>
          <w:rFonts w:asciiTheme="majorBidi" w:hAnsiTheme="majorBidi" w:cstheme="majorBidi"/>
          <w:sz w:val="24"/>
          <w:szCs w:val="24"/>
        </w:rPr>
        <w:t>ion</w:t>
      </w:r>
      <w:r w:rsidR="000A7674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="008F0C17">
        <w:rPr>
          <w:rFonts w:asciiTheme="majorBidi" w:hAnsiTheme="majorBidi" w:cstheme="majorBidi"/>
          <w:sz w:val="24"/>
          <w:szCs w:val="24"/>
        </w:rPr>
        <w:t>[</w:t>
      </w:r>
      <w:r w:rsidRPr="007E49F9">
        <w:rPr>
          <w:rFonts w:asciiTheme="majorBidi" w:hAnsiTheme="majorBidi" w:cstheme="majorBidi"/>
          <w:sz w:val="24"/>
          <w:szCs w:val="24"/>
        </w:rPr>
        <w:t>6,7</w:t>
      </w:r>
      <w:r w:rsidR="008F0C17">
        <w:rPr>
          <w:rFonts w:asciiTheme="majorBidi" w:hAnsiTheme="majorBidi" w:cstheme="majorBidi"/>
          <w:sz w:val="24"/>
          <w:szCs w:val="24"/>
        </w:rPr>
        <w:t>]</w:t>
      </w:r>
      <w:r w:rsidRPr="007E49F9">
        <w:rPr>
          <w:rFonts w:asciiTheme="majorBidi" w:hAnsiTheme="majorBidi" w:cstheme="majorBidi"/>
          <w:sz w:val="24"/>
          <w:szCs w:val="24"/>
        </w:rPr>
        <w:t>.</w:t>
      </w:r>
    </w:p>
    <w:p w14:paraId="54486A76" w14:textId="4E5C71AC" w:rsidR="00440BEA" w:rsidRDefault="007E49F9" w:rsidP="0076463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14" w:name="The_interleukin_23_receptor_(IL-_23R)_co"/>
      <w:bookmarkEnd w:id="14"/>
      <w:r w:rsidRPr="007E49F9">
        <w:rPr>
          <w:rFonts w:asciiTheme="majorBidi" w:hAnsiTheme="majorBidi" w:cstheme="majorBidi"/>
          <w:sz w:val="24"/>
          <w:szCs w:val="24"/>
        </w:rPr>
        <w:t>The interleukin</w:t>
      </w:r>
      <w:r w:rsidR="00795702">
        <w:rPr>
          <w:rFonts w:asciiTheme="majorBidi" w:hAnsiTheme="majorBidi" w:cstheme="majorBidi"/>
          <w:sz w:val="24"/>
          <w:szCs w:val="24"/>
        </w:rPr>
        <w:t>-</w:t>
      </w:r>
      <w:r w:rsidRPr="007E49F9">
        <w:rPr>
          <w:rFonts w:asciiTheme="majorBidi" w:hAnsiTheme="majorBidi" w:cstheme="majorBidi"/>
          <w:sz w:val="24"/>
          <w:szCs w:val="24"/>
        </w:rPr>
        <w:t>23 receptor (IL- 23R) shares the same site as the IL</w:t>
      </w:r>
      <w:r w:rsidR="00795702">
        <w:rPr>
          <w:rFonts w:asciiTheme="majorBidi" w:hAnsiTheme="majorBidi" w:cstheme="majorBidi"/>
          <w:sz w:val="24"/>
          <w:szCs w:val="24"/>
        </w:rPr>
        <w:t>-</w:t>
      </w:r>
      <w:r w:rsidRPr="007E49F9">
        <w:rPr>
          <w:rFonts w:asciiTheme="majorBidi" w:hAnsiTheme="majorBidi" w:cstheme="majorBidi"/>
          <w:sz w:val="24"/>
          <w:szCs w:val="24"/>
        </w:rPr>
        <w:t>12R. It triggers memory T helper (Th) 17 cell-mediated inflammatory activity</w:t>
      </w:r>
      <w:r w:rsidR="00D76116">
        <w:rPr>
          <w:rFonts w:asciiTheme="majorBidi" w:hAnsiTheme="majorBidi" w:cstheme="majorBidi"/>
          <w:sz w:val="24"/>
          <w:szCs w:val="24"/>
        </w:rPr>
        <w:t xml:space="preserve"> [8]</w:t>
      </w:r>
      <w:r w:rsidR="00A922DE">
        <w:rPr>
          <w:rFonts w:asciiTheme="majorBidi" w:hAnsiTheme="majorBidi" w:cstheme="majorBidi"/>
          <w:sz w:val="24"/>
          <w:szCs w:val="24"/>
        </w:rPr>
        <w:t>,</w:t>
      </w:r>
      <w:r w:rsidR="000A7674">
        <w:rPr>
          <w:rFonts w:asciiTheme="majorBidi" w:hAnsiTheme="majorBidi" w:cstheme="majorBidi"/>
          <w:sz w:val="24"/>
          <w:szCs w:val="24"/>
        </w:rPr>
        <w:t xml:space="preserve"> which</w:t>
      </w:r>
      <w:r w:rsidRPr="007E49F9">
        <w:rPr>
          <w:rFonts w:asciiTheme="majorBidi" w:hAnsiTheme="majorBidi" w:cstheme="majorBidi"/>
          <w:sz w:val="24"/>
          <w:szCs w:val="24"/>
        </w:rPr>
        <w:t xml:space="preserve"> is </w:t>
      </w:r>
      <w:r w:rsidR="00A922DE">
        <w:rPr>
          <w:rFonts w:asciiTheme="majorBidi" w:hAnsiTheme="majorBidi" w:cstheme="majorBidi"/>
          <w:sz w:val="24"/>
          <w:szCs w:val="24"/>
        </w:rPr>
        <w:t>essential</w:t>
      </w:r>
      <w:r w:rsidRPr="007E49F9">
        <w:rPr>
          <w:rFonts w:asciiTheme="majorBidi" w:hAnsiTheme="majorBidi" w:cstheme="majorBidi"/>
          <w:sz w:val="24"/>
          <w:szCs w:val="24"/>
        </w:rPr>
        <w:t xml:space="preserve"> in the inflammatory and immunological surveillance of HCV and HBV carcinogenesis </w:t>
      </w:r>
      <w:r w:rsidR="008F0C17">
        <w:rPr>
          <w:rFonts w:asciiTheme="majorBidi" w:hAnsiTheme="majorBidi" w:cstheme="majorBidi"/>
          <w:sz w:val="24"/>
          <w:szCs w:val="24"/>
        </w:rPr>
        <w:t>[</w:t>
      </w:r>
      <w:r w:rsidRPr="007E49F9">
        <w:rPr>
          <w:rFonts w:asciiTheme="majorBidi" w:hAnsiTheme="majorBidi" w:cstheme="majorBidi"/>
          <w:sz w:val="24"/>
          <w:szCs w:val="24"/>
        </w:rPr>
        <w:t>9, 10</w:t>
      </w:r>
      <w:r w:rsidR="008F0C17">
        <w:rPr>
          <w:rFonts w:asciiTheme="majorBidi" w:hAnsiTheme="majorBidi" w:cstheme="majorBidi"/>
          <w:sz w:val="24"/>
          <w:szCs w:val="24"/>
        </w:rPr>
        <w:t>]</w:t>
      </w:r>
      <w:r w:rsidRPr="007E49F9">
        <w:rPr>
          <w:rFonts w:asciiTheme="majorBidi" w:hAnsiTheme="majorBidi" w:cstheme="majorBidi"/>
          <w:sz w:val="24"/>
          <w:szCs w:val="24"/>
        </w:rPr>
        <w:t xml:space="preserve">. </w:t>
      </w:r>
      <w:r w:rsidR="00440BEA" w:rsidRPr="00440BEA">
        <w:rPr>
          <w:rFonts w:asciiTheme="majorBidi" w:hAnsiTheme="majorBidi" w:cstheme="majorBidi"/>
          <w:sz w:val="24"/>
          <w:szCs w:val="24"/>
        </w:rPr>
        <w:t xml:space="preserve">Many studies have investigated the role of </w:t>
      </w:r>
      <w:r w:rsidR="00440BEA" w:rsidRPr="00764639">
        <w:rPr>
          <w:rFonts w:asciiTheme="majorBidi" w:hAnsiTheme="majorBidi" w:cstheme="majorBidi"/>
          <w:i/>
          <w:iCs/>
          <w:sz w:val="24"/>
          <w:szCs w:val="24"/>
        </w:rPr>
        <w:t>I</w:t>
      </w:r>
      <w:r w:rsidR="00764639" w:rsidRPr="00764639">
        <w:rPr>
          <w:rFonts w:asciiTheme="majorBidi" w:hAnsiTheme="majorBidi" w:cstheme="majorBidi"/>
          <w:i/>
          <w:iCs/>
          <w:sz w:val="24"/>
          <w:szCs w:val="24"/>
        </w:rPr>
        <w:t>L</w:t>
      </w:r>
      <w:r w:rsidR="00764639">
        <w:rPr>
          <w:rFonts w:asciiTheme="majorBidi" w:hAnsiTheme="majorBidi" w:cstheme="majorBidi"/>
          <w:i/>
          <w:iCs/>
          <w:sz w:val="24"/>
          <w:szCs w:val="24"/>
        </w:rPr>
        <w:t>-</w:t>
      </w:r>
      <w:r w:rsidR="00440BEA" w:rsidRPr="00764639">
        <w:rPr>
          <w:rFonts w:asciiTheme="majorBidi" w:hAnsiTheme="majorBidi" w:cstheme="majorBidi"/>
          <w:i/>
          <w:iCs/>
          <w:sz w:val="24"/>
          <w:szCs w:val="24"/>
        </w:rPr>
        <w:t>23R</w:t>
      </w:r>
      <w:r w:rsidR="00440BEA" w:rsidRPr="00440BEA">
        <w:rPr>
          <w:rFonts w:asciiTheme="majorBidi" w:hAnsiTheme="majorBidi" w:cstheme="majorBidi"/>
          <w:sz w:val="24"/>
          <w:szCs w:val="24"/>
        </w:rPr>
        <w:t xml:space="preserve"> gene polymorphism in</w:t>
      </w:r>
      <w:r w:rsidR="00440BEA">
        <w:rPr>
          <w:rFonts w:asciiTheme="majorBidi" w:hAnsiTheme="majorBidi" w:cstheme="majorBidi"/>
          <w:sz w:val="24"/>
          <w:szCs w:val="24"/>
        </w:rPr>
        <w:t xml:space="preserve"> </w:t>
      </w:r>
      <w:r w:rsidR="00440BEA" w:rsidRPr="00440BEA">
        <w:rPr>
          <w:rFonts w:asciiTheme="majorBidi" w:hAnsiTheme="majorBidi" w:cstheme="majorBidi"/>
          <w:sz w:val="24"/>
          <w:szCs w:val="24"/>
        </w:rPr>
        <w:t>different</w:t>
      </w:r>
      <w:bookmarkStart w:id="15" w:name="chronic_disorders_(11)_as_inflammatory_b"/>
      <w:bookmarkEnd w:id="15"/>
      <w:r w:rsidR="00440BEA">
        <w:rPr>
          <w:rFonts w:asciiTheme="majorBidi" w:hAnsiTheme="majorBidi" w:cstheme="majorBidi"/>
          <w:sz w:val="24"/>
          <w:szCs w:val="24"/>
        </w:rPr>
        <w:t xml:space="preserve"> </w:t>
      </w:r>
      <w:r w:rsidR="00440BEA" w:rsidRPr="00440BEA">
        <w:rPr>
          <w:rFonts w:asciiTheme="majorBidi" w:hAnsiTheme="majorBidi" w:cstheme="majorBidi"/>
          <w:sz w:val="24"/>
          <w:szCs w:val="24"/>
        </w:rPr>
        <w:t>disorders</w:t>
      </w:r>
      <w:r w:rsidR="00260986">
        <w:rPr>
          <w:rFonts w:asciiTheme="majorBidi" w:hAnsiTheme="majorBidi" w:cstheme="majorBidi"/>
          <w:sz w:val="24"/>
          <w:szCs w:val="24"/>
        </w:rPr>
        <w:t>,</w:t>
      </w:r>
      <w:r w:rsidR="00440BEA" w:rsidRPr="00440BEA">
        <w:rPr>
          <w:rFonts w:asciiTheme="majorBidi" w:hAnsiTheme="majorBidi" w:cstheme="majorBidi"/>
          <w:sz w:val="24"/>
          <w:szCs w:val="24"/>
        </w:rPr>
        <w:t xml:space="preserve"> </w:t>
      </w:r>
      <w:r w:rsidR="00A922DE">
        <w:rPr>
          <w:rFonts w:asciiTheme="majorBidi" w:hAnsiTheme="majorBidi" w:cstheme="majorBidi"/>
          <w:sz w:val="24"/>
          <w:szCs w:val="24"/>
        </w:rPr>
        <w:t xml:space="preserve">such </w:t>
      </w:r>
      <w:r w:rsidR="00440BEA" w:rsidRPr="00440BEA">
        <w:rPr>
          <w:rFonts w:asciiTheme="majorBidi" w:hAnsiTheme="majorBidi" w:cstheme="majorBidi"/>
          <w:sz w:val="24"/>
          <w:szCs w:val="24"/>
        </w:rPr>
        <w:t xml:space="preserve">as inflammatory bowel disease </w:t>
      </w:r>
      <w:r w:rsidR="008F0C17">
        <w:rPr>
          <w:rFonts w:asciiTheme="majorBidi" w:hAnsiTheme="majorBidi" w:cstheme="majorBidi"/>
          <w:sz w:val="24"/>
          <w:szCs w:val="24"/>
        </w:rPr>
        <w:t>[</w:t>
      </w:r>
      <w:r w:rsidR="00440BEA" w:rsidRPr="00440BEA">
        <w:rPr>
          <w:rFonts w:asciiTheme="majorBidi" w:hAnsiTheme="majorBidi" w:cstheme="majorBidi"/>
          <w:sz w:val="24"/>
          <w:szCs w:val="24"/>
        </w:rPr>
        <w:t>1</w:t>
      </w:r>
      <w:r w:rsidR="008F0C17">
        <w:rPr>
          <w:rFonts w:asciiTheme="majorBidi" w:hAnsiTheme="majorBidi" w:cstheme="majorBidi"/>
          <w:sz w:val="24"/>
          <w:szCs w:val="24"/>
        </w:rPr>
        <w:t>1]</w:t>
      </w:r>
      <w:r w:rsidR="00440BEA" w:rsidRPr="00440BEA">
        <w:rPr>
          <w:rFonts w:asciiTheme="majorBidi" w:hAnsiTheme="majorBidi" w:cstheme="majorBidi"/>
          <w:sz w:val="24"/>
          <w:szCs w:val="24"/>
        </w:rPr>
        <w:t xml:space="preserve">, rheumatoid arthritis </w:t>
      </w:r>
      <w:r w:rsidR="008F0C17">
        <w:rPr>
          <w:rFonts w:asciiTheme="majorBidi" w:hAnsiTheme="majorBidi" w:cstheme="majorBidi"/>
          <w:sz w:val="24"/>
          <w:szCs w:val="24"/>
        </w:rPr>
        <w:t>[</w:t>
      </w:r>
      <w:r w:rsidR="00440BEA" w:rsidRPr="00440BEA">
        <w:rPr>
          <w:rFonts w:asciiTheme="majorBidi" w:hAnsiTheme="majorBidi" w:cstheme="majorBidi"/>
          <w:sz w:val="24"/>
          <w:szCs w:val="24"/>
        </w:rPr>
        <w:t>1</w:t>
      </w:r>
      <w:r w:rsidR="008F0C17">
        <w:rPr>
          <w:rFonts w:asciiTheme="majorBidi" w:hAnsiTheme="majorBidi" w:cstheme="majorBidi"/>
          <w:sz w:val="24"/>
          <w:szCs w:val="24"/>
        </w:rPr>
        <w:t>2]</w:t>
      </w:r>
      <w:r w:rsidR="00440BEA" w:rsidRPr="00440BEA">
        <w:rPr>
          <w:rFonts w:asciiTheme="majorBidi" w:hAnsiTheme="majorBidi" w:cstheme="majorBidi"/>
          <w:sz w:val="24"/>
          <w:szCs w:val="24"/>
        </w:rPr>
        <w:t xml:space="preserve">, and stomach cancer </w:t>
      </w:r>
      <w:r w:rsidR="008F0C17">
        <w:rPr>
          <w:rFonts w:asciiTheme="majorBidi" w:hAnsiTheme="majorBidi" w:cstheme="majorBidi"/>
          <w:sz w:val="24"/>
          <w:szCs w:val="24"/>
        </w:rPr>
        <w:t>[</w:t>
      </w:r>
      <w:r w:rsidR="00440BEA" w:rsidRPr="00440BEA">
        <w:rPr>
          <w:rFonts w:asciiTheme="majorBidi" w:hAnsiTheme="majorBidi" w:cstheme="majorBidi"/>
          <w:sz w:val="24"/>
          <w:szCs w:val="24"/>
        </w:rPr>
        <w:t>1</w:t>
      </w:r>
      <w:r w:rsidR="008F0C17">
        <w:rPr>
          <w:rFonts w:asciiTheme="majorBidi" w:hAnsiTheme="majorBidi" w:cstheme="majorBidi"/>
          <w:sz w:val="24"/>
          <w:szCs w:val="24"/>
        </w:rPr>
        <w:t>3]</w:t>
      </w:r>
      <w:r w:rsidR="00440BEA" w:rsidRPr="00440BEA">
        <w:rPr>
          <w:rFonts w:asciiTheme="majorBidi" w:hAnsiTheme="majorBidi" w:cstheme="majorBidi"/>
          <w:sz w:val="24"/>
          <w:szCs w:val="24"/>
        </w:rPr>
        <w:t xml:space="preserve">. </w:t>
      </w:r>
      <w:r w:rsidR="00BD7CBB">
        <w:rPr>
          <w:rFonts w:asciiTheme="majorBidi" w:hAnsiTheme="majorBidi" w:cstheme="majorBidi"/>
          <w:sz w:val="24"/>
          <w:szCs w:val="24"/>
        </w:rPr>
        <w:t>However, t</w:t>
      </w:r>
      <w:r w:rsidR="00440BEA" w:rsidRPr="00440BEA">
        <w:rPr>
          <w:rFonts w:asciiTheme="majorBidi" w:hAnsiTheme="majorBidi" w:cstheme="majorBidi"/>
          <w:sz w:val="24"/>
          <w:szCs w:val="24"/>
        </w:rPr>
        <w:t xml:space="preserve">here is currently no solid evidence relating the </w:t>
      </w:r>
      <w:r w:rsidR="00440BEA" w:rsidRPr="00764639">
        <w:rPr>
          <w:rFonts w:asciiTheme="majorBidi" w:hAnsiTheme="majorBidi" w:cstheme="majorBidi"/>
          <w:i/>
          <w:iCs/>
          <w:sz w:val="24"/>
          <w:szCs w:val="24"/>
        </w:rPr>
        <w:t>IL</w:t>
      </w:r>
      <w:r w:rsidR="00764639" w:rsidRPr="00764639">
        <w:rPr>
          <w:rFonts w:asciiTheme="majorBidi" w:hAnsiTheme="majorBidi" w:cstheme="majorBidi"/>
          <w:i/>
          <w:iCs/>
          <w:sz w:val="24"/>
          <w:szCs w:val="24"/>
        </w:rPr>
        <w:t>-</w:t>
      </w:r>
      <w:r w:rsidR="00440BEA" w:rsidRPr="00764639">
        <w:rPr>
          <w:rFonts w:asciiTheme="majorBidi" w:hAnsiTheme="majorBidi" w:cstheme="majorBidi"/>
          <w:i/>
          <w:iCs/>
          <w:sz w:val="24"/>
          <w:szCs w:val="24"/>
        </w:rPr>
        <w:t>23R</w:t>
      </w:r>
      <w:r w:rsidR="00440BEA" w:rsidRPr="00440BEA">
        <w:rPr>
          <w:rFonts w:asciiTheme="majorBidi" w:hAnsiTheme="majorBidi" w:cstheme="majorBidi"/>
          <w:sz w:val="24"/>
          <w:szCs w:val="24"/>
        </w:rPr>
        <w:t xml:space="preserve"> gene polymorphism</w:t>
      </w:r>
      <w:r w:rsidR="00440BEA">
        <w:rPr>
          <w:rFonts w:asciiTheme="majorBidi" w:hAnsiTheme="majorBidi" w:cstheme="majorBidi"/>
          <w:sz w:val="24"/>
          <w:szCs w:val="24"/>
        </w:rPr>
        <w:t xml:space="preserve"> </w:t>
      </w:r>
      <w:r w:rsidR="00440BEA" w:rsidRPr="00440BEA">
        <w:rPr>
          <w:rFonts w:asciiTheme="majorBidi" w:hAnsiTheme="majorBidi" w:cstheme="majorBidi"/>
          <w:sz w:val="24"/>
          <w:szCs w:val="24"/>
        </w:rPr>
        <w:t xml:space="preserve">to HCV-related HCC development. As a result, our current research </w:t>
      </w:r>
      <w:r w:rsidR="00440BEA" w:rsidRPr="008207E2">
        <w:rPr>
          <w:rFonts w:asciiTheme="majorBidi" w:hAnsiTheme="majorBidi" w:cstheme="majorBidi"/>
          <w:sz w:val="24"/>
          <w:szCs w:val="24"/>
        </w:rPr>
        <w:t>focus</w:t>
      </w:r>
      <w:r w:rsidR="00C2513E" w:rsidRPr="008207E2">
        <w:rPr>
          <w:rFonts w:asciiTheme="majorBidi" w:hAnsiTheme="majorBidi" w:cstheme="majorBidi"/>
          <w:sz w:val="24"/>
          <w:szCs w:val="24"/>
        </w:rPr>
        <w:t>ed</w:t>
      </w:r>
      <w:r w:rsidR="00440BEA" w:rsidRPr="00440BEA">
        <w:rPr>
          <w:rFonts w:asciiTheme="majorBidi" w:hAnsiTheme="majorBidi" w:cstheme="majorBidi"/>
          <w:sz w:val="24"/>
          <w:szCs w:val="24"/>
        </w:rPr>
        <w:t xml:space="preserve"> on this</w:t>
      </w:r>
      <w:r w:rsidR="00440BEA">
        <w:rPr>
          <w:rFonts w:asciiTheme="majorBidi" w:hAnsiTheme="majorBidi" w:cstheme="majorBidi"/>
          <w:sz w:val="24"/>
          <w:szCs w:val="24"/>
        </w:rPr>
        <w:t xml:space="preserve"> </w:t>
      </w:r>
      <w:r w:rsidR="00440BEA" w:rsidRPr="00440BEA">
        <w:rPr>
          <w:rFonts w:asciiTheme="majorBidi" w:hAnsiTheme="majorBidi" w:cstheme="majorBidi"/>
          <w:sz w:val="24"/>
          <w:szCs w:val="24"/>
        </w:rPr>
        <w:t>variation in the gene and how it leads to HCC in p</w:t>
      </w:r>
      <w:r w:rsidR="000A7674">
        <w:rPr>
          <w:rFonts w:asciiTheme="majorBidi" w:hAnsiTheme="majorBidi" w:cstheme="majorBidi"/>
          <w:sz w:val="24"/>
          <w:szCs w:val="24"/>
        </w:rPr>
        <w:t>atients</w:t>
      </w:r>
      <w:r w:rsidR="00440BEA" w:rsidRPr="00440BEA">
        <w:rPr>
          <w:rFonts w:asciiTheme="majorBidi" w:hAnsiTheme="majorBidi" w:cstheme="majorBidi"/>
          <w:sz w:val="24"/>
          <w:szCs w:val="24"/>
        </w:rPr>
        <w:t xml:space="preserve"> with HCV in Egypt.</w:t>
      </w:r>
      <w:r w:rsidR="00440BEA" w:rsidRPr="00440BEA">
        <w:rPr>
          <w:rFonts w:asciiTheme="majorBidi" w:hAnsiTheme="majorBidi" w:cstheme="majorBidi"/>
          <w:sz w:val="24"/>
          <w:szCs w:val="24"/>
        </w:rPr>
        <w:tab/>
      </w:r>
      <w:bookmarkStart w:id="16" w:name="2._Materials_and_Methods"/>
      <w:bookmarkEnd w:id="16"/>
    </w:p>
    <w:bookmarkEnd w:id="11"/>
    <w:p w14:paraId="0F7241CA" w14:textId="6F1C6C34" w:rsidR="00440BEA" w:rsidRPr="00440BEA" w:rsidRDefault="00440BEA" w:rsidP="00440BE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40BEA">
        <w:rPr>
          <w:rFonts w:asciiTheme="majorBidi" w:hAnsiTheme="majorBidi" w:cstheme="majorBidi"/>
          <w:b/>
          <w:sz w:val="24"/>
          <w:szCs w:val="24"/>
        </w:rPr>
        <w:t>Materials and Methods</w:t>
      </w:r>
    </w:p>
    <w:p w14:paraId="6791E263" w14:textId="5ADAC8B9" w:rsidR="00440BEA" w:rsidRPr="00440BEA" w:rsidRDefault="00440BEA" w:rsidP="00483DB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17" w:name="2.1._Ethics_statement:"/>
      <w:bookmarkStart w:id="18" w:name="The_current_case-control_study_was_carri"/>
      <w:bookmarkEnd w:id="17"/>
      <w:bookmarkEnd w:id="18"/>
      <w:r w:rsidRPr="00440BEA">
        <w:rPr>
          <w:rFonts w:asciiTheme="majorBidi" w:hAnsiTheme="majorBidi" w:cstheme="majorBidi"/>
          <w:sz w:val="24"/>
          <w:szCs w:val="24"/>
        </w:rPr>
        <w:t>Th</w:t>
      </w:r>
      <w:r w:rsidR="00764639">
        <w:rPr>
          <w:rFonts w:asciiTheme="majorBidi" w:hAnsiTheme="majorBidi" w:cstheme="majorBidi"/>
          <w:sz w:val="24"/>
          <w:szCs w:val="24"/>
        </w:rPr>
        <w:t>is</w:t>
      </w:r>
      <w:r w:rsidRPr="00440BEA">
        <w:rPr>
          <w:rFonts w:asciiTheme="majorBidi" w:hAnsiTheme="majorBidi" w:cstheme="majorBidi"/>
          <w:sz w:val="24"/>
          <w:szCs w:val="24"/>
        </w:rPr>
        <w:t xml:space="preserve"> case-control study was carried out at the </w:t>
      </w:r>
      <w:r w:rsidR="00764639">
        <w:rPr>
          <w:rFonts w:asciiTheme="majorBidi" w:hAnsiTheme="majorBidi" w:cstheme="majorBidi"/>
          <w:sz w:val="24"/>
          <w:szCs w:val="24"/>
        </w:rPr>
        <w:t>D</w:t>
      </w:r>
      <w:r w:rsidRPr="00440BEA">
        <w:rPr>
          <w:rFonts w:asciiTheme="majorBidi" w:hAnsiTheme="majorBidi" w:cstheme="majorBidi"/>
          <w:sz w:val="24"/>
          <w:szCs w:val="24"/>
        </w:rPr>
        <w:t>epartment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40BEA">
        <w:rPr>
          <w:rFonts w:asciiTheme="majorBidi" w:hAnsiTheme="majorBidi" w:cstheme="majorBidi"/>
          <w:sz w:val="24"/>
          <w:szCs w:val="24"/>
        </w:rPr>
        <w:t xml:space="preserve">of </w:t>
      </w:r>
      <w:r w:rsidR="00764639">
        <w:rPr>
          <w:rFonts w:asciiTheme="majorBidi" w:hAnsiTheme="majorBidi" w:cstheme="majorBidi"/>
          <w:sz w:val="24"/>
          <w:szCs w:val="24"/>
        </w:rPr>
        <w:t>I</w:t>
      </w:r>
      <w:r w:rsidRPr="00440BEA">
        <w:rPr>
          <w:rFonts w:asciiTheme="majorBidi" w:hAnsiTheme="majorBidi" w:cstheme="majorBidi"/>
          <w:sz w:val="24"/>
          <w:szCs w:val="24"/>
        </w:rPr>
        <w:t xml:space="preserve">nternal </w:t>
      </w:r>
      <w:r w:rsidR="00764639">
        <w:rPr>
          <w:rFonts w:asciiTheme="majorBidi" w:hAnsiTheme="majorBidi" w:cstheme="majorBidi"/>
          <w:sz w:val="24"/>
          <w:szCs w:val="24"/>
        </w:rPr>
        <w:t>M</w:t>
      </w:r>
      <w:r w:rsidRPr="00440BEA">
        <w:rPr>
          <w:rFonts w:asciiTheme="majorBidi" w:hAnsiTheme="majorBidi" w:cstheme="majorBidi"/>
          <w:sz w:val="24"/>
          <w:szCs w:val="24"/>
        </w:rPr>
        <w:t>edicine, Zagazig University</w:t>
      </w:r>
      <w:r w:rsidR="00A922DE">
        <w:rPr>
          <w:rFonts w:asciiTheme="majorBidi" w:hAnsiTheme="majorBidi" w:cstheme="majorBidi"/>
          <w:sz w:val="24"/>
          <w:szCs w:val="24"/>
        </w:rPr>
        <w:t>,</w:t>
      </w:r>
      <w:r w:rsidR="00764639">
        <w:rPr>
          <w:rFonts w:asciiTheme="majorBidi" w:hAnsiTheme="majorBidi" w:cstheme="majorBidi"/>
          <w:sz w:val="24"/>
          <w:szCs w:val="24"/>
        </w:rPr>
        <w:t xml:space="preserve"> in collaboration with the Department</w:t>
      </w:r>
      <w:r w:rsidR="00E47874">
        <w:rPr>
          <w:rFonts w:asciiTheme="majorBidi" w:hAnsiTheme="majorBidi" w:cstheme="majorBidi"/>
          <w:sz w:val="24"/>
          <w:szCs w:val="24"/>
        </w:rPr>
        <w:t>s</w:t>
      </w:r>
      <w:r w:rsidR="00764639">
        <w:rPr>
          <w:rFonts w:asciiTheme="majorBidi" w:hAnsiTheme="majorBidi" w:cstheme="majorBidi"/>
          <w:sz w:val="24"/>
          <w:szCs w:val="24"/>
        </w:rPr>
        <w:t xml:space="preserve"> of Medical Biochemistry&amp;</w:t>
      </w:r>
      <w:r w:rsidR="00C73DE6">
        <w:rPr>
          <w:rFonts w:asciiTheme="majorBidi" w:hAnsiTheme="majorBidi" w:cstheme="majorBidi"/>
          <w:sz w:val="24"/>
          <w:szCs w:val="24"/>
        </w:rPr>
        <w:t xml:space="preserve"> </w:t>
      </w:r>
      <w:r w:rsidR="00764639">
        <w:rPr>
          <w:rFonts w:asciiTheme="majorBidi" w:hAnsiTheme="majorBidi" w:cstheme="majorBidi"/>
          <w:sz w:val="24"/>
          <w:szCs w:val="24"/>
        </w:rPr>
        <w:t>Molecular Biology</w:t>
      </w:r>
      <w:r w:rsidR="00E47874">
        <w:rPr>
          <w:rFonts w:asciiTheme="majorBidi" w:hAnsiTheme="majorBidi" w:cstheme="majorBidi"/>
          <w:sz w:val="24"/>
          <w:szCs w:val="24"/>
        </w:rPr>
        <w:t xml:space="preserve"> and Medical </w:t>
      </w:r>
      <w:r w:rsidR="00A922DE">
        <w:rPr>
          <w:rFonts w:asciiTheme="majorBidi" w:hAnsiTheme="majorBidi" w:cstheme="majorBidi"/>
          <w:sz w:val="24"/>
          <w:szCs w:val="24"/>
        </w:rPr>
        <w:t>Oncology</w:t>
      </w:r>
      <w:r w:rsidRPr="00440BEA">
        <w:rPr>
          <w:rFonts w:asciiTheme="majorBidi" w:hAnsiTheme="majorBidi" w:cstheme="majorBidi"/>
          <w:sz w:val="24"/>
          <w:szCs w:val="24"/>
        </w:rPr>
        <w:t>,</w:t>
      </w:r>
      <w:r w:rsidR="00764639">
        <w:rPr>
          <w:rFonts w:asciiTheme="majorBidi" w:hAnsiTheme="majorBidi" w:cstheme="majorBidi"/>
          <w:sz w:val="24"/>
          <w:szCs w:val="24"/>
        </w:rPr>
        <w:t xml:space="preserve"> Zagazig University</w:t>
      </w:r>
      <w:r w:rsidR="00A922DE">
        <w:rPr>
          <w:rFonts w:asciiTheme="majorBidi" w:hAnsiTheme="majorBidi" w:cstheme="majorBidi"/>
          <w:sz w:val="24"/>
          <w:szCs w:val="24"/>
        </w:rPr>
        <w:t>,</w:t>
      </w:r>
      <w:r w:rsidR="00530A60" w:rsidRPr="00530A60">
        <w:rPr>
          <w:rFonts w:asciiTheme="majorBidi" w:hAnsiTheme="majorBidi" w:cstheme="majorBidi"/>
          <w:sz w:val="24"/>
          <w:szCs w:val="24"/>
        </w:rPr>
        <w:t xml:space="preserve"> from </w:t>
      </w:r>
      <w:r w:rsidR="006F6FAF">
        <w:rPr>
          <w:rFonts w:asciiTheme="majorBidi" w:hAnsiTheme="majorBidi" w:cstheme="majorBidi"/>
          <w:sz w:val="24"/>
          <w:szCs w:val="24"/>
        </w:rPr>
        <w:t>January</w:t>
      </w:r>
      <w:r w:rsidR="00530A60" w:rsidRPr="00530A60">
        <w:rPr>
          <w:rFonts w:asciiTheme="majorBidi" w:hAnsiTheme="majorBidi" w:cstheme="majorBidi"/>
          <w:sz w:val="24"/>
          <w:szCs w:val="24"/>
        </w:rPr>
        <w:t xml:space="preserve"> 202</w:t>
      </w:r>
      <w:r w:rsidR="006F6FAF">
        <w:rPr>
          <w:rFonts w:asciiTheme="majorBidi" w:hAnsiTheme="majorBidi" w:cstheme="majorBidi"/>
          <w:sz w:val="24"/>
          <w:szCs w:val="24"/>
        </w:rPr>
        <w:t>1</w:t>
      </w:r>
      <w:r w:rsidR="00530A60" w:rsidRPr="00530A60">
        <w:rPr>
          <w:rFonts w:asciiTheme="majorBidi" w:hAnsiTheme="majorBidi" w:cstheme="majorBidi"/>
          <w:sz w:val="24"/>
          <w:szCs w:val="24"/>
        </w:rPr>
        <w:t xml:space="preserve"> to </w:t>
      </w:r>
      <w:r w:rsidR="006F6FAF">
        <w:rPr>
          <w:rFonts w:asciiTheme="majorBidi" w:hAnsiTheme="majorBidi" w:cstheme="majorBidi"/>
          <w:sz w:val="24"/>
          <w:szCs w:val="24"/>
        </w:rPr>
        <w:t>January</w:t>
      </w:r>
      <w:r w:rsidR="00530A60" w:rsidRPr="00530A60">
        <w:rPr>
          <w:rFonts w:asciiTheme="majorBidi" w:hAnsiTheme="majorBidi" w:cstheme="majorBidi"/>
          <w:sz w:val="24"/>
          <w:szCs w:val="24"/>
        </w:rPr>
        <w:t xml:space="preserve"> 202</w:t>
      </w:r>
      <w:r w:rsidR="006F6FAF">
        <w:rPr>
          <w:rFonts w:asciiTheme="majorBidi" w:hAnsiTheme="majorBidi" w:cstheme="majorBidi"/>
          <w:sz w:val="24"/>
          <w:szCs w:val="24"/>
        </w:rPr>
        <w:t>2</w:t>
      </w:r>
      <w:r w:rsidR="00530A60" w:rsidRPr="00530A60">
        <w:rPr>
          <w:rFonts w:asciiTheme="majorBidi" w:hAnsiTheme="majorBidi" w:cstheme="majorBidi"/>
          <w:sz w:val="24"/>
          <w:szCs w:val="24"/>
        </w:rPr>
        <w:t>.</w:t>
      </w:r>
      <w:r w:rsidR="00530A60">
        <w:rPr>
          <w:rFonts w:asciiTheme="majorBidi" w:hAnsiTheme="majorBidi" w:cstheme="majorBidi"/>
          <w:sz w:val="24"/>
          <w:szCs w:val="24"/>
        </w:rPr>
        <w:t xml:space="preserve"> The study was performed after</w:t>
      </w:r>
      <w:r w:rsidRPr="00440BEA">
        <w:rPr>
          <w:rFonts w:asciiTheme="majorBidi" w:hAnsiTheme="majorBidi" w:cstheme="majorBidi"/>
          <w:sz w:val="24"/>
          <w:szCs w:val="24"/>
        </w:rPr>
        <w:t xml:space="preserve"> receiving </w:t>
      </w:r>
      <w:r w:rsidR="00483DBB">
        <w:rPr>
          <w:rFonts w:asciiTheme="majorBidi" w:hAnsiTheme="majorBidi" w:cstheme="majorBidi"/>
          <w:sz w:val="24"/>
          <w:szCs w:val="24"/>
        </w:rPr>
        <w:t xml:space="preserve">approval from the </w:t>
      </w:r>
      <w:r w:rsidR="006F6FAF">
        <w:rPr>
          <w:rFonts w:asciiTheme="majorBidi" w:hAnsiTheme="majorBidi" w:cstheme="majorBidi"/>
          <w:sz w:val="24"/>
          <w:szCs w:val="24"/>
        </w:rPr>
        <w:t>I</w:t>
      </w:r>
      <w:r w:rsidR="00483DBB">
        <w:rPr>
          <w:rFonts w:asciiTheme="majorBidi" w:hAnsiTheme="majorBidi" w:cstheme="majorBidi"/>
          <w:sz w:val="24"/>
          <w:szCs w:val="24"/>
        </w:rPr>
        <w:t xml:space="preserve">nstitutional </w:t>
      </w:r>
      <w:r w:rsidR="006F6FAF">
        <w:rPr>
          <w:rFonts w:asciiTheme="majorBidi" w:hAnsiTheme="majorBidi" w:cstheme="majorBidi"/>
          <w:sz w:val="24"/>
          <w:szCs w:val="24"/>
        </w:rPr>
        <w:t>R</w:t>
      </w:r>
      <w:r w:rsidR="00483DBB">
        <w:rPr>
          <w:rFonts w:asciiTheme="majorBidi" w:hAnsiTheme="majorBidi" w:cstheme="majorBidi"/>
          <w:sz w:val="24"/>
          <w:szCs w:val="24"/>
        </w:rPr>
        <w:t xml:space="preserve">eview </w:t>
      </w:r>
      <w:r w:rsidR="006F6FAF">
        <w:rPr>
          <w:rFonts w:asciiTheme="majorBidi" w:hAnsiTheme="majorBidi" w:cstheme="majorBidi"/>
          <w:sz w:val="24"/>
          <w:szCs w:val="24"/>
        </w:rPr>
        <w:t>B</w:t>
      </w:r>
      <w:r w:rsidR="00483DBB">
        <w:rPr>
          <w:rFonts w:asciiTheme="majorBidi" w:hAnsiTheme="majorBidi" w:cstheme="majorBidi"/>
          <w:sz w:val="24"/>
          <w:szCs w:val="24"/>
        </w:rPr>
        <w:t xml:space="preserve">oard </w:t>
      </w:r>
      <w:r w:rsidRPr="00440BEA">
        <w:rPr>
          <w:rFonts w:asciiTheme="majorBidi" w:hAnsiTheme="majorBidi" w:cstheme="majorBidi"/>
          <w:sz w:val="24"/>
          <w:szCs w:val="24"/>
        </w:rPr>
        <w:t xml:space="preserve">of </w:t>
      </w:r>
      <w:r w:rsidR="00A922DE">
        <w:rPr>
          <w:rFonts w:asciiTheme="majorBidi" w:hAnsiTheme="majorBidi" w:cstheme="majorBidi"/>
          <w:sz w:val="24"/>
          <w:szCs w:val="24"/>
        </w:rPr>
        <w:t xml:space="preserve">the </w:t>
      </w:r>
      <w:r w:rsidR="00483DBB" w:rsidRPr="00483DBB">
        <w:rPr>
          <w:rFonts w:asciiTheme="majorBidi" w:hAnsiTheme="majorBidi" w:cstheme="majorBidi"/>
          <w:sz w:val="24"/>
          <w:szCs w:val="24"/>
        </w:rPr>
        <w:t>Faculty of Medicine</w:t>
      </w:r>
      <w:r w:rsidR="00483DBB">
        <w:rPr>
          <w:rFonts w:asciiTheme="majorBidi" w:hAnsiTheme="majorBidi" w:cstheme="majorBidi"/>
          <w:sz w:val="24"/>
          <w:szCs w:val="24"/>
        </w:rPr>
        <w:t xml:space="preserve">, </w:t>
      </w:r>
      <w:r w:rsidRPr="00440BEA">
        <w:rPr>
          <w:rFonts w:asciiTheme="majorBidi" w:hAnsiTheme="majorBidi" w:cstheme="majorBidi"/>
          <w:sz w:val="24"/>
          <w:szCs w:val="24"/>
        </w:rPr>
        <w:t>Zagazig University. Patients involved in the study gave written consent</w:t>
      </w:r>
      <w:r w:rsidR="00530A60">
        <w:rPr>
          <w:rFonts w:asciiTheme="majorBidi" w:hAnsiTheme="majorBidi" w:cstheme="majorBidi"/>
          <w:sz w:val="24"/>
          <w:szCs w:val="24"/>
        </w:rPr>
        <w:t>.</w:t>
      </w:r>
      <w:r w:rsidRPr="00440BEA">
        <w:rPr>
          <w:rFonts w:asciiTheme="majorBidi" w:hAnsiTheme="majorBidi" w:cstheme="majorBidi"/>
          <w:sz w:val="24"/>
          <w:szCs w:val="24"/>
        </w:rPr>
        <w:t xml:space="preserve"> </w:t>
      </w:r>
    </w:p>
    <w:p w14:paraId="4F084062" w14:textId="5C767437" w:rsidR="00440BEA" w:rsidRPr="00440BEA" w:rsidRDefault="00440BEA" w:rsidP="00440BE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19" w:name="2.2._Study_subjects:"/>
      <w:bookmarkStart w:id="20" w:name="This_study_included_250_subjects_with_tw"/>
      <w:bookmarkStart w:id="21" w:name="_Hlk114994681"/>
      <w:bookmarkEnd w:id="19"/>
      <w:bookmarkEnd w:id="20"/>
      <w:r w:rsidRPr="00440BEA">
        <w:rPr>
          <w:rFonts w:asciiTheme="majorBidi" w:hAnsiTheme="majorBidi" w:cstheme="majorBidi"/>
          <w:sz w:val="24"/>
          <w:szCs w:val="24"/>
        </w:rPr>
        <w:t>This study included 250 subjects</w:t>
      </w:r>
      <w:r w:rsidR="00530A60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12496">
        <w:rPr>
          <w:rFonts w:asciiTheme="majorBidi" w:hAnsiTheme="majorBidi" w:cstheme="majorBidi"/>
          <w:sz w:val="24"/>
          <w:szCs w:val="24"/>
        </w:rPr>
        <w:t xml:space="preserve"> </w:t>
      </w:r>
      <w:r w:rsidRPr="00440BEA">
        <w:rPr>
          <w:rFonts w:asciiTheme="majorBidi" w:hAnsiTheme="majorBidi" w:cstheme="majorBidi"/>
          <w:sz w:val="24"/>
          <w:szCs w:val="24"/>
        </w:rPr>
        <w:t>one hundred having HCV and</w:t>
      </w:r>
      <w:r w:rsidR="00E47874">
        <w:rPr>
          <w:rFonts w:asciiTheme="majorBidi" w:hAnsiTheme="majorBidi" w:cstheme="majorBidi"/>
          <w:sz w:val="24"/>
          <w:szCs w:val="24"/>
        </w:rPr>
        <w:t xml:space="preserve"> newly diagnosed with</w:t>
      </w:r>
      <w:r w:rsidRPr="00440BEA">
        <w:rPr>
          <w:rFonts w:asciiTheme="majorBidi" w:hAnsiTheme="majorBidi" w:cstheme="majorBidi"/>
          <w:sz w:val="24"/>
          <w:szCs w:val="24"/>
        </w:rPr>
        <w:t xml:space="preserve"> HCC</w:t>
      </w:r>
      <w:r w:rsidR="00A033D8">
        <w:rPr>
          <w:rFonts w:asciiTheme="majorBidi" w:hAnsiTheme="majorBidi" w:cstheme="majorBidi"/>
          <w:sz w:val="24"/>
          <w:szCs w:val="24"/>
        </w:rPr>
        <w:t xml:space="preserve"> and</w:t>
      </w:r>
      <w:r w:rsidRPr="00440BEA">
        <w:rPr>
          <w:rFonts w:asciiTheme="majorBidi" w:hAnsiTheme="majorBidi" w:cstheme="majorBidi"/>
          <w:sz w:val="24"/>
          <w:szCs w:val="24"/>
        </w:rPr>
        <w:t xml:space="preserve"> one hundred </w:t>
      </w:r>
      <w:r w:rsidR="00530A60">
        <w:rPr>
          <w:rFonts w:asciiTheme="majorBidi" w:hAnsiTheme="majorBidi" w:cstheme="majorBidi"/>
          <w:sz w:val="24"/>
          <w:szCs w:val="24"/>
        </w:rPr>
        <w:t xml:space="preserve">having </w:t>
      </w:r>
      <w:r w:rsidRPr="00440BEA">
        <w:rPr>
          <w:rFonts w:asciiTheme="majorBidi" w:hAnsiTheme="majorBidi" w:cstheme="majorBidi"/>
          <w:sz w:val="24"/>
          <w:szCs w:val="24"/>
        </w:rPr>
        <w:t>HCV without HCC.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40BEA">
        <w:rPr>
          <w:rFonts w:asciiTheme="majorBidi" w:hAnsiTheme="majorBidi" w:cstheme="majorBidi"/>
          <w:sz w:val="24"/>
          <w:szCs w:val="24"/>
        </w:rPr>
        <w:t xml:space="preserve">Another 50 healthy subjects without a history of liver disease </w:t>
      </w:r>
      <w:r w:rsidR="00530A60">
        <w:rPr>
          <w:rFonts w:asciiTheme="majorBidi" w:hAnsiTheme="majorBidi" w:cstheme="majorBidi"/>
          <w:sz w:val="24"/>
          <w:szCs w:val="24"/>
        </w:rPr>
        <w:t>we</w:t>
      </w:r>
      <w:r w:rsidRPr="00440BEA">
        <w:rPr>
          <w:rFonts w:asciiTheme="majorBidi" w:hAnsiTheme="majorBidi" w:cstheme="majorBidi"/>
          <w:sz w:val="24"/>
          <w:szCs w:val="24"/>
        </w:rPr>
        <w:t>re included as a control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40BEA">
        <w:rPr>
          <w:rFonts w:asciiTheme="majorBidi" w:hAnsiTheme="majorBidi" w:cstheme="majorBidi"/>
          <w:sz w:val="24"/>
          <w:szCs w:val="24"/>
        </w:rPr>
        <w:t>group.</w:t>
      </w:r>
      <w:bookmarkEnd w:id="21"/>
      <w:r w:rsidRPr="00440BEA">
        <w:rPr>
          <w:rFonts w:asciiTheme="majorBidi" w:hAnsiTheme="majorBidi" w:cstheme="majorBidi"/>
          <w:sz w:val="24"/>
          <w:szCs w:val="24"/>
        </w:rPr>
        <w:tab/>
      </w:r>
    </w:p>
    <w:p w14:paraId="75F95402" w14:textId="24400905" w:rsidR="00440BEA" w:rsidRDefault="00440BEA" w:rsidP="00440BE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22" w:name="2.3._Exclusion_criteria:"/>
      <w:bookmarkStart w:id="23" w:name="All_patients_known_to_have_any_liver_dis"/>
      <w:bookmarkStart w:id="24" w:name="_Hlk114994742"/>
      <w:bookmarkEnd w:id="22"/>
      <w:bookmarkEnd w:id="23"/>
      <w:r w:rsidRPr="00440BEA">
        <w:rPr>
          <w:rFonts w:asciiTheme="majorBidi" w:hAnsiTheme="majorBidi" w:cstheme="majorBidi"/>
          <w:sz w:val="24"/>
          <w:szCs w:val="24"/>
        </w:rPr>
        <w:t xml:space="preserve">All patients </w:t>
      </w:r>
      <w:r w:rsidR="006F6FAF">
        <w:rPr>
          <w:rFonts w:asciiTheme="majorBidi" w:hAnsiTheme="majorBidi" w:cstheme="majorBidi"/>
          <w:sz w:val="24"/>
          <w:szCs w:val="24"/>
        </w:rPr>
        <w:t>with</w:t>
      </w:r>
      <w:r w:rsidRPr="00440BEA">
        <w:rPr>
          <w:rFonts w:asciiTheme="majorBidi" w:hAnsiTheme="majorBidi" w:cstheme="majorBidi"/>
          <w:sz w:val="24"/>
          <w:szCs w:val="24"/>
        </w:rPr>
        <w:t xml:space="preserve"> liver disease other than HCV </w:t>
      </w:r>
      <w:r w:rsidR="00D12496">
        <w:rPr>
          <w:rFonts w:asciiTheme="majorBidi" w:hAnsiTheme="majorBidi" w:cstheme="majorBidi"/>
          <w:sz w:val="24"/>
          <w:szCs w:val="24"/>
        </w:rPr>
        <w:t>we</w:t>
      </w:r>
      <w:r w:rsidRPr="00440BEA">
        <w:rPr>
          <w:rFonts w:asciiTheme="majorBidi" w:hAnsiTheme="majorBidi" w:cstheme="majorBidi"/>
          <w:sz w:val="24"/>
          <w:szCs w:val="24"/>
        </w:rPr>
        <w:t>re excluded from the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40BEA">
        <w:rPr>
          <w:rFonts w:asciiTheme="majorBidi" w:hAnsiTheme="majorBidi" w:cstheme="majorBidi"/>
          <w:sz w:val="24"/>
          <w:szCs w:val="24"/>
        </w:rPr>
        <w:t xml:space="preserve">study. Also, subjects with HIV or other malignancies </w:t>
      </w:r>
      <w:r w:rsidR="00A033D8">
        <w:rPr>
          <w:rFonts w:asciiTheme="majorBidi" w:hAnsiTheme="majorBidi" w:cstheme="majorBidi"/>
          <w:sz w:val="24"/>
          <w:szCs w:val="24"/>
        </w:rPr>
        <w:t>we</w:t>
      </w:r>
      <w:r w:rsidRPr="00440BEA">
        <w:rPr>
          <w:rFonts w:asciiTheme="majorBidi" w:hAnsiTheme="majorBidi" w:cstheme="majorBidi"/>
          <w:sz w:val="24"/>
          <w:szCs w:val="24"/>
        </w:rPr>
        <w:t>re excluded from the study.</w:t>
      </w:r>
      <w:bookmarkStart w:id="25" w:name="2.4._Methods"/>
      <w:bookmarkEnd w:id="25"/>
    </w:p>
    <w:p w14:paraId="5C3894B8" w14:textId="6E3ABD68" w:rsidR="00050113" w:rsidRDefault="00440BEA" w:rsidP="00E4787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26" w:name="HCV_infections_are_diagnosed_by_antibody"/>
      <w:bookmarkStart w:id="27" w:name="_Hlk114994824"/>
      <w:bookmarkEnd w:id="24"/>
      <w:bookmarkEnd w:id="26"/>
      <w:r w:rsidRPr="00440BEA">
        <w:rPr>
          <w:rFonts w:asciiTheme="majorBidi" w:hAnsiTheme="majorBidi" w:cstheme="majorBidi"/>
          <w:sz w:val="24"/>
          <w:szCs w:val="24"/>
        </w:rPr>
        <w:t>HCV infection</w:t>
      </w:r>
      <w:r w:rsidR="00D12496">
        <w:rPr>
          <w:rFonts w:asciiTheme="majorBidi" w:hAnsiTheme="majorBidi" w:cstheme="majorBidi"/>
          <w:sz w:val="24"/>
          <w:szCs w:val="24"/>
        </w:rPr>
        <w:t xml:space="preserve"> was</w:t>
      </w:r>
      <w:r w:rsidRPr="00440BEA">
        <w:rPr>
          <w:rFonts w:asciiTheme="majorBidi" w:hAnsiTheme="majorBidi" w:cstheme="majorBidi"/>
          <w:sz w:val="24"/>
          <w:szCs w:val="24"/>
        </w:rPr>
        <w:t xml:space="preserve"> diagnosed by antibody positivity by </w:t>
      </w:r>
      <w:r w:rsidR="00D12496">
        <w:rPr>
          <w:rFonts w:asciiTheme="majorBidi" w:hAnsiTheme="majorBidi" w:cstheme="majorBidi"/>
          <w:sz w:val="24"/>
          <w:szCs w:val="24"/>
        </w:rPr>
        <w:t>enzyme-linked immunosorbent assay</w:t>
      </w:r>
      <w:r w:rsidR="005C54E4">
        <w:rPr>
          <w:rFonts w:asciiTheme="majorBidi" w:hAnsiTheme="majorBidi" w:cstheme="majorBidi"/>
          <w:sz w:val="24"/>
          <w:szCs w:val="24"/>
        </w:rPr>
        <w:t xml:space="preserve"> (</w:t>
      </w:r>
      <w:r w:rsidRPr="00440BEA">
        <w:rPr>
          <w:rFonts w:asciiTheme="majorBidi" w:hAnsiTheme="majorBidi" w:cstheme="majorBidi"/>
          <w:sz w:val="24"/>
          <w:szCs w:val="24"/>
        </w:rPr>
        <w:t>ELISA</w:t>
      </w:r>
      <w:r w:rsidR="005C54E4">
        <w:rPr>
          <w:rFonts w:asciiTheme="majorBidi" w:hAnsiTheme="majorBidi" w:cstheme="majorBidi"/>
          <w:sz w:val="24"/>
          <w:szCs w:val="24"/>
        </w:rPr>
        <w:t>)</w:t>
      </w:r>
      <w:r w:rsidRPr="00440BEA">
        <w:rPr>
          <w:rFonts w:asciiTheme="majorBidi" w:hAnsiTheme="majorBidi" w:cstheme="majorBidi"/>
          <w:sz w:val="24"/>
          <w:szCs w:val="24"/>
        </w:rPr>
        <w:t xml:space="preserve"> (Anaheim, CA 92801,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40BEA">
        <w:rPr>
          <w:rFonts w:asciiTheme="majorBidi" w:hAnsiTheme="majorBidi" w:cstheme="majorBidi"/>
          <w:sz w:val="24"/>
          <w:szCs w:val="24"/>
        </w:rPr>
        <w:t>USA)</w:t>
      </w:r>
      <w:r w:rsidR="005C54E4">
        <w:rPr>
          <w:rFonts w:asciiTheme="majorBidi" w:hAnsiTheme="majorBidi" w:cstheme="majorBidi"/>
          <w:sz w:val="24"/>
          <w:szCs w:val="24"/>
        </w:rPr>
        <w:t>.</w:t>
      </w:r>
      <w:r w:rsidRPr="00440BEA">
        <w:rPr>
          <w:rFonts w:asciiTheme="majorBidi" w:hAnsiTheme="majorBidi" w:cstheme="majorBidi"/>
          <w:sz w:val="24"/>
          <w:szCs w:val="24"/>
        </w:rPr>
        <w:t xml:space="preserve"> HCV RNA </w:t>
      </w:r>
      <w:r w:rsidR="005C54E4">
        <w:rPr>
          <w:rFonts w:asciiTheme="majorBidi" w:hAnsiTheme="majorBidi" w:cstheme="majorBidi"/>
          <w:sz w:val="24"/>
          <w:szCs w:val="24"/>
        </w:rPr>
        <w:t xml:space="preserve">was detected </w:t>
      </w:r>
      <w:r w:rsidRPr="00440BEA">
        <w:rPr>
          <w:rFonts w:asciiTheme="majorBidi" w:hAnsiTheme="majorBidi" w:cstheme="majorBidi"/>
          <w:sz w:val="24"/>
          <w:szCs w:val="24"/>
        </w:rPr>
        <w:t xml:space="preserve">by real-time </w:t>
      </w:r>
      <w:r w:rsidR="005C54E4">
        <w:rPr>
          <w:rFonts w:asciiTheme="majorBidi" w:hAnsiTheme="majorBidi" w:cstheme="majorBidi"/>
          <w:sz w:val="24"/>
          <w:szCs w:val="24"/>
        </w:rPr>
        <w:t xml:space="preserve">polymerase chain reaction </w:t>
      </w:r>
      <w:r w:rsidRPr="00440BEA">
        <w:rPr>
          <w:rFonts w:asciiTheme="majorBidi" w:hAnsiTheme="majorBidi" w:cstheme="majorBidi"/>
          <w:sz w:val="24"/>
          <w:szCs w:val="24"/>
        </w:rPr>
        <w:t xml:space="preserve">(COBAS amplifier, </w:t>
      </w:r>
      <w:r w:rsidR="006F6FAF" w:rsidRPr="00440BEA">
        <w:rPr>
          <w:rFonts w:asciiTheme="majorBidi" w:hAnsiTheme="majorBidi" w:cstheme="majorBidi"/>
          <w:sz w:val="24"/>
          <w:szCs w:val="24"/>
        </w:rPr>
        <w:t>TaqMan</w:t>
      </w:r>
      <w:r w:rsidRPr="00440BEA">
        <w:rPr>
          <w:rFonts w:asciiTheme="majorBidi" w:hAnsiTheme="majorBidi" w:cstheme="majorBidi"/>
          <w:sz w:val="24"/>
          <w:szCs w:val="24"/>
        </w:rPr>
        <w:t xml:space="preserve"> 48, Roche Mannheim, Germany).</w:t>
      </w:r>
      <w:bookmarkStart w:id="28" w:name="All_the_controlled_patient's_medical_inf"/>
      <w:bookmarkEnd w:id="28"/>
      <w:r w:rsidR="005C54E4">
        <w:rPr>
          <w:rFonts w:asciiTheme="majorBidi" w:hAnsiTheme="majorBidi" w:cstheme="majorBidi"/>
          <w:sz w:val="24"/>
          <w:szCs w:val="24"/>
        </w:rPr>
        <w:t xml:space="preserve"> History taking and general examination</w:t>
      </w:r>
      <w:r w:rsidRPr="00440BEA">
        <w:rPr>
          <w:rFonts w:asciiTheme="majorBidi" w:hAnsiTheme="majorBidi" w:cstheme="majorBidi"/>
          <w:sz w:val="24"/>
          <w:szCs w:val="24"/>
        </w:rPr>
        <w:t xml:space="preserve"> </w:t>
      </w:r>
      <w:r w:rsidR="005C54E4">
        <w:rPr>
          <w:rFonts w:asciiTheme="majorBidi" w:hAnsiTheme="majorBidi" w:cstheme="majorBidi"/>
          <w:sz w:val="24"/>
          <w:szCs w:val="24"/>
        </w:rPr>
        <w:t xml:space="preserve">were performed for all participants. </w:t>
      </w:r>
      <w:r w:rsidR="005C54E4" w:rsidRPr="00440BEA">
        <w:rPr>
          <w:rFonts w:asciiTheme="majorBidi" w:hAnsiTheme="majorBidi" w:cstheme="majorBidi"/>
          <w:sz w:val="24"/>
          <w:szCs w:val="24"/>
        </w:rPr>
        <w:t>T</w:t>
      </w:r>
      <w:r w:rsidRPr="00440BEA">
        <w:rPr>
          <w:rFonts w:asciiTheme="majorBidi" w:hAnsiTheme="majorBidi" w:cstheme="majorBidi"/>
          <w:sz w:val="24"/>
          <w:szCs w:val="24"/>
        </w:rPr>
        <w:t>hen</w:t>
      </w:r>
      <w:r w:rsidR="005C54E4">
        <w:rPr>
          <w:rFonts w:asciiTheme="majorBidi" w:hAnsiTheme="majorBidi" w:cstheme="majorBidi"/>
          <w:sz w:val="24"/>
          <w:szCs w:val="24"/>
        </w:rPr>
        <w:t xml:space="preserve">, the patients </w:t>
      </w:r>
      <w:r w:rsidR="00A922DE">
        <w:rPr>
          <w:rFonts w:asciiTheme="majorBidi" w:hAnsiTheme="majorBidi" w:cstheme="majorBidi"/>
          <w:sz w:val="24"/>
          <w:szCs w:val="24"/>
        </w:rPr>
        <w:t>were</w:t>
      </w:r>
      <w:r w:rsidR="005C54E4">
        <w:rPr>
          <w:rFonts w:asciiTheme="majorBidi" w:hAnsiTheme="majorBidi" w:cstheme="majorBidi"/>
          <w:sz w:val="24"/>
          <w:szCs w:val="24"/>
        </w:rPr>
        <w:t xml:space="preserve"> </w:t>
      </w:r>
      <w:r w:rsidRPr="00440BEA">
        <w:rPr>
          <w:rFonts w:asciiTheme="majorBidi" w:hAnsiTheme="majorBidi" w:cstheme="majorBidi"/>
          <w:sz w:val="24"/>
          <w:szCs w:val="24"/>
        </w:rPr>
        <w:t>subjected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033D8">
        <w:rPr>
          <w:rFonts w:asciiTheme="majorBidi" w:hAnsiTheme="majorBidi" w:cstheme="majorBidi"/>
          <w:sz w:val="24"/>
          <w:szCs w:val="24"/>
        </w:rPr>
        <w:t>to</w:t>
      </w:r>
      <w:r w:rsidRPr="00440BEA">
        <w:rPr>
          <w:rFonts w:asciiTheme="majorBidi" w:hAnsiTheme="majorBidi" w:cstheme="majorBidi"/>
          <w:sz w:val="24"/>
          <w:szCs w:val="24"/>
        </w:rPr>
        <w:t xml:space="preserve"> the following investigations:</w:t>
      </w:r>
      <w:bookmarkStart w:id="29" w:name="Serum_total_and_direct_bilirubin,_Serum_"/>
      <w:bookmarkEnd w:id="29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A922DE">
        <w:rPr>
          <w:rFonts w:asciiTheme="majorBidi" w:hAnsiTheme="majorBidi" w:cstheme="majorBidi"/>
          <w:sz w:val="24"/>
          <w:szCs w:val="24"/>
        </w:rPr>
        <w:t>total serum</w:t>
      </w:r>
      <w:r w:rsidRPr="00440BEA">
        <w:rPr>
          <w:rFonts w:asciiTheme="majorBidi" w:hAnsiTheme="majorBidi" w:cstheme="majorBidi"/>
          <w:sz w:val="24"/>
          <w:szCs w:val="24"/>
        </w:rPr>
        <w:t xml:space="preserve"> bilirubin,</w:t>
      </w:r>
      <w:r w:rsidR="00875FE2">
        <w:rPr>
          <w:rFonts w:asciiTheme="majorBidi" w:hAnsiTheme="majorBidi" w:cstheme="majorBidi"/>
          <w:sz w:val="24"/>
          <w:szCs w:val="24"/>
        </w:rPr>
        <w:t xml:space="preserve"> total protein,</w:t>
      </w:r>
      <w:r w:rsidRPr="00440BEA">
        <w:rPr>
          <w:rFonts w:asciiTheme="majorBidi" w:hAnsiTheme="majorBidi" w:cstheme="majorBidi"/>
          <w:sz w:val="24"/>
          <w:szCs w:val="24"/>
        </w:rPr>
        <w:t xml:space="preserve"> </w:t>
      </w:r>
      <w:r w:rsidR="005C54E4">
        <w:rPr>
          <w:rFonts w:asciiTheme="majorBidi" w:hAnsiTheme="majorBidi" w:cstheme="majorBidi"/>
          <w:sz w:val="24"/>
          <w:szCs w:val="24"/>
        </w:rPr>
        <w:t>s</w:t>
      </w:r>
      <w:r w:rsidRPr="00440BEA">
        <w:rPr>
          <w:rFonts w:asciiTheme="majorBidi" w:hAnsiTheme="majorBidi" w:cstheme="majorBidi"/>
          <w:sz w:val="24"/>
          <w:szCs w:val="24"/>
        </w:rPr>
        <w:t xml:space="preserve">erum albumin, </w:t>
      </w:r>
      <w:r w:rsidR="006F6FAF">
        <w:rPr>
          <w:rFonts w:asciiTheme="majorBidi" w:hAnsiTheme="majorBidi" w:cstheme="majorBidi"/>
          <w:sz w:val="24"/>
          <w:szCs w:val="24"/>
        </w:rPr>
        <w:t xml:space="preserve">alanine </w:t>
      </w:r>
      <w:r w:rsidRPr="00440BEA">
        <w:rPr>
          <w:rFonts w:asciiTheme="majorBidi" w:hAnsiTheme="majorBidi" w:cstheme="majorBidi"/>
          <w:sz w:val="24"/>
          <w:szCs w:val="24"/>
        </w:rPr>
        <w:t>transaminase (ALT</w:t>
      </w:r>
      <w:r w:rsidR="006F6FAF">
        <w:rPr>
          <w:rFonts w:asciiTheme="majorBidi" w:hAnsiTheme="majorBidi" w:cstheme="majorBidi"/>
          <w:sz w:val="24"/>
          <w:szCs w:val="24"/>
        </w:rPr>
        <w:t>)</w:t>
      </w:r>
      <w:r w:rsidRPr="00440BEA">
        <w:rPr>
          <w:rFonts w:asciiTheme="majorBidi" w:hAnsiTheme="majorBidi" w:cstheme="majorBidi"/>
          <w:sz w:val="24"/>
          <w:szCs w:val="24"/>
        </w:rPr>
        <w:t>,</w:t>
      </w:r>
      <w:r w:rsidR="006F6FAF">
        <w:rPr>
          <w:rFonts w:asciiTheme="majorBidi" w:hAnsiTheme="majorBidi" w:cstheme="majorBidi"/>
          <w:sz w:val="24"/>
          <w:szCs w:val="24"/>
        </w:rPr>
        <w:t xml:space="preserve"> aspartate transaminase</w:t>
      </w:r>
      <w:r w:rsidRPr="00440BEA">
        <w:rPr>
          <w:rFonts w:asciiTheme="majorBidi" w:hAnsiTheme="majorBidi" w:cstheme="majorBidi"/>
          <w:sz w:val="24"/>
          <w:szCs w:val="24"/>
        </w:rPr>
        <w:t xml:space="preserve"> </w:t>
      </w:r>
      <w:r w:rsidR="006F6FAF">
        <w:rPr>
          <w:rFonts w:asciiTheme="majorBidi" w:hAnsiTheme="majorBidi" w:cstheme="majorBidi"/>
          <w:sz w:val="24"/>
          <w:szCs w:val="24"/>
        </w:rPr>
        <w:t>(</w:t>
      </w:r>
      <w:r w:rsidRPr="00440BEA">
        <w:rPr>
          <w:rFonts w:asciiTheme="majorBidi" w:hAnsiTheme="majorBidi" w:cstheme="majorBidi"/>
          <w:sz w:val="24"/>
          <w:szCs w:val="24"/>
        </w:rPr>
        <w:t>AST), α-</w:t>
      </w:r>
      <w:r w:rsidR="00A033D8">
        <w:rPr>
          <w:rFonts w:asciiTheme="majorBidi" w:hAnsiTheme="majorBidi" w:cstheme="majorBidi"/>
          <w:sz w:val="24"/>
          <w:szCs w:val="24"/>
        </w:rPr>
        <w:t>f</w:t>
      </w:r>
      <w:r w:rsidRPr="00440BEA">
        <w:rPr>
          <w:rFonts w:asciiTheme="majorBidi" w:hAnsiTheme="majorBidi" w:cstheme="majorBidi"/>
          <w:sz w:val="24"/>
          <w:szCs w:val="24"/>
        </w:rPr>
        <w:t>etoprotein</w:t>
      </w:r>
      <w:r w:rsidR="006F6FAF">
        <w:rPr>
          <w:rFonts w:asciiTheme="majorBidi" w:hAnsiTheme="majorBidi" w:cstheme="majorBidi"/>
          <w:sz w:val="24"/>
          <w:szCs w:val="24"/>
        </w:rPr>
        <w:t xml:space="preserve"> (AFP)</w:t>
      </w:r>
      <w:r w:rsidRPr="00440BEA">
        <w:rPr>
          <w:rFonts w:asciiTheme="majorBidi" w:hAnsiTheme="majorBidi" w:cstheme="majorBidi"/>
          <w:sz w:val="24"/>
          <w:szCs w:val="24"/>
        </w:rPr>
        <w:t xml:space="preserve">, </w:t>
      </w:r>
      <w:r w:rsidR="005C54E4">
        <w:rPr>
          <w:rFonts w:asciiTheme="majorBidi" w:hAnsiTheme="majorBidi" w:cstheme="majorBidi"/>
          <w:sz w:val="24"/>
          <w:szCs w:val="24"/>
        </w:rPr>
        <w:t>p</w:t>
      </w:r>
      <w:r w:rsidRPr="00440BEA">
        <w:rPr>
          <w:rFonts w:asciiTheme="majorBidi" w:hAnsiTheme="majorBidi" w:cstheme="majorBidi"/>
          <w:sz w:val="24"/>
          <w:szCs w:val="24"/>
        </w:rPr>
        <w:t>rothrombin time</w:t>
      </w:r>
      <w:r w:rsidR="006F6FAF">
        <w:rPr>
          <w:rFonts w:asciiTheme="majorBidi" w:hAnsiTheme="majorBidi" w:cstheme="majorBidi"/>
          <w:sz w:val="24"/>
          <w:szCs w:val="24"/>
        </w:rPr>
        <w:t xml:space="preserve"> (PT)</w:t>
      </w:r>
      <w:r w:rsidRPr="00440BEA">
        <w:rPr>
          <w:rFonts w:asciiTheme="majorBidi" w:hAnsiTheme="majorBidi" w:cstheme="majorBidi"/>
          <w:sz w:val="24"/>
          <w:szCs w:val="24"/>
        </w:rPr>
        <w:t xml:space="preserve">, and </w:t>
      </w:r>
      <w:r w:rsidR="005C54E4">
        <w:rPr>
          <w:rFonts w:asciiTheme="majorBidi" w:hAnsiTheme="majorBidi" w:cstheme="majorBidi"/>
          <w:sz w:val="24"/>
          <w:szCs w:val="24"/>
        </w:rPr>
        <w:t>p</w:t>
      </w:r>
      <w:r w:rsidRPr="00440BEA">
        <w:rPr>
          <w:rFonts w:asciiTheme="majorBidi" w:hAnsiTheme="majorBidi" w:cstheme="majorBidi"/>
          <w:sz w:val="24"/>
          <w:szCs w:val="24"/>
        </w:rPr>
        <w:t>latelet count.</w:t>
      </w:r>
      <w:bookmarkStart w:id="30" w:name="HCC_was_diagnosed_by_ultrasonography,_ma"/>
      <w:bookmarkEnd w:id="30"/>
      <w:r w:rsidR="00050113">
        <w:rPr>
          <w:rFonts w:asciiTheme="majorBidi" w:hAnsiTheme="majorBidi" w:cstheme="majorBidi"/>
          <w:sz w:val="24"/>
          <w:szCs w:val="24"/>
        </w:rPr>
        <w:t xml:space="preserve"> </w:t>
      </w:r>
      <w:r w:rsidRPr="00440BEA">
        <w:rPr>
          <w:rFonts w:asciiTheme="majorBidi" w:hAnsiTheme="majorBidi" w:cstheme="majorBidi"/>
          <w:sz w:val="24"/>
          <w:szCs w:val="24"/>
        </w:rPr>
        <w:t>HCC was diagnosed by ultrasonography</w:t>
      </w:r>
      <w:r w:rsidR="00E47874" w:rsidRPr="00E47874">
        <w:rPr>
          <w:rFonts w:asciiTheme="majorBidi" w:hAnsiTheme="majorBidi" w:cstheme="majorBidi"/>
          <w:sz w:val="24"/>
          <w:szCs w:val="24"/>
        </w:rPr>
        <w:t xml:space="preserve"> </w:t>
      </w:r>
      <w:r w:rsidR="00E47874">
        <w:rPr>
          <w:rFonts w:asciiTheme="majorBidi" w:hAnsiTheme="majorBidi" w:cstheme="majorBidi"/>
          <w:sz w:val="24"/>
          <w:szCs w:val="24"/>
        </w:rPr>
        <w:t xml:space="preserve">and </w:t>
      </w:r>
      <w:r w:rsidR="00E47874" w:rsidRPr="00E47874">
        <w:rPr>
          <w:rFonts w:asciiTheme="majorBidi" w:hAnsiTheme="majorBidi" w:cstheme="majorBidi"/>
          <w:sz w:val="24"/>
          <w:szCs w:val="24"/>
        </w:rPr>
        <w:t>typical radiological</w:t>
      </w:r>
      <w:r w:rsidRPr="00440BEA">
        <w:rPr>
          <w:rFonts w:asciiTheme="majorBidi" w:hAnsiTheme="majorBidi" w:cstheme="majorBidi"/>
          <w:sz w:val="24"/>
          <w:szCs w:val="24"/>
        </w:rPr>
        <w:t xml:space="preserve"> </w:t>
      </w:r>
      <w:r w:rsidR="00E47874" w:rsidRPr="00E47874">
        <w:rPr>
          <w:rFonts w:asciiTheme="majorBidi" w:hAnsiTheme="majorBidi" w:cstheme="majorBidi"/>
          <w:sz w:val="24"/>
          <w:szCs w:val="24"/>
        </w:rPr>
        <w:t xml:space="preserve">criteria in triphasic </w:t>
      </w:r>
      <w:r w:rsidRPr="00440BEA">
        <w:rPr>
          <w:rFonts w:asciiTheme="majorBidi" w:hAnsiTheme="majorBidi" w:cstheme="majorBidi"/>
          <w:sz w:val="24"/>
          <w:szCs w:val="24"/>
        </w:rPr>
        <w:t>magnetic resonance imaging</w:t>
      </w:r>
      <w:r w:rsidR="005C54E4">
        <w:rPr>
          <w:rFonts w:asciiTheme="majorBidi" w:hAnsiTheme="majorBidi" w:cstheme="majorBidi"/>
          <w:sz w:val="24"/>
          <w:szCs w:val="24"/>
        </w:rPr>
        <w:t xml:space="preserve"> (MRI)</w:t>
      </w:r>
      <w:r w:rsidR="00A033D8">
        <w:rPr>
          <w:rFonts w:asciiTheme="majorBidi" w:hAnsiTheme="majorBidi" w:cstheme="majorBidi"/>
          <w:sz w:val="24"/>
          <w:szCs w:val="24"/>
        </w:rPr>
        <w:t xml:space="preserve"> and</w:t>
      </w:r>
      <w:r w:rsidRPr="00440BEA">
        <w:rPr>
          <w:rFonts w:asciiTheme="majorBidi" w:hAnsiTheme="majorBidi" w:cstheme="majorBidi"/>
          <w:sz w:val="24"/>
          <w:szCs w:val="24"/>
        </w:rPr>
        <w:t xml:space="preserve"> </w:t>
      </w:r>
      <w:r w:rsidR="00E47874">
        <w:rPr>
          <w:rFonts w:asciiTheme="majorBidi" w:hAnsiTheme="majorBidi" w:cstheme="majorBidi"/>
          <w:sz w:val="24"/>
          <w:szCs w:val="24"/>
        </w:rPr>
        <w:t xml:space="preserve">triphasic </w:t>
      </w:r>
      <w:r w:rsidRPr="00440BEA">
        <w:rPr>
          <w:rFonts w:asciiTheme="majorBidi" w:hAnsiTheme="majorBidi" w:cstheme="majorBidi"/>
          <w:sz w:val="24"/>
          <w:szCs w:val="24"/>
        </w:rPr>
        <w:t>computerized</w:t>
      </w:r>
      <w:r w:rsidR="00050113">
        <w:rPr>
          <w:rFonts w:asciiTheme="majorBidi" w:hAnsiTheme="majorBidi" w:cstheme="majorBidi"/>
          <w:sz w:val="24"/>
          <w:szCs w:val="24"/>
        </w:rPr>
        <w:t xml:space="preserve"> </w:t>
      </w:r>
      <w:r w:rsidRPr="00440BEA">
        <w:rPr>
          <w:rFonts w:asciiTheme="majorBidi" w:hAnsiTheme="majorBidi" w:cstheme="majorBidi"/>
          <w:sz w:val="24"/>
          <w:szCs w:val="24"/>
        </w:rPr>
        <w:t>tomography</w:t>
      </w:r>
      <w:r w:rsidR="005C54E4">
        <w:rPr>
          <w:rFonts w:asciiTheme="majorBidi" w:hAnsiTheme="majorBidi" w:cstheme="majorBidi"/>
          <w:sz w:val="24"/>
          <w:szCs w:val="24"/>
        </w:rPr>
        <w:t xml:space="preserve"> (CT)</w:t>
      </w:r>
      <w:r w:rsidRPr="00440BEA">
        <w:rPr>
          <w:rFonts w:asciiTheme="majorBidi" w:hAnsiTheme="majorBidi" w:cstheme="majorBidi"/>
          <w:sz w:val="24"/>
          <w:szCs w:val="24"/>
        </w:rPr>
        <w:t>.</w:t>
      </w:r>
      <w:r w:rsidR="00E47874">
        <w:rPr>
          <w:rFonts w:asciiTheme="majorBidi" w:hAnsiTheme="majorBidi" w:cstheme="majorBidi"/>
          <w:sz w:val="24"/>
          <w:szCs w:val="24"/>
        </w:rPr>
        <w:t xml:space="preserve"> </w:t>
      </w:r>
      <w:bookmarkStart w:id="31" w:name="Blood_sample_preparation:"/>
      <w:bookmarkEnd w:id="31"/>
    </w:p>
    <w:p w14:paraId="108E8BF5" w14:textId="13F69DBA" w:rsidR="00440BEA" w:rsidRPr="00765418" w:rsidRDefault="00440BEA" w:rsidP="002D6C9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40BEA">
        <w:rPr>
          <w:rFonts w:asciiTheme="majorBidi" w:hAnsiTheme="majorBidi" w:cstheme="majorBidi"/>
          <w:sz w:val="24"/>
          <w:szCs w:val="24"/>
        </w:rPr>
        <w:t xml:space="preserve">Ten </w:t>
      </w:r>
      <w:r w:rsidR="00E97477">
        <w:rPr>
          <w:rFonts w:asciiTheme="majorBidi" w:hAnsiTheme="majorBidi" w:cstheme="majorBidi"/>
          <w:sz w:val="24"/>
          <w:szCs w:val="24"/>
        </w:rPr>
        <w:t>millimeters</w:t>
      </w:r>
      <w:r w:rsidRPr="00440BEA">
        <w:rPr>
          <w:rFonts w:asciiTheme="majorBidi" w:hAnsiTheme="majorBidi" w:cstheme="majorBidi"/>
          <w:sz w:val="24"/>
          <w:szCs w:val="24"/>
        </w:rPr>
        <w:t xml:space="preserve"> </w:t>
      </w:r>
      <w:r w:rsidR="00A922DE">
        <w:rPr>
          <w:rFonts w:asciiTheme="majorBidi" w:hAnsiTheme="majorBidi" w:cstheme="majorBidi"/>
          <w:sz w:val="24"/>
          <w:szCs w:val="24"/>
        </w:rPr>
        <w:t xml:space="preserve">of </w:t>
      </w:r>
      <w:r w:rsidR="006F6FAF">
        <w:rPr>
          <w:rFonts w:asciiTheme="majorBidi" w:hAnsiTheme="majorBidi" w:cstheme="majorBidi"/>
          <w:sz w:val="24"/>
          <w:szCs w:val="24"/>
        </w:rPr>
        <w:t>veno</w:t>
      </w:r>
      <w:r w:rsidR="00CE76A5">
        <w:rPr>
          <w:rFonts w:asciiTheme="majorBidi" w:hAnsiTheme="majorBidi" w:cstheme="majorBidi"/>
          <w:sz w:val="24"/>
          <w:szCs w:val="24"/>
        </w:rPr>
        <w:t>us</w:t>
      </w:r>
      <w:r w:rsidRPr="00440BEA">
        <w:rPr>
          <w:rFonts w:asciiTheme="majorBidi" w:hAnsiTheme="majorBidi" w:cstheme="majorBidi"/>
          <w:sz w:val="24"/>
          <w:szCs w:val="24"/>
        </w:rPr>
        <w:t xml:space="preserve"> blood </w:t>
      </w:r>
      <w:r w:rsidR="00CE76A5">
        <w:rPr>
          <w:rFonts w:asciiTheme="majorBidi" w:hAnsiTheme="majorBidi" w:cstheme="majorBidi"/>
          <w:sz w:val="24"/>
          <w:szCs w:val="24"/>
        </w:rPr>
        <w:t>wa</w:t>
      </w:r>
      <w:r w:rsidRPr="00440BEA">
        <w:rPr>
          <w:rFonts w:asciiTheme="majorBidi" w:hAnsiTheme="majorBidi" w:cstheme="majorBidi"/>
          <w:sz w:val="24"/>
          <w:szCs w:val="24"/>
        </w:rPr>
        <w:t>s withdrawn, and genomic DNA</w:t>
      </w:r>
      <w:r w:rsidR="00050113">
        <w:rPr>
          <w:rFonts w:asciiTheme="majorBidi" w:hAnsiTheme="majorBidi" w:cstheme="majorBidi"/>
          <w:sz w:val="24"/>
          <w:szCs w:val="24"/>
        </w:rPr>
        <w:t xml:space="preserve"> </w:t>
      </w:r>
      <w:r w:rsidR="005C54E4">
        <w:rPr>
          <w:rFonts w:asciiTheme="majorBidi" w:hAnsiTheme="majorBidi" w:cstheme="majorBidi"/>
          <w:sz w:val="24"/>
          <w:szCs w:val="24"/>
        </w:rPr>
        <w:t xml:space="preserve">was </w:t>
      </w:r>
      <w:r w:rsidRPr="00440BEA">
        <w:rPr>
          <w:rFonts w:asciiTheme="majorBidi" w:hAnsiTheme="majorBidi" w:cstheme="majorBidi"/>
          <w:sz w:val="24"/>
          <w:szCs w:val="24"/>
        </w:rPr>
        <w:t xml:space="preserve">isolated </w:t>
      </w:r>
      <w:r w:rsidR="00917EAC">
        <w:rPr>
          <w:rFonts w:asciiTheme="majorBidi" w:hAnsiTheme="majorBidi" w:cstheme="majorBidi"/>
          <w:sz w:val="24"/>
          <w:szCs w:val="24"/>
        </w:rPr>
        <w:t>from</w:t>
      </w:r>
      <w:r w:rsidRPr="00440BEA">
        <w:rPr>
          <w:rFonts w:asciiTheme="majorBidi" w:hAnsiTheme="majorBidi" w:cstheme="majorBidi"/>
          <w:sz w:val="24"/>
          <w:szCs w:val="24"/>
        </w:rPr>
        <w:t xml:space="preserve"> ethylene diamine tetra-acetic acid (EDTA)</w:t>
      </w:r>
      <w:r w:rsidR="00917EAC">
        <w:rPr>
          <w:rFonts w:asciiTheme="majorBidi" w:hAnsiTheme="majorBidi" w:cstheme="majorBidi"/>
          <w:sz w:val="24"/>
          <w:szCs w:val="24"/>
        </w:rPr>
        <w:t xml:space="preserve"> collected blood</w:t>
      </w:r>
      <w:r w:rsidRPr="00440BEA">
        <w:rPr>
          <w:rFonts w:asciiTheme="majorBidi" w:hAnsiTheme="majorBidi" w:cstheme="majorBidi"/>
          <w:sz w:val="24"/>
          <w:szCs w:val="24"/>
        </w:rPr>
        <w:t xml:space="preserve"> </w:t>
      </w:r>
      <w:r w:rsidR="00CE76A5">
        <w:rPr>
          <w:rFonts w:asciiTheme="majorBidi" w:hAnsiTheme="majorBidi" w:cstheme="majorBidi"/>
          <w:sz w:val="24"/>
          <w:szCs w:val="24"/>
        </w:rPr>
        <w:t>using</w:t>
      </w:r>
      <w:r w:rsidRPr="00440BEA">
        <w:rPr>
          <w:rFonts w:asciiTheme="majorBidi" w:hAnsiTheme="majorBidi" w:cstheme="majorBidi"/>
          <w:sz w:val="24"/>
          <w:szCs w:val="24"/>
        </w:rPr>
        <w:t xml:space="preserve"> a</w:t>
      </w:r>
      <w:r w:rsidR="00050113">
        <w:rPr>
          <w:rFonts w:asciiTheme="majorBidi" w:hAnsiTheme="majorBidi" w:cstheme="majorBidi"/>
          <w:sz w:val="24"/>
          <w:szCs w:val="24"/>
        </w:rPr>
        <w:t xml:space="preserve"> </w:t>
      </w:r>
      <w:r w:rsidRPr="00440BEA">
        <w:rPr>
          <w:rFonts w:asciiTheme="majorBidi" w:hAnsiTheme="majorBidi" w:cstheme="majorBidi"/>
          <w:sz w:val="24"/>
          <w:szCs w:val="24"/>
        </w:rPr>
        <w:t xml:space="preserve">genomic DNA </w:t>
      </w:r>
      <w:r w:rsidR="00CA5681">
        <w:rPr>
          <w:rFonts w:asciiTheme="majorBidi" w:hAnsiTheme="majorBidi" w:cstheme="majorBidi"/>
          <w:sz w:val="24"/>
          <w:szCs w:val="24"/>
        </w:rPr>
        <w:t>Mini</w:t>
      </w:r>
      <w:r w:rsidRPr="00440BEA">
        <w:rPr>
          <w:rFonts w:asciiTheme="majorBidi" w:hAnsiTheme="majorBidi" w:cstheme="majorBidi"/>
          <w:sz w:val="24"/>
          <w:szCs w:val="24"/>
        </w:rPr>
        <w:t xml:space="preserve"> kit (</w:t>
      </w:r>
      <w:proofErr w:type="spellStart"/>
      <w:r w:rsidR="00CA5681">
        <w:rPr>
          <w:rFonts w:asciiTheme="majorBidi" w:hAnsiTheme="majorBidi" w:cstheme="majorBidi"/>
          <w:sz w:val="24"/>
          <w:szCs w:val="24"/>
        </w:rPr>
        <w:t>Geneaid</w:t>
      </w:r>
      <w:proofErr w:type="spellEnd"/>
      <w:r w:rsidR="00CA5681">
        <w:rPr>
          <w:rFonts w:asciiTheme="majorBidi" w:hAnsiTheme="majorBidi" w:cstheme="majorBidi"/>
          <w:sz w:val="24"/>
          <w:szCs w:val="24"/>
        </w:rPr>
        <w:t xml:space="preserve">, </w:t>
      </w:r>
      <w:r w:rsidR="00A922DE">
        <w:rPr>
          <w:rFonts w:asciiTheme="majorBidi" w:hAnsiTheme="majorBidi" w:cstheme="majorBidi"/>
          <w:sz w:val="24"/>
          <w:szCs w:val="24"/>
        </w:rPr>
        <w:t>Taiwan</w:t>
      </w:r>
      <w:r w:rsidR="00CA5681">
        <w:rPr>
          <w:rFonts w:asciiTheme="majorBidi" w:hAnsiTheme="majorBidi" w:cstheme="majorBidi"/>
          <w:sz w:val="24"/>
          <w:szCs w:val="24"/>
        </w:rPr>
        <w:t>)</w:t>
      </w:r>
      <w:r w:rsidR="00765418">
        <w:rPr>
          <w:rFonts w:asciiTheme="majorBidi" w:hAnsiTheme="majorBidi" w:cstheme="majorBidi"/>
          <w:sz w:val="24"/>
          <w:szCs w:val="24"/>
        </w:rPr>
        <w:t>.</w:t>
      </w:r>
      <w:r w:rsidR="00765418" w:rsidRPr="00765418">
        <w:t xml:space="preserve"> </w:t>
      </w:r>
      <w:r w:rsidR="00765418" w:rsidRPr="00765418">
        <w:rPr>
          <w:rFonts w:asciiTheme="majorBidi" w:hAnsiTheme="majorBidi" w:cstheme="majorBidi"/>
          <w:sz w:val="24"/>
          <w:szCs w:val="24"/>
        </w:rPr>
        <w:t xml:space="preserve">Extracted DNA </w:t>
      </w:r>
      <w:r w:rsidR="00765418">
        <w:rPr>
          <w:rFonts w:asciiTheme="majorBidi" w:hAnsiTheme="majorBidi" w:cstheme="majorBidi"/>
          <w:sz w:val="24"/>
          <w:szCs w:val="24"/>
        </w:rPr>
        <w:t xml:space="preserve">was checked for </w:t>
      </w:r>
      <w:r w:rsidR="00765418" w:rsidRPr="00765418">
        <w:rPr>
          <w:rFonts w:asciiTheme="majorBidi" w:hAnsiTheme="majorBidi" w:cstheme="majorBidi"/>
          <w:sz w:val="24"/>
          <w:szCs w:val="24"/>
        </w:rPr>
        <w:t xml:space="preserve">quality and quantity using </w:t>
      </w:r>
      <w:r w:rsidR="002D6C9F">
        <w:rPr>
          <w:rFonts w:asciiTheme="majorBidi" w:hAnsiTheme="majorBidi" w:cstheme="majorBidi"/>
          <w:sz w:val="24"/>
          <w:szCs w:val="24"/>
        </w:rPr>
        <w:t xml:space="preserve">Nanodrop </w:t>
      </w:r>
      <w:r w:rsidR="002D6C9F" w:rsidRPr="002D6C9F">
        <w:rPr>
          <w:rFonts w:asciiTheme="majorBidi" w:hAnsiTheme="majorBidi" w:cstheme="majorBidi"/>
          <w:sz w:val="24"/>
          <w:szCs w:val="24"/>
        </w:rPr>
        <w:t>spectrophotometry (ND 1000-NanoDrop®)</w:t>
      </w:r>
      <w:r w:rsidR="00765418" w:rsidRPr="00765418">
        <w:rPr>
          <w:rFonts w:asciiTheme="majorBidi" w:hAnsiTheme="majorBidi" w:cstheme="majorBidi"/>
          <w:sz w:val="24"/>
          <w:szCs w:val="24"/>
        </w:rPr>
        <w:t xml:space="preserve">. </w:t>
      </w:r>
      <w:r w:rsidR="00765418">
        <w:rPr>
          <w:rFonts w:asciiTheme="majorBidi" w:hAnsiTheme="majorBidi" w:cstheme="majorBidi"/>
          <w:sz w:val="24"/>
          <w:szCs w:val="24"/>
        </w:rPr>
        <w:t>The</w:t>
      </w:r>
      <w:r w:rsidR="00765418" w:rsidRPr="00765418">
        <w:rPr>
          <w:rFonts w:asciiTheme="majorBidi" w:hAnsiTheme="majorBidi" w:cstheme="majorBidi"/>
          <w:sz w:val="24"/>
          <w:szCs w:val="24"/>
        </w:rPr>
        <w:t xml:space="preserve"> samples were stored at </w:t>
      </w:r>
      <w:r w:rsidR="00765418">
        <w:rPr>
          <w:rFonts w:asciiTheme="majorBidi" w:hAnsiTheme="majorBidi" w:cstheme="majorBidi"/>
          <w:sz w:val="24"/>
          <w:szCs w:val="24"/>
        </w:rPr>
        <w:t xml:space="preserve">- </w:t>
      </w:r>
      <w:r w:rsidR="00765418" w:rsidRPr="00765418">
        <w:rPr>
          <w:rFonts w:asciiTheme="majorBidi" w:hAnsiTheme="majorBidi" w:cstheme="majorBidi"/>
          <w:sz w:val="24"/>
          <w:szCs w:val="24"/>
        </w:rPr>
        <w:t>20</w:t>
      </w:r>
      <w:r w:rsidR="00765418">
        <w:rPr>
          <w:rFonts w:asciiTheme="majorBidi" w:hAnsiTheme="majorBidi" w:cstheme="majorBidi"/>
          <w:sz w:val="24"/>
          <w:szCs w:val="24"/>
        </w:rPr>
        <w:t>°</w:t>
      </w:r>
      <w:r w:rsidR="00765418" w:rsidRPr="00765418">
        <w:rPr>
          <w:rFonts w:asciiTheme="majorBidi" w:hAnsiTheme="majorBidi" w:cstheme="majorBidi"/>
          <w:sz w:val="24"/>
          <w:szCs w:val="24"/>
        </w:rPr>
        <w:t>C till further analysis</w:t>
      </w:r>
      <w:r w:rsidR="00A922DE">
        <w:rPr>
          <w:rFonts w:asciiTheme="majorBidi" w:hAnsiTheme="majorBidi" w:cstheme="majorBidi"/>
          <w:sz w:val="24"/>
          <w:szCs w:val="24"/>
        </w:rPr>
        <w:t>.</w:t>
      </w:r>
    </w:p>
    <w:p w14:paraId="426DCD3F" w14:textId="34A716A5" w:rsidR="00F20C10" w:rsidRDefault="00A922DE" w:rsidP="002D6C9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32" w:name="_Hlk114994573"/>
      <w:r>
        <w:rPr>
          <w:rFonts w:asciiTheme="majorBidi" w:hAnsiTheme="majorBidi" w:cstheme="majorBidi"/>
          <w:sz w:val="24"/>
          <w:szCs w:val="24"/>
        </w:rPr>
        <w:t>The restriction</w:t>
      </w:r>
      <w:r w:rsidR="00D5384B" w:rsidRPr="00D5384B">
        <w:rPr>
          <w:rFonts w:asciiTheme="majorBidi" w:hAnsiTheme="majorBidi" w:cstheme="majorBidi"/>
          <w:sz w:val="24"/>
          <w:szCs w:val="24"/>
        </w:rPr>
        <w:t xml:space="preserve"> </w:t>
      </w:r>
      <w:r w:rsidR="002D6C9F">
        <w:rPr>
          <w:rFonts w:asciiTheme="majorBidi" w:hAnsiTheme="majorBidi" w:cstheme="majorBidi"/>
          <w:sz w:val="24"/>
          <w:szCs w:val="24"/>
        </w:rPr>
        <w:t>f</w:t>
      </w:r>
      <w:r w:rsidR="00D5384B" w:rsidRPr="00D5384B">
        <w:rPr>
          <w:rFonts w:asciiTheme="majorBidi" w:hAnsiTheme="majorBidi" w:cstheme="majorBidi"/>
          <w:sz w:val="24"/>
          <w:szCs w:val="24"/>
        </w:rPr>
        <w:t xml:space="preserve">ragment </w:t>
      </w:r>
      <w:r w:rsidR="002D6C9F">
        <w:rPr>
          <w:rFonts w:asciiTheme="majorBidi" w:hAnsiTheme="majorBidi" w:cstheme="majorBidi"/>
          <w:sz w:val="24"/>
          <w:szCs w:val="24"/>
        </w:rPr>
        <w:t>l</w:t>
      </w:r>
      <w:r w:rsidR="00D5384B" w:rsidRPr="00D5384B">
        <w:rPr>
          <w:rFonts w:asciiTheme="majorBidi" w:hAnsiTheme="majorBidi" w:cstheme="majorBidi"/>
          <w:sz w:val="24"/>
          <w:szCs w:val="24"/>
        </w:rPr>
        <w:t xml:space="preserve">ength </w:t>
      </w:r>
      <w:r w:rsidR="002D6C9F">
        <w:rPr>
          <w:rFonts w:asciiTheme="majorBidi" w:hAnsiTheme="majorBidi" w:cstheme="majorBidi"/>
          <w:sz w:val="24"/>
          <w:szCs w:val="24"/>
        </w:rPr>
        <w:t>p</w:t>
      </w:r>
      <w:r w:rsidR="00D5384B" w:rsidRPr="00D5384B">
        <w:rPr>
          <w:rFonts w:asciiTheme="majorBidi" w:hAnsiTheme="majorBidi" w:cstheme="majorBidi"/>
          <w:sz w:val="24"/>
          <w:szCs w:val="24"/>
        </w:rPr>
        <w:t>olymorphism</w:t>
      </w:r>
      <w:r w:rsidR="002D6C9F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>polymerase</w:t>
      </w:r>
      <w:r w:rsidR="002D6C9F">
        <w:rPr>
          <w:rFonts w:asciiTheme="majorBidi" w:hAnsiTheme="majorBidi" w:cstheme="majorBidi"/>
          <w:sz w:val="24"/>
          <w:szCs w:val="24"/>
        </w:rPr>
        <w:t xml:space="preserve"> chain reaction</w:t>
      </w:r>
      <w:r w:rsidR="00D5384B">
        <w:rPr>
          <w:rFonts w:asciiTheme="majorBidi" w:hAnsiTheme="majorBidi" w:cstheme="majorBidi"/>
          <w:sz w:val="24"/>
          <w:szCs w:val="24"/>
        </w:rPr>
        <w:t xml:space="preserve"> </w:t>
      </w:r>
      <w:r w:rsidR="00D5384B" w:rsidRPr="00D5384B">
        <w:rPr>
          <w:rFonts w:asciiTheme="majorBidi" w:hAnsiTheme="majorBidi" w:cstheme="majorBidi"/>
          <w:sz w:val="24"/>
          <w:szCs w:val="24"/>
        </w:rPr>
        <w:t>(RFLP</w:t>
      </w:r>
      <w:r w:rsidR="002D6C9F">
        <w:rPr>
          <w:rFonts w:asciiTheme="majorBidi" w:hAnsiTheme="majorBidi" w:cstheme="majorBidi"/>
          <w:sz w:val="24"/>
          <w:szCs w:val="24"/>
        </w:rPr>
        <w:t>-PCR)</w:t>
      </w:r>
      <w:r w:rsidR="00D5384B" w:rsidRPr="00D5384B">
        <w:rPr>
          <w:rFonts w:asciiTheme="majorBidi" w:hAnsiTheme="majorBidi" w:cstheme="majorBidi"/>
          <w:sz w:val="24"/>
          <w:szCs w:val="24"/>
        </w:rPr>
        <w:t xml:space="preserve"> method was used </w:t>
      </w:r>
      <w:r>
        <w:rPr>
          <w:rFonts w:asciiTheme="majorBidi" w:hAnsiTheme="majorBidi" w:cstheme="majorBidi"/>
          <w:sz w:val="24"/>
          <w:szCs w:val="24"/>
        </w:rPr>
        <w:t>to investigate</w:t>
      </w:r>
      <w:r w:rsidR="00D5384B" w:rsidRPr="00D5384B">
        <w:rPr>
          <w:rFonts w:asciiTheme="majorBidi" w:hAnsiTheme="majorBidi" w:cstheme="majorBidi"/>
          <w:sz w:val="24"/>
          <w:szCs w:val="24"/>
        </w:rPr>
        <w:t xml:space="preserve"> </w:t>
      </w:r>
      <w:r w:rsidR="002D6C9F">
        <w:rPr>
          <w:rFonts w:asciiTheme="majorBidi" w:hAnsiTheme="majorBidi" w:cstheme="majorBidi"/>
          <w:sz w:val="24"/>
          <w:szCs w:val="24"/>
        </w:rPr>
        <w:t xml:space="preserve">the </w:t>
      </w:r>
      <w:r w:rsidR="00D5384B" w:rsidRPr="00D5384B">
        <w:rPr>
          <w:rFonts w:asciiTheme="majorBidi" w:hAnsiTheme="majorBidi" w:cstheme="majorBidi"/>
          <w:sz w:val="24"/>
          <w:szCs w:val="24"/>
        </w:rPr>
        <w:t>polymorphism</w:t>
      </w:r>
      <w:r w:rsidR="00D5384B">
        <w:rPr>
          <w:rFonts w:asciiTheme="majorBidi" w:hAnsiTheme="majorBidi" w:cstheme="majorBidi"/>
          <w:sz w:val="24"/>
          <w:szCs w:val="24"/>
        </w:rPr>
        <w:t xml:space="preserve"> in</w:t>
      </w:r>
      <w:r w:rsidR="00D5384B" w:rsidRPr="00D5384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r w:rsidR="00D5384B" w:rsidRPr="00D5384B">
        <w:rPr>
          <w:rFonts w:asciiTheme="majorBidi" w:hAnsiTheme="majorBidi" w:cstheme="majorBidi"/>
          <w:i/>
          <w:iCs/>
          <w:sz w:val="24"/>
          <w:szCs w:val="24"/>
        </w:rPr>
        <w:t>IL-23R</w:t>
      </w:r>
      <w:r w:rsidR="00D5384B" w:rsidRPr="00D5384B">
        <w:rPr>
          <w:rFonts w:asciiTheme="majorBidi" w:hAnsiTheme="majorBidi" w:cstheme="majorBidi"/>
          <w:sz w:val="24"/>
          <w:szCs w:val="24"/>
        </w:rPr>
        <w:t xml:space="preserve"> gen</w:t>
      </w:r>
      <w:bookmarkEnd w:id="32"/>
      <w:r w:rsidR="00D5384B" w:rsidRPr="00D5384B">
        <w:rPr>
          <w:rFonts w:asciiTheme="majorBidi" w:hAnsiTheme="majorBidi" w:cstheme="majorBidi"/>
          <w:sz w:val="24"/>
          <w:szCs w:val="24"/>
        </w:rPr>
        <w:t>e</w:t>
      </w:r>
      <w:r w:rsidR="003204B1" w:rsidRPr="003204B1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="003204B1" w:rsidRPr="003204B1">
        <w:rPr>
          <w:rFonts w:asciiTheme="majorBidi" w:hAnsiTheme="majorBidi" w:cstheme="majorBidi"/>
          <w:sz w:val="24"/>
          <w:szCs w:val="24"/>
        </w:rPr>
        <w:t>(</w:t>
      </w:r>
      <w:bookmarkStart w:id="33" w:name="_Hlk115042101"/>
      <w:r w:rsidR="003204B1" w:rsidRPr="008207E2">
        <w:rPr>
          <w:rFonts w:asciiTheme="majorBidi" w:hAnsiTheme="majorBidi" w:cstheme="majorBidi"/>
          <w:sz w:val="24"/>
          <w:szCs w:val="24"/>
        </w:rPr>
        <w:t>rs10889677</w:t>
      </w:r>
      <w:bookmarkEnd w:id="33"/>
      <w:r w:rsidR="003204B1" w:rsidRPr="003204B1">
        <w:rPr>
          <w:rFonts w:asciiTheme="majorBidi" w:hAnsiTheme="majorBidi" w:cstheme="majorBidi"/>
          <w:sz w:val="24"/>
          <w:szCs w:val="24"/>
        </w:rPr>
        <w:t>)</w:t>
      </w:r>
      <w:r w:rsidR="00D5384B">
        <w:rPr>
          <w:rFonts w:asciiTheme="majorBidi" w:hAnsiTheme="majorBidi" w:cstheme="majorBidi"/>
          <w:sz w:val="24"/>
          <w:szCs w:val="24"/>
        </w:rPr>
        <w:t>.</w:t>
      </w:r>
      <w:bookmarkEnd w:id="27"/>
      <w:r w:rsidR="003204B1">
        <w:rPr>
          <w:rFonts w:asciiTheme="majorBidi" w:hAnsiTheme="majorBidi" w:cstheme="majorBidi"/>
          <w:sz w:val="24"/>
          <w:szCs w:val="24"/>
        </w:rPr>
        <w:t xml:space="preserve"> </w:t>
      </w:r>
      <w:r w:rsidR="002D6C9F" w:rsidRPr="008207E2">
        <w:rPr>
          <w:rFonts w:asciiTheme="majorBidi" w:hAnsiTheme="majorBidi" w:cstheme="majorBidi"/>
          <w:sz w:val="24"/>
          <w:szCs w:val="24"/>
        </w:rPr>
        <w:t>We</w:t>
      </w:r>
      <w:r w:rsidR="001A0280" w:rsidRPr="008207E2">
        <w:rPr>
          <w:rFonts w:asciiTheme="majorBidi" w:hAnsiTheme="majorBidi" w:cstheme="majorBidi"/>
          <w:sz w:val="24"/>
          <w:szCs w:val="24"/>
        </w:rPr>
        <w:t xml:space="preserve"> used</w:t>
      </w:r>
      <w:r w:rsidR="003204B1" w:rsidRPr="008207E2">
        <w:rPr>
          <w:rFonts w:asciiTheme="majorBidi" w:hAnsiTheme="majorBidi" w:cstheme="majorBidi"/>
          <w:sz w:val="24"/>
          <w:szCs w:val="24"/>
        </w:rPr>
        <w:t xml:space="preserve"> </w:t>
      </w:r>
      <w:r w:rsidR="005429FF" w:rsidRPr="008207E2">
        <w:rPr>
          <w:rFonts w:asciiTheme="majorBidi" w:hAnsiTheme="majorBidi" w:cstheme="majorBidi"/>
          <w:sz w:val="24"/>
          <w:szCs w:val="24"/>
        </w:rPr>
        <w:t>forward primer 5′-</w:t>
      </w:r>
      <w:r w:rsidR="003204B1" w:rsidRPr="008207E2">
        <w:rPr>
          <w:rFonts w:asciiTheme="majorBidi" w:hAnsiTheme="majorBidi" w:cstheme="majorBidi"/>
          <w:sz w:val="24"/>
          <w:szCs w:val="24"/>
        </w:rPr>
        <w:t>ATCGTGAATGAGGAGTTGCC</w:t>
      </w:r>
      <w:r w:rsidR="005429FF" w:rsidRPr="008207E2">
        <w:rPr>
          <w:rFonts w:asciiTheme="majorBidi" w:hAnsiTheme="majorBidi" w:cstheme="majorBidi"/>
          <w:sz w:val="24"/>
          <w:szCs w:val="24"/>
        </w:rPr>
        <w:t xml:space="preserve"> -3′ and reverse primer 5′-</w:t>
      </w:r>
      <w:r w:rsidR="001A0280" w:rsidRPr="008207E2">
        <w:rPr>
          <w:rFonts w:asciiTheme="majorBidi" w:hAnsiTheme="majorBidi" w:cstheme="majorBidi"/>
          <w:sz w:val="24"/>
          <w:szCs w:val="24"/>
        </w:rPr>
        <w:t xml:space="preserve"> TGTGCCTGTATGTGTGACCA</w:t>
      </w:r>
      <w:r w:rsidR="005429FF" w:rsidRPr="008207E2">
        <w:rPr>
          <w:rFonts w:asciiTheme="majorBidi" w:hAnsiTheme="majorBidi" w:cstheme="majorBidi"/>
          <w:sz w:val="24"/>
          <w:szCs w:val="24"/>
        </w:rPr>
        <w:t xml:space="preserve"> -3′</w:t>
      </w:r>
      <w:r w:rsidR="002D6C9F" w:rsidRPr="008207E2">
        <w:rPr>
          <w:rFonts w:asciiTheme="majorBidi" w:hAnsiTheme="majorBidi" w:cstheme="majorBidi"/>
          <w:sz w:val="24"/>
          <w:szCs w:val="24"/>
        </w:rPr>
        <w:t xml:space="preserve">. </w:t>
      </w:r>
      <w:r w:rsidR="00AE73AB" w:rsidRPr="008207E2">
        <w:rPr>
          <w:rFonts w:asciiTheme="majorBidi" w:hAnsiTheme="majorBidi" w:cstheme="majorBidi"/>
          <w:sz w:val="24"/>
          <w:szCs w:val="24"/>
        </w:rPr>
        <w:t>The PCR cycling conditions were 5 minutes at 94°C followed by 35 cycles of 1 minute at 94°C, 1 minute at 65°C, and 2 minutes at 72°C, with a final step at 72°C for 20 minutes. A 10-μL PCR product was digest</w:t>
      </w:r>
      <w:r w:rsidR="002D6C9F" w:rsidRPr="008207E2">
        <w:rPr>
          <w:rFonts w:asciiTheme="majorBidi" w:hAnsiTheme="majorBidi" w:cstheme="majorBidi"/>
          <w:sz w:val="24"/>
          <w:szCs w:val="24"/>
        </w:rPr>
        <w:t>ed</w:t>
      </w:r>
      <w:r w:rsidR="00AE73AB" w:rsidRPr="008207E2">
        <w:rPr>
          <w:rFonts w:asciiTheme="majorBidi" w:hAnsiTheme="majorBidi" w:cstheme="majorBidi"/>
          <w:sz w:val="24"/>
          <w:szCs w:val="24"/>
        </w:rPr>
        <w:t xml:space="preserve"> at 37°C for 4 hours in a 15-μL reaction containing 5 U of </w:t>
      </w:r>
      <w:proofErr w:type="spellStart"/>
      <w:r w:rsidR="00AE73AB" w:rsidRPr="008207E2">
        <w:rPr>
          <w:rFonts w:asciiTheme="majorBidi" w:hAnsiTheme="majorBidi" w:cstheme="majorBidi"/>
          <w:sz w:val="24"/>
          <w:szCs w:val="24"/>
        </w:rPr>
        <w:t>MnlI</w:t>
      </w:r>
      <w:proofErr w:type="spellEnd"/>
      <w:r w:rsidR="00AE73AB" w:rsidRPr="008207E2">
        <w:rPr>
          <w:rFonts w:asciiTheme="majorBidi" w:hAnsiTheme="majorBidi" w:cstheme="majorBidi"/>
          <w:sz w:val="24"/>
          <w:szCs w:val="24"/>
        </w:rPr>
        <w:t xml:space="preserve"> (New England Biolabs, Beverly, MA). Digested products were separated on a 2.5% agarose gel stained with ethidium bromide.</w:t>
      </w:r>
      <w:r w:rsidR="00DD0048" w:rsidRPr="008207E2">
        <w:rPr>
          <w:rFonts w:asciiTheme="majorBidi" w:hAnsiTheme="majorBidi" w:cstheme="majorBidi"/>
          <w:sz w:val="24"/>
          <w:szCs w:val="24"/>
        </w:rPr>
        <w:t xml:space="preserve"> The detected genotypes were</w:t>
      </w:r>
      <w:r w:rsidR="00765418" w:rsidRPr="00D5384B">
        <w:rPr>
          <w:rFonts w:asciiTheme="majorBidi" w:hAnsiTheme="majorBidi" w:cstheme="majorBidi"/>
          <w:sz w:val="24"/>
          <w:szCs w:val="24"/>
        </w:rPr>
        <w:t xml:space="preserve"> </w:t>
      </w:r>
      <w:bookmarkStart w:id="34" w:name="2.4.2._DNA_extraction:"/>
      <w:bookmarkEnd w:id="34"/>
      <w:r w:rsidR="001A0280" w:rsidRPr="008207E2">
        <w:rPr>
          <w:rFonts w:asciiTheme="majorBidi" w:hAnsiTheme="majorBidi" w:cstheme="majorBidi"/>
          <w:sz w:val="24"/>
          <w:szCs w:val="24"/>
        </w:rPr>
        <w:t xml:space="preserve">AA (286, 185bp), AC (286, 225, 185, 61bp), </w:t>
      </w:r>
      <w:r w:rsidR="00864653" w:rsidRPr="008207E2">
        <w:rPr>
          <w:rFonts w:asciiTheme="majorBidi" w:hAnsiTheme="majorBidi" w:cstheme="majorBidi"/>
          <w:sz w:val="24"/>
          <w:szCs w:val="24"/>
        </w:rPr>
        <w:t xml:space="preserve">and </w:t>
      </w:r>
      <w:r w:rsidR="001A0280" w:rsidRPr="008207E2">
        <w:rPr>
          <w:rFonts w:asciiTheme="majorBidi" w:hAnsiTheme="majorBidi" w:cstheme="majorBidi"/>
          <w:sz w:val="24"/>
          <w:szCs w:val="24"/>
        </w:rPr>
        <w:t>CC (225, 185, 61bp)</w:t>
      </w:r>
      <w:r w:rsidR="008F0C17" w:rsidRPr="008207E2">
        <w:rPr>
          <w:rFonts w:asciiTheme="majorBidi" w:hAnsiTheme="majorBidi" w:cstheme="majorBidi"/>
          <w:sz w:val="24"/>
          <w:szCs w:val="24"/>
        </w:rPr>
        <w:t xml:space="preserve"> [14]</w:t>
      </w:r>
      <w:r w:rsidR="00DD0048" w:rsidRPr="008207E2">
        <w:rPr>
          <w:rFonts w:asciiTheme="majorBidi" w:hAnsiTheme="majorBidi" w:cstheme="majorBidi"/>
          <w:sz w:val="24"/>
          <w:szCs w:val="24"/>
        </w:rPr>
        <w:t>.</w:t>
      </w:r>
    </w:p>
    <w:p w14:paraId="38FC764C" w14:textId="77777777" w:rsidR="00864653" w:rsidRDefault="00864653" w:rsidP="00AB08CD">
      <w:pPr>
        <w:spacing w:after="200" w:line="360" w:lineRule="auto"/>
        <w:ind w:left="4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658B8D" w14:textId="600B9FC0" w:rsidR="00AB08CD" w:rsidRPr="00AB08CD" w:rsidRDefault="00AB08CD" w:rsidP="00AB08CD">
      <w:pPr>
        <w:spacing w:after="200" w:line="360" w:lineRule="auto"/>
        <w:ind w:left="4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08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Statistical analysis: </w:t>
      </w:r>
    </w:p>
    <w:p w14:paraId="00A747CA" w14:textId="4997253F" w:rsidR="00AB08CD" w:rsidRPr="00AB08CD" w:rsidRDefault="00AB08CD" w:rsidP="00AB08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8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</w:t>
      </w:r>
      <w:bookmarkStart w:id="35" w:name="_Hlk79691842"/>
      <w:r w:rsidRPr="00AB08CD">
        <w:rPr>
          <w:rFonts w:ascii="Times New Roman" w:eastAsia="Times New Roman" w:hAnsi="Times New Roman" w:cs="Times New Roman"/>
          <w:sz w:val="24"/>
          <w:szCs w:val="24"/>
        </w:rPr>
        <w:t>The sample size was calculated using Epi Info program 6 (Atlanta, Georgia, USA).</w:t>
      </w:r>
      <w:bookmarkEnd w:id="35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8CD">
        <w:rPr>
          <w:rFonts w:ascii="Times New Roman" w:eastAsia="Times New Roman" w:hAnsi="Times New Roman" w:cs="Times New Roman"/>
          <w:sz w:val="24"/>
          <w:szCs w:val="24"/>
        </w:rPr>
        <w:t xml:space="preserve">The statistical package SPSS Version 20 inc. (Chicago, USA) was used to analyze </w:t>
      </w:r>
      <w:r w:rsidR="00A922D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AB08CD">
        <w:rPr>
          <w:rFonts w:ascii="Times New Roman" w:eastAsia="Times New Roman" w:hAnsi="Times New Roman" w:cs="Times New Roman"/>
          <w:sz w:val="24"/>
          <w:szCs w:val="24"/>
        </w:rPr>
        <w:t>collected data. Quantitative data were represented as mean</w:t>
      </w:r>
      <w:r w:rsidR="00864653">
        <w:rPr>
          <w:rFonts w:ascii="Times New Roman" w:eastAsia="Times New Roman" w:hAnsi="Times New Roman" w:cs="Times New Roman"/>
          <w:sz w:val="24"/>
          <w:szCs w:val="24"/>
        </w:rPr>
        <w:t xml:space="preserve">± </w:t>
      </w:r>
      <w:r w:rsidRPr="00AB08CD">
        <w:rPr>
          <w:rFonts w:ascii="Times New Roman" w:eastAsia="Times New Roman" w:hAnsi="Times New Roman" w:cs="Times New Roman"/>
          <w:sz w:val="24"/>
          <w:szCs w:val="24"/>
        </w:rPr>
        <w:t xml:space="preserve">standard deviation. The Chi-square test (χ2) was used to compare proportions as appropriate. T-test was used </w:t>
      </w:r>
      <w:r w:rsidR="00A922DE">
        <w:rPr>
          <w:rFonts w:ascii="Times New Roman" w:eastAsia="Times New Roman" w:hAnsi="Times New Roman" w:cs="Times New Roman"/>
          <w:sz w:val="24"/>
          <w:szCs w:val="24"/>
        </w:rPr>
        <w:t>to detect</w:t>
      </w:r>
      <w:r w:rsidRPr="00AB08CD">
        <w:rPr>
          <w:rFonts w:ascii="Times New Roman" w:eastAsia="Times New Roman" w:hAnsi="Times New Roman" w:cs="Times New Roman"/>
          <w:sz w:val="24"/>
          <w:szCs w:val="24"/>
        </w:rPr>
        <w:t xml:space="preserve"> the difference between two groups and one-way ANOVA for multigroup comparisons. A </w:t>
      </w:r>
      <w:r w:rsidRPr="00AB08CD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AB08CD">
        <w:rPr>
          <w:rFonts w:ascii="Times New Roman" w:eastAsia="Times New Roman" w:hAnsi="Times New Roman" w:cs="Times New Roman"/>
          <w:sz w:val="24"/>
          <w:szCs w:val="24"/>
        </w:rPr>
        <w:t xml:space="preserve"> Value &lt; 0.05 was considered statistically significant at a 95% confidence interval. </w:t>
      </w:r>
    </w:p>
    <w:p w14:paraId="169164E5" w14:textId="77777777" w:rsidR="00AB08CD" w:rsidRDefault="00AB08CD" w:rsidP="00F20C10">
      <w:pPr>
        <w:spacing w:line="360" w:lineRule="auto"/>
        <w:jc w:val="both"/>
        <w:rPr>
          <w:rFonts w:asciiTheme="majorBidi" w:hAnsiTheme="majorBidi" w:cstheme="majorBidi"/>
          <w:b/>
          <w:iCs/>
          <w:sz w:val="24"/>
          <w:szCs w:val="24"/>
        </w:rPr>
      </w:pPr>
    </w:p>
    <w:p w14:paraId="0C16CDA2" w14:textId="284267B5" w:rsidR="00F20C10" w:rsidRPr="00F20C10" w:rsidRDefault="00F20C10" w:rsidP="00F20C10">
      <w:pPr>
        <w:spacing w:line="360" w:lineRule="auto"/>
        <w:jc w:val="both"/>
        <w:rPr>
          <w:rFonts w:asciiTheme="majorBidi" w:hAnsiTheme="majorBidi" w:cstheme="majorBidi"/>
          <w:b/>
          <w:iCs/>
          <w:sz w:val="24"/>
          <w:szCs w:val="24"/>
        </w:rPr>
      </w:pPr>
      <w:r w:rsidRPr="00F20C10">
        <w:rPr>
          <w:rFonts w:asciiTheme="majorBidi" w:hAnsiTheme="majorBidi" w:cstheme="majorBidi"/>
          <w:b/>
          <w:iCs/>
          <w:sz w:val="24"/>
          <w:szCs w:val="24"/>
        </w:rPr>
        <w:t>Results</w:t>
      </w:r>
    </w:p>
    <w:p w14:paraId="53C4B912" w14:textId="21663EA2" w:rsidR="00F20C10" w:rsidRPr="000E4086" w:rsidRDefault="00F20C10" w:rsidP="00CB5CEE">
      <w:pPr>
        <w:spacing w:line="360" w:lineRule="auto"/>
        <w:jc w:val="both"/>
        <w:rPr>
          <w:rFonts w:asciiTheme="majorBidi" w:hAnsiTheme="majorBidi" w:cstheme="majorBidi"/>
          <w:bCs/>
          <w:iCs/>
        </w:rPr>
      </w:pPr>
      <w:r w:rsidRPr="00F20C10">
        <w:rPr>
          <w:rFonts w:asciiTheme="majorBidi" w:hAnsiTheme="majorBidi" w:cstheme="majorBidi"/>
          <w:bCs/>
          <w:iCs/>
          <w:sz w:val="24"/>
          <w:szCs w:val="24"/>
        </w:rPr>
        <w:t xml:space="preserve">There were no significant </w:t>
      </w:r>
      <w:r>
        <w:rPr>
          <w:rFonts w:asciiTheme="majorBidi" w:hAnsiTheme="majorBidi" w:cstheme="majorBidi"/>
          <w:bCs/>
          <w:iCs/>
          <w:sz w:val="24"/>
          <w:szCs w:val="24"/>
        </w:rPr>
        <w:t>difference</w:t>
      </w:r>
      <w:r w:rsidR="00CB5CEE">
        <w:rPr>
          <w:rFonts w:asciiTheme="majorBidi" w:hAnsiTheme="majorBidi" w:cstheme="majorBidi"/>
          <w:bCs/>
          <w:iCs/>
          <w:sz w:val="24"/>
          <w:szCs w:val="24"/>
        </w:rPr>
        <w:t>s</w:t>
      </w:r>
      <w:r w:rsidRPr="00F20C10">
        <w:rPr>
          <w:rFonts w:asciiTheme="majorBidi" w:hAnsiTheme="majorBidi" w:cstheme="majorBidi"/>
          <w:bCs/>
          <w:iCs/>
          <w:sz w:val="24"/>
          <w:szCs w:val="24"/>
        </w:rPr>
        <w:t xml:space="preserve"> in age,</w:t>
      </w:r>
      <w:r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F20C10">
        <w:rPr>
          <w:rFonts w:asciiTheme="majorBidi" w:hAnsiTheme="majorBidi" w:cstheme="majorBidi"/>
          <w:bCs/>
          <w:iCs/>
          <w:sz w:val="24"/>
          <w:szCs w:val="24"/>
        </w:rPr>
        <w:t>sex, or mean age</w:t>
      </w:r>
      <w:r w:rsidR="00864653">
        <w:rPr>
          <w:rFonts w:asciiTheme="majorBidi" w:hAnsiTheme="majorBidi" w:cstheme="majorBidi"/>
          <w:bCs/>
          <w:iCs/>
          <w:sz w:val="24"/>
          <w:szCs w:val="24"/>
        </w:rPr>
        <w:t xml:space="preserve"> at 1</w:t>
      </w:r>
      <w:r w:rsidR="00864653" w:rsidRPr="00864653">
        <w:rPr>
          <w:rFonts w:asciiTheme="majorBidi" w:hAnsiTheme="majorBidi" w:cstheme="majorBidi"/>
          <w:bCs/>
          <w:iCs/>
          <w:sz w:val="24"/>
          <w:szCs w:val="24"/>
          <w:vertAlign w:val="superscript"/>
        </w:rPr>
        <w:t>st</w:t>
      </w:r>
      <w:r w:rsidR="00864653">
        <w:rPr>
          <w:rFonts w:asciiTheme="majorBidi" w:hAnsiTheme="majorBidi" w:cstheme="majorBidi"/>
          <w:bCs/>
          <w:iCs/>
          <w:sz w:val="24"/>
          <w:szCs w:val="24"/>
        </w:rPr>
        <w:t xml:space="preserve"> HCV diagnosis</w:t>
      </w:r>
      <w:r w:rsidRPr="00F20C10">
        <w:rPr>
          <w:rFonts w:asciiTheme="majorBidi" w:hAnsiTheme="majorBidi" w:cstheme="majorBidi"/>
          <w:bCs/>
          <w:iCs/>
          <w:sz w:val="24"/>
          <w:szCs w:val="24"/>
        </w:rPr>
        <w:t xml:space="preserve"> between the examined groups. Compared to the control group,</w:t>
      </w:r>
      <w:bookmarkStart w:id="36" w:name="the_patient_groups_demonstrated_signific"/>
      <w:bookmarkEnd w:id="36"/>
      <w:r w:rsidR="00CB5CEE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F20C10">
        <w:rPr>
          <w:rFonts w:asciiTheme="majorBidi" w:hAnsiTheme="majorBidi" w:cstheme="majorBidi"/>
          <w:bCs/>
          <w:iCs/>
          <w:sz w:val="24"/>
          <w:szCs w:val="24"/>
        </w:rPr>
        <w:t xml:space="preserve">the patient groups demonstrated 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>substantial</w:t>
      </w:r>
      <w:r w:rsidRPr="00F20C10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875FE2">
        <w:rPr>
          <w:rFonts w:asciiTheme="majorBidi" w:hAnsiTheme="majorBidi" w:cstheme="majorBidi"/>
          <w:bCs/>
          <w:iCs/>
          <w:sz w:val="24"/>
          <w:szCs w:val="24"/>
        </w:rPr>
        <w:t>elevations</w:t>
      </w:r>
      <w:r w:rsidRPr="00F20C10">
        <w:rPr>
          <w:rFonts w:asciiTheme="majorBidi" w:hAnsiTheme="majorBidi" w:cstheme="majorBidi"/>
          <w:bCs/>
          <w:iCs/>
          <w:sz w:val="24"/>
          <w:szCs w:val="24"/>
        </w:rPr>
        <w:t xml:space="preserve"> in</w:t>
      </w:r>
      <w:r w:rsidR="00875FE2">
        <w:rPr>
          <w:rFonts w:asciiTheme="majorBidi" w:hAnsiTheme="majorBidi" w:cstheme="majorBidi"/>
          <w:bCs/>
          <w:iCs/>
          <w:sz w:val="24"/>
          <w:szCs w:val="24"/>
        </w:rPr>
        <w:t xml:space="preserve"> total bilirubin, ALT, AST, ALP, GGT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>,</w:t>
      </w:r>
      <w:r w:rsidR="00875FE2">
        <w:rPr>
          <w:rFonts w:asciiTheme="majorBidi" w:hAnsiTheme="majorBidi" w:cstheme="majorBidi"/>
          <w:bCs/>
          <w:iCs/>
          <w:sz w:val="24"/>
          <w:szCs w:val="24"/>
        </w:rPr>
        <w:t xml:space="preserve"> and AFP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>. In contrast,</w:t>
      </w:r>
      <w:r w:rsidR="007C29F3">
        <w:rPr>
          <w:rFonts w:asciiTheme="majorBidi" w:hAnsiTheme="majorBidi" w:cstheme="majorBidi"/>
          <w:bCs/>
          <w:iCs/>
          <w:sz w:val="24"/>
          <w:szCs w:val="24"/>
        </w:rPr>
        <w:t xml:space="preserve"> they 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>showed</w:t>
      </w:r>
      <w:r w:rsidR="007C29F3">
        <w:rPr>
          <w:rFonts w:asciiTheme="majorBidi" w:hAnsiTheme="majorBidi" w:cstheme="majorBidi"/>
          <w:bCs/>
          <w:iCs/>
          <w:sz w:val="24"/>
          <w:szCs w:val="24"/>
        </w:rPr>
        <w:t xml:space="preserve"> significant declines in protein and serum albumin. </w:t>
      </w:r>
      <w:r w:rsidR="007C29F3" w:rsidRPr="00F20C10">
        <w:rPr>
          <w:rFonts w:asciiTheme="majorBidi" w:hAnsiTheme="majorBidi" w:cstheme="majorBidi"/>
          <w:bCs/>
          <w:iCs/>
          <w:sz w:val="24"/>
          <w:szCs w:val="24"/>
        </w:rPr>
        <w:t>C</w:t>
      </w:r>
      <w:r w:rsidRPr="00F20C10">
        <w:rPr>
          <w:rFonts w:asciiTheme="majorBidi" w:hAnsiTheme="majorBidi" w:cstheme="majorBidi"/>
          <w:bCs/>
          <w:iCs/>
          <w:sz w:val="24"/>
          <w:szCs w:val="24"/>
        </w:rPr>
        <w:t>omparing</w:t>
      </w:r>
      <w:r w:rsidR="007C29F3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F20C10">
        <w:rPr>
          <w:rFonts w:asciiTheme="majorBidi" w:hAnsiTheme="majorBidi" w:cstheme="majorBidi"/>
          <w:bCs/>
          <w:iCs/>
          <w:sz w:val="24"/>
          <w:szCs w:val="24"/>
        </w:rPr>
        <w:t xml:space="preserve">HCV cases with and without HCC, there were 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>substantial</w:t>
      </w:r>
      <w:r w:rsidRPr="00F20C10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CB5CEE">
        <w:rPr>
          <w:rFonts w:asciiTheme="majorBidi" w:hAnsiTheme="majorBidi" w:cstheme="majorBidi"/>
          <w:bCs/>
          <w:iCs/>
          <w:sz w:val="24"/>
          <w:szCs w:val="24"/>
        </w:rPr>
        <w:t>difference</w:t>
      </w:r>
      <w:r w:rsidRPr="00F20C10">
        <w:rPr>
          <w:rFonts w:asciiTheme="majorBidi" w:hAnsiTheme="majorBidi" w:cstheme="majorBidi"/>
          <w:bCs/>
          <w:iCs/>
          <w:sz w:val="24"/>
          <w:szCs w:val="24"/>
        </w:rPr>
        <w:t xml:space="preserve">s in </w:t>
      </w:r>
      <w:r w:rsidR="007C29F3">
        <w:rPr>
          <w:rFonts w:asciiTheme="majorBidi" w:hAnsiTheme="majorBidi" w:cstheme="majorBidi"/>
          <w:bCs/>
          <w:iCs/>
          <w:sz w:val="24"/>
          <w:szCs w:val="24"/>
        </w:rPr>
        <w:t xml:space="preserve">protein, </w:t>
      </w:r>
      <w:r w:rsidR="00CB5CEE">
        <w:rPr>
          <w:rFonts w:asciiTheme="majorBidi" w:hAnsiTheme="majorBidi" w:cstheme="majorBidi"/>
          <w:bCs/>
          <w:iCs/>
          <w:sz w:val="24"/>
          <w:szCs w:val="24"/>
        </w:rPr>
        <w:t>a</w:t>
      </w:r>
      <w:r w:rsidRPr="00F20C10">
        <w:rPr>
          <w:rFonts w:asciiTheme="majorBidi" w:hAnsiTheme="majorBidi" w:cstheme="majorBidi"/>
          <w:bCs/>
          <w:iCs/>
          <w:sz w:val="24"/>
          <w:szCs w:val="24"/>
        </w:rPr>
        <w:t xml:space="preserve">lbumin, </w:t>
      </w:r>
      <w:r w:rsidR="007C29F3">
        <w:rPr>
          <w:rFonts w:asciiTheme="majorBidi" w:hAnsiTheme="majorBidi" w:cstheme="majorBidi"/>
          <w:bCs/>
          <w:iCs/>
          <w:sz w:val="24"/>
          <w:szCs w:val="24"/>
        </w:rPr>
        <w:t>ALT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>,</w:t>
      </w:r>
      <w:r w:rsidR="007C29F3">
        <w:rPr>
          <w:rFonts w:asciiTheme="majorBidi" w:hAnsiTheme="majorBidi" w:cstheme="majorBidi"/>
          <w:bCs/>
          <w:iCs/>
          <w:sz w:val="24"/>
          <w:szCs w:val="24"/>
        </w:rPr>
        <w:t xml:space="preserve"> and </w:t>
      </w:r>
      <w:r w:rsidRPr="00F20C10">
        <w:rPr>
          <w:rFonts w:asciiTheme="majorBidi" w:hAnsiTheme="majorBidi" w:cstheme="majorBidi"/>
          <w:bCs/>
          <w:iCs/>
          <w:sz w:val="24"/>
          <w:szCs w:val="24"/>
        </w:rPr>
        <w:t>A</w:t>
      </w:r>
      <w:r w:rsidR="007C29F3">
        <w:rPr>
          <w:rFonts w:asciiTheme="majorBidi" w:hAnsiTheme="majorBidi" w:cstheme="majorBidi"/>
          <w:bCs/>
          <w:iCs/>
          <w:sz w:val="24"/>
          <w:szCs w:val="24"/>
        </w:rPr>
        <w:t>FP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>,</w:t>
      </w:r>
      <w:r w:rsidRPr="00F20C10">
        <w:rPr>
          <w:rFonts w:asciiTheme="majorBidi" w:hAnsiTheme="majorBidi" w:cstheme="majorBidi"/>
          <w:bCs/>
          <w:iCs/>
          <w:sz w:val="24"/>
          <w:szCs w:val="24"/>
        </w:rPr>
        <w:t xml:space="preserve"> as well as </w:t>
      </w:r>
      <w:r w:rsidR="00CB5CEE">
        <w:rPr>
          <w:rFonts w:asciiTheme="majorBidi" w:hAnsiTheme="majorBidi" w:cstheme="majorBidi"/>
          <w:bCs/>
          <w:iCs/>
          <w:sz w:val="24"/>
          <w:szCs w:val="24"/>
        </w:rPr>
        <w:t xml:space="preserve">highly </w:t>
      </w:r>
      <w:r w:rsidRPr="00F20C10">
        <w:rPr>
          <w:rFonts w:asciiTheme="majorBidi" w:hAnsiTheme="majorBidi" w:cstheme="majorBidi"/>
          <w:bCs/>
          <w:iCs/>
          <w:sz w:val="24"/>
          <w:szCs w:val="24"/>
        </w:rPr>
        <w:t>significant differences in AST and</w:t>
      </w:r>
      <w:r w:rsidR="00CB5CEE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7C29F3">
        <w:rPr>
          <w:rFonts w:asciiTheme="majorBidi" w:hAnsiTheme="majorBidi" w:cstheme="majorBidi"/>
          <w:bCs/>
          <w:iCs/>
          <w:sz w:val="24"/>
          <w:szCs w:val="24"/>
        </w:rPr>
        <w:t>GGT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>. In contrast,</w:t>
      </w:r>
      <w:r w:rsidR="00990111">
        <w:rPr>
          <w:rFonts w:asciiTheme="majorBidi" w:hAnsiTheme="majorBidi" w:cstheme="majorBidi"/>
          <w:bCs/>
          <w:iCs/>
          <w:sz w:val="24"/>
          <w:szCs w:val="24"/>
        </w:rPr>
        <w:t xml:space="preserve"> no significant difference in total bilirubin or PT was detected</w:t>
      </w:r>
      <w:r w:rsidR="00EB0FE6">
        <w:rPr>
          <w:rFonts w:asciiTheme="majorBidi" w:hAnsiTheme="majorBidi" w:cstheme="majorBidi"/>
          <w:bCs/>
          <w:iCs/>
          <w:sz w:val="24"/>
          <w:szCs w:val="24"/>
        </w:rPr>
        <w:t xml:space="preserve"> (Table 1)</w:t>
      </w:r>
      <w:r w:rsidRPr="00F20C10">
        <w:rPr>
          <w:rFonts w:asciiTheme="majorBidi" w:hAnsiTheme="majorBidi" w:cstheme="majorBidi"/>
          <w:bCs/>
          <w:iCs/>
          <w:sz w:val="24"/>
          <w:szCs w:val="24"/>
        </w:rPr>
        <w:t>.</w:t>
      </w:r>
    </w:p>
    <w:p w14:paraId="79AD5576" w14:textId="5F4B0CC3" w:rsidR="000E4086" w:rsidRPr="000E4086" w:rsidRDefault="000E4086" w:rsidP="000E4086">
      <w:pPr>
        <w:pStyle w:val="Caption"/>
        <w:keepNext/>
        <w:rPr>
          <w:b/>
          <w:sz w:val="22"/>
          <w:szCs w:val="22"/>
        </w:rPr>
      </w:pPr>
      <w:r w:rsidRPr="000E4086">
        <w:rPr>
          <w:sz w:val="22"/>
          <w:szCs w:val="22"/>
        </w:rPr>
        <w:t xml:space="preserve">Table </w:t>
      </w:r>
      <w:r w:rsidR="0036725D">
        <w:rPr>
          <w:sz w:val="22"/>
          <w:szCs w:val="22"/>
        </w:rPr>
        <w:fldChar w:fldCharType="begin"/>
      </w:r>
      <w:r w:rsidR="0036725D">
        <w:rPr>
          <w:sz w:val="22"/>
          <w:szCs w:val="22"/>
        </w:rPr>
        <w:instrText xml:space="preserve"> SEQ Table \* ARABIC </w:instrText>
      </w:r>
      <w:r w:rsidR="0036725D">
        <w:rPr>
          <w:sz w:val="22"/>
          <w:szCs w:val="22"/>
        </w:rPr>
        <w:fldChar w:fldCharType="separate"/>
      </w:r>
      <w:r w:rsidR="00496B84">
        <w:rPr>
          <w:noProof/>
          <w:sz w:val="22"/>
          <w:szCs w:val="22"/>
        </w:rPr>
        <w:t>1</w:t>
      </w:r>
      <w:r w:rsidR="0036725D">
        <w:rPr>
          <w:sz w:val="22"/>
          <w:szCs w:val="22"/>
        </w:rPr>
        <w:fldChar w:fldCharType="end"/>
      </w:r>
      <w:r w:rsidRPr="000E4086">
        <w:rPr>
          <w:sz w:val="22"/>
          <w:szCs w:val="22"/>
        </w:rPr>
        <w:t xml:space="preserve">: </w:t>
      </w:r>
      <w:r w:rsidRPr="000E4086">
        <w:rPr>
          <w:b/>
          <w:sz w:val="22"/>
          <w:szCs w:val="22"/>
        </w:rPr>
        <w:t>The demographic and laboratory characteristics of the diseased and control groups.</w:t>
      </w:r>
    </w:p>
    <w:tbl>
      <w:tblPr>
        <w:tblStyle w:val="TableGrid"/>
        <w:tblW w:w="0" w:type="auto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1680"/>
        <w:gridCol w:w="2112"/>
        <w:gridCol w:w="1869"/>
        <w:gridCol w:w="1290"/>
      </w:tblGrid>
      <w:tr w:rsidR="000E4086" w:rsidRPr="000E4086" w14:paraId="3A9EAA45" w14:textId="77777777" w:rsidTr="000E4086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593F2573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Parameters</w:t>
            </w:r>
          </w:p>
          <w:p w14:paraId="668C92FA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39EF77BB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Control group (n=50)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32D124E4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HCV patients</w:t>
            </w:r>
          </w:p>
          <w:p w14:paraId="1C80FE25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without HCC (n=100)</w:t>
            </w:r>
          </w:p>
          <w:p w14:paraId="1BA29794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14:paraId="479DBCD7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HCV patients</w:t>
            </w:r>
          </w:p>
          <w:p w14:paraId="0962672A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with HCC (n=100)</w:t>
            </w:r>
          </w:p>
          <w:p w14:paraId="1F1C6EAE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14:paraId="20CEDA6F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i/>
                <w:iCs/>
                <w:sz w:val="20"/>
                <w:szCs w:val="20"/>
              </w:rPr>
              <w:t>P</w:t>
            </w: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 xml:space="preserve"> </w:t>
            </w:r>
          </w:p>
        </w:tc>
      </w:tr>
      <w:tr w:rsidR="000E4086" w:rsidRPr="000E4086" w14:paraId="3725245F" w14:textId="77777777" w:rsidTr="000E4086">
        <w:tc>
          <w:tcPr>
            <w:tcW w:w="2269" w:type="dxa"/>
            <w:tcBorders>
              <w:top w:val="single" w:sz="4" w:space="0" w:color="auto"/>
            </w:tcBorders>
          </w:tcPr>
          <w:p w14:paraId="73F6D9A7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 xml:space="preserve">         Age (years)   </w:t>
            </w:r>
          </w:p>
          <w:p w14:paraId="6008CB89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14:paraId="4C7527F3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  <w:t>56.65±5.25</w:t>
            </w:r>
          </w:p>
        </w:tc>
        <w:tc>
          <w:tcPr>
            <w:tcW w:w="2112" w:type="dxa"/>
            <w:tcBorders>
              <w:top w:val="single" w:sz="4" w:space="0" w:color="auto"/>
            </w:tcBorders>
          </w:tcPr>
          <w:p w14:paraId="458A85AB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  <w:t>55.62±7.31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14:paraId="6E36DCA4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  <w:t>57.68±7.42</w:t>
            </w:r>
          </w:p>
        </w:tc>
        <w:tc>
          <w:tcPr>
            <w:tcW w:w="1290" w:type="dxa"/>
            <w:tcBorders>
              <w:top w:val="single" w:sz="4" w:space="0" w:color="auto"/>
            </w:tcBorders>
          </w:tcPr>
          <w:p w14:paraId="49BB7285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jc w:val="center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0.130</w:t>
            </w:r>
          </w:p>
        </w:tc>
      </w:tr>
      <w:tr w:rsidR="000E4086" w:rsidRPr="000E4086" w14:paraId="7D91C4FC" w14:textId="77777777" w:rsidTr="000E4086">
        <w:trPr>
          <w:trHeight w:val="2149"/>
        </w:trPr>
        <w:tc>
          <w:tcPr>
            <w:tcW w:w="2269" w:type="dxa"/>
          </w:tcPr>
          <w:p w14:paraId="26F11200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427"/>
              <w:ind w:left="553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Sex</w:t>
            </w:r>
          </w:p>
          <w:p w14:paraId="094C5A67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427"/>
              <w:ind w:left="553"/>
              <w:rPr>
                <w:rFonts w:asciiTheme="majorBidi" w:eastAsia="Palatino Linotype" w:hAnsiTheme="majorBidi" w:cstheme="majorBidi"/>
                <w:i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i/>
                <w:sz w:val="20"/>
                <w:szCs w:val="20"/>
              </w:rPr>
              <w:t xml:space="preserve">             Male</w:t>
            </w:r>
          </w:p>
          <w:p w14:paraId="5134D112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427"/>
              <w:ind w:left="1220"/>
              <w:rPr>
                <w:rFonts w:asciiTheme="majorBidi" w:eastAsia="Palatino Linotype" w:hAnsiTheme="majorBidi" w:cstheme="majorBidi"/>
                <w:i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i/>
                <w:sz w:val="20"/>
                <w:szCs w:val="20"/>
              </w:rPr>
              <w:t>Female</w:t>
            </w:r>
          </w:p>
          <w:p w14:paraId="72458D75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jc w:val="both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680" w:type="dxa"/>
          </w:tcPr>
          <w:p w14:paraId="7150AD40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  <w:p w14:paraId="3F1351E2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  <w:p w14:paraId="633918A7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  <w:p w14:paraId="2073986F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  <w:t>28 (56%)</w:t>
            </w:r>
          </w:p>
          <w:p w14:paraId="0DABA508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</w:p>
          <w:p w14:paraId="0CE6DB0F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22</w:t>
            </w:r>
            <w:r w:rsidRPr="000E4086">
              <w:rPr>
                <w:rFonts w:asciiTheme="majorBidi" w:eastAsia="Palatino Linotype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(44%)</w:t>
            </w:r>
          </w:p>
          <w:p w14:paraId="0F6E75F1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14:paraId="1BAF4777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  <w:p w14:paraId="2E555A73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  <w:p w14:paraId="1B7BCCCA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  <w:p w14:paraId="776C2125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55</w:t>
            </w:r>
            <w:r w:rsidRPr="000E4086">
              <w:rPr>
                <w:rFonts w:asciiTheme="majorBidi" w:eastAsia="Palatino Linotype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(55%)</w:t>
            </w:r>
          </w:p>
          <w:p w14:paraId="0A407863" w14:textId="77777777" w:rsidR="000E4086" w:rsidRPr="000E4086" w:rsidRDefault="000E4086" w:rsidP="000E4086">
            <w:pPr>
              <w:widowControl w:val="0"/>
              <w:autoSpaceDE w:val="0"/>
              <w:autoSpaceDN w:val="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66572FD3" w14:textId="77777777" w:rsidR="000E4086" w:rsidRPr="000E4086" w:rsidRDefault="000E4086" w:rsidP="000E4086">
            <w:pPr>
              <w:widowControl w:val="0"/>
              <w:autoSpaceDE w:val="0"/>
              <w:autoSpaceDN w:val="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39D2A4E5" w14:textId="77777777" w:rsidR="000E4086" w:rsidRPr="000E4086" w:rsidRDefault="000E4086" w:rsidP="000E4086">
            <w:pPr>
              <w:widowControl w:val="0"/>
              <w:autoSpaceDE w:val="0"/>
              <w:autoSpaceDN w:val="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45</w:t>
            </w:r>
            <w:r w:rsidRPr="000E4086">
              <w:rPr>
                <w:rFonts w:asciiTheme="majorBidi" w:eastAsia="Palatino Linotype" w:hAnsiTheme="majorBidi" w:cstheme="majorBidi"/>
                <w:spacing w:val="2"/>
                <w:sz w:val="20"/>
                <w:szCs w:val="20"/>
              </w:rPr>
              <w:t xml:space="preserve"> 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(45%)</w:t>
            </w:r>
          </w:p>
        </w:tc>
        <w:tc>
          <w:tcPr>
            <w:tcW w:w="1869" w:type="dxa"/>
          </w:tcPr>
          <w:p w14:paraId="610CA69A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spacing w:val="-1"/>
                <w:sz w:val="20"/>
                <w:szCs w:val="20"/>
              </w:rPr>
            </w:pPr>
          </w:p>
          <w:p w14:paraId="3D6051BD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spacing w:val="-1"/>
                <w:sz w:val="20"/>
                <w:szCs w:val="20"/>
              </w:rPr>
            </w:pPr>
          </w:p>
          <w:p w14:paraId="332C99CD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spacing w:val="-1"/>
                <w:sz w:val="20"/>
                <w:szCs w:val="20"/>
              </w:rPr>
            </w:pPr>
          </w:p>
          <w:p w14:paraId="511514A7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spacing w:val="-1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pacing w:val="-1"/>
                <w:sz w:val="20"/>
                <w:szCs w:val="20"/>
              </w:rPr>
              <w:t>57</w:t>
            </w:r>
            <w:r w:rsidRPr="000E4086">
              <w:rPr>
                <w:rFonts w:asciiTheme="majorBidi" w:eastAsia="Palatino Linotype" w:hAnsiTheme="majorBidi" w:cstheme="majorBidi"/>
                <w:spacing w:val="-11"/>
                <w:sz w:val="20"/>
                <w:szCs w:val="20"/>
              </w:rPr>
              <w:t xml:space="preserve"> </w:t>
            </w:r>
            <w:r w:rsidRPr="000E4086">
              <w:rPr>
                <w:rFonts w:asciiTheme="majorBidi" w:eastAsia="Palatino Linotype" w:hAnsiTheme="majorBidi" w:cstheme="majorBidi"/>
                <w:spacing w:val="-1"/>
                <w:sz w:val="20"/>
                <w:szCs w:val="20"/>
              </w:rPr>
              <w:t>(57%)</w:t>
            </w:r>
          </w:p>
          <w:p w14:paraId="30C639F0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pacing w:val="-1"/>
                <w:sz w:val="20"/>
                <w:szCs w:val="20"/>
              </w:rPr>
            </w:pPr>
          </w:p>
          <w:p w14:paraId="3FA97BE9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43</w:t>
            </w:r>
            <w:r w:rsidRPr="000E4086">
              <w:rPr>
                <w:rFonts w:asciiTheme="majorBidi" w:eastAsia="Palatino Linotype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(43%)</w:t>
            </w:r>
          </w:p>
        </w:tc>
        <w:tc>
          <w:tcPr>
            <w:tcW w:w="1290" w:type="dxa"/>
          </w:tcPr>
          <w:p w14:paraId="64037DAC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74F91C21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13B9065E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3C35F8AC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jc w:val="center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0.960</w:t>
            </w:r>
          </w:p>
        </w:tc>
      </w:tr>
      <w:tr w:rsidR="000E4086" w:rsidRPr="000E4086" w14:paraId="5FD0FD9A" w14:textId="77777777" w:rsidTr="000E4086">
        <w:tc>
          <w:tcPr>
            <w:tcW w:w="2269" w:type="dxa"/>
          </w:tcPr>
          <w:p w14:paraId="5C3EE3F7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427"/>
              <w:ind w:left="553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Age at first HCV diagnosis (years)</w:t>
            </w:r>
          </w:p>
        </w:tc>
        <w:tc>
          <w:tcPr>
            <w:tcW w:w="1680" w:type="dxa"/>
          </w:tcPr>
          <w:p w14:paraId="73BC74A3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14:paraId="1FD37F5D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36.26±5.46</w:t>
            </w:r>
          </w:p>
        </w:tc>
        <w:tc>
          <w:tcPr>
            <w:tcW w:w="1869" w:type="dxa"/>
          </w:tcPr>
          <w:p w14:paraId="0FC9C6DD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spacing w:val="-1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pacing w:val="-1"/>
                <w:sz w:val="20"/>
                <w:szCs w:val="20"/>
              </w:rPr>
              <w:t>37.49±6.70</w:t>
            </w:r>
          </w:p>
        </w:tc>
        <w:tc>
          <w:tcPr>
            <w:tcW w:w="1290" w:type="dxa"/>
          </w:tcPr>
          <w:p w14:paraId="4ADEC8FA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0.164</w:t>
            </w:r>
          </w:p>
        </w:tc>
      </w:tr>
      <w:tr w:rsidR="000E4086" w:rsidRPr="000E4086" w14:paraId="78FC268F" w14:textId="77777777" w:rsidTr="000E4086">
        <w:trPr>
          <w:trHeight w:val="530"/>
        </w:trPr>
        <w:tc>
          <w:tcPr>
            <w:tcW w:w="2269" w:type="dxa"/>
          </w:tcPr>
          <w:p w14:paraId="6F9DF487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3"/>
              <w:ind w:left="553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Total Bilirubin</w:t>
            </w:r>
            <w:r w:rsidRPr="000E4086">
              <w:rPr>
                <w:rFonts w:asciiTheme="majorBidi" w:eastAsia="Palatino Linotype" w:hAnsiTheme="majorBidi" w:cstheme="majorBidi"/>
                <w:b/>
                <w:spacing w:val="1"/>
                <w:sz w:val="20"/>
                <w:szCs w:val="20"/>
              </w:rPr>
              <w:t xml:space="preserve"> </w:t>
            </w: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(mg/dL)</w:t>
            </w:r>
          </w:p>
          <w:p w14:paraId="19BADB5A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427"/>
              <w:ind w:left="553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680" w:type="dxa"/>
          </w:tcPr>
          <w:p w14:paraId="307DCC5C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0.82±0.21</w:t>
            </w:r>
          </w:p>
        </w:tc>
        <w:tc>
          <w:tcPr>
            <w:tcW w:w="2112" w:type="dxa"/>
          </w:tcPr>
          <w:p w14:paraId="6515B5E5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1.03±0.31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69" w:type="dxa"/>
          </w:tcPr>
          <w:p w14:paraId="0CEFEF2E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spacing w:val="-1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1.13±0.47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90" w:type="dxa"/>
          </w:tcPr>
          <w:p w14:paraId="6BB77B25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&lt;0.001**</w:t>
            </w:r>
          </w:p>
        </w:tc>
      </w:tr>
      <w:tr w:rsidR="000E4086" w:rsidRPr="000E4086" w14:paraId="586E1372" w14:textId="77777777" w:rsidTr="000E4086">
        <w:tc>
          <w:tcPr>
            <w:tcW w:w="2269" w:type="dxa"/>
          </w:tcPr>
          <w:p w14:paraId="7C604058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427"/>
              <w:ind w:left="553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Total Protein</w:t>
            </w:r>
            <w:r w:rsidRPr="000E4086">
              <w:rPr>
                <w:rFonts w:asciiTheme="majorBidi" w:eastAsia="Palatino Linotype" w:hAnsiTheme="majorBidi" w:cstheme="majorBidi"/>
                <w:b/>
                <w:spacing w:val="1"/>
                <w:sz w:val="20"/>
                <w:szCs w:val="20"/>
              </w:rPr>
              <w:t xml:space="preserve"> </w:t>
            </w: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(g/dL)</w:t>
            </w:r>
          </w:p>
        </w:tc>
        <w:tc>
          <w:tcPr>
            <w:tcW w:w="1680" w:type="dxa"/>
          </w:tcPr>
          <w:p w14:paraId="13916EAD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7.21±0.82</w:t>
            </w:r>
          </w:p>
        </w:tc>
        <w:tc>
          <w:tcPr>
            <w:tcW w:w="2112" w:type="dxa"/>
          </w:tcPr>
          <w:p w14:paraId="4D4F9C51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6.80±1.34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69" w:type="dxa"/>
          </w:tcPr>
          <w:p w14:paraId="022CB57B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spacing w:val="-1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6.49±1.44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90" w:type="dxa"/>
          </w:tcPr>
          <w:p w14:paraId="083AF24C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0.001*</w:t>
            </w:r>
          </w:p>
        </w:tc>
      </w:tr>
      <w:tr w:rsidR="000E4086" w:rsidRPr="000E4086" w14:paraId="12F5B396" w14:textId="77777777" w:rsidTr="000E4086">
        <w:tc>
          <w:tcPr>
            <w:tcW w:w="2269" w:type="dxa"/>
          </w:tcPr>
          <w:p w14:paraId="11ECD1FA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427"/>
              <w:ind w:left="553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Albumin</w:t>
            </w:r>
            <w:r w:rsidRPr="000E4086">
              <w:rPr>
                <w:rFonts w:asciiTheme="majorBidi" w:eastAsia="Palatino Linotype" w:hAnsiTheme="majorBidi" w:cstheme="majorBidi"/>
                <w:b/>
                <w:spacing w:val="-1"/>
                <w:sz w:val="20"/>
                <w:szCs w:val="20"/>
              </w:rPr>
              <w:t xml:space="preserve"> </w:t>
            </w: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(g/dL)</w:t>
            </w:r>
          </w:p>
        </w:tc>
        <w:tc>
          <w:tcPr>
            <w:tcW w:w="1680" w:type="dxa"/>
          </w:tcPr>
          <w:p w14:paraId="454018A5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46FE4DF4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4.02±0.41</w:t>
            </w:r>
          </w:p>
        </w:tc>
        <w:tc>
          <w:tcPr>
            <w:tcW w:w="2112" w:type="dxa"/>
          </w:tcPr>
          <w:p w14:paraId="25016594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41A2B3BC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2.68±0.93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69" w:type="dxa"/>
          </w:tcPr>
          <w:p w14:paraId="19D60C64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43A60AAE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2.27±0.82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90" w:type="dxa"/>
          </w:tcPr>
          <w:p w14:paraId="53F49172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687CB341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jc w:val="center"/>
              <w:rPr>
                <w:rFonts w:asciiTheme="majorBidi" w:eastAsia="Palatino Linotype" w:hAnsiTheme="majorBidi" w:cstheme="majorBidi"/>
                <w:b/>
                <w:bCs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bCs/>
                <w:sz w:val="20"/>
                <w:szCs w:val="20"/>
              </w:rPr>
              <w:t>&lt;0.001**</w:t>
            </w:r>
          </w:p>
        </w:tc>
      </w:tr>
      <w:tr w:rsidR="000E4086" w:rsidRPr="000E4086" w14:paraId="6A395F96" w14:textId="77777777" w:rsidTr="000E4086">
        <w:tc>
          <w:tcPr>
            <w:tcW w:w="2269" w:type="dxa"/>
          </w:tcPr>
          <w:p w14:paraId="76F73557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427"/>
              <w:ind w:left="553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ALT (U/L)</w:t>
            </w:r>
          </w:p>
        </w:tc>
        <w:tc>
          <w:tcPr>
            <w:tcW w:w="1680" w:type="dxa"/>
          </w:tcPr>
          <w:p w14:paraId="04C63F1F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44704D1F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21.94±13.60</w:t>
            </w:r>
          </w:p>
        </w:tc>
        <w:tc>
          <w:tcPr>
            <w:tcW w:w="2112" w:type="dxa"/>
          </w:tcPr>
          <w:p w14:paraId="234B7555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20E0F3E8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68.39±17.20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69" w:type="dxa"/>
          </w:tcPr>
          <w:p w14:paraId="70F9BD55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37E14C9B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76.53±19.06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90" w:type="dxa"/>
          </w:tcPr>
          <w:p w14:paraId="5944B158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3B547168" w14:textId="77777777" w:rsidR="000E4086" w:rsidRPr="000E4086" w:rsidRDefault="000E4086" w:rsidP="000E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211" w:right="135"/>
              <w:jc w:val="center"/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  <w:t>&lt;0.001**</w:t>
            </w:r>
          </w:p>
          <w:p w14:paraId="318F86F6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</w:tc>
      </w:tr>
      <w:tr w:rsidR="000E4086" w:rsidRPr="000E4086" w14:paraId="6F1DAED6" w14:textId="77777777" w:rsidTr="000E4086">
        <w:tc>
          <w:tcPr>
            <w:tcW w:w="2269" w:type="dxa"/>
          </w:tcPr>
          <w:p w14:paraId="3614DDA0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427"/>
              <w:ind w:left="553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AST</w:t>
            </w:r>
            <w:r w:rsidRPr="000E4086">
              <w:rPr>
                <w:rFonts w:asciiTheme="majorBidi" w:eastAsia="Palatino Linotype" w:hAnsiTheme="majorBidi" w:cstheme="majorBidi"/>
                <w:b/>
                <w:spacing w:val="-3"/>
                <w:sz w:val="20"/>
                <w:szCs w:val="20"/>
              </w:rPr>
              <w:t xml:space="preserve"> </w:t>
            </w: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(U/L)</w:t>
            </w:r>
          </w:p>
        </w:tc>
        <w:tc>
          <w:tcPr>
            <w:tcW w:w="1680" w:type="dxa"/>
          </w:tcPr>
          <w:p w14:paraId="59871EB0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17.61±9.58</w:t>
            </w:r>
          </w:p>
        </w:tc>
        <w:tc>
          <w:tcPr>
            <w:tcW w:w="2112" w:type="dxa"/>
          </w:tcPr>
          <w:p w14:paraId="2FB11E6E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66.44±14.32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69" w:type="dxa"/>
          </w:tcPr>
          <w:p w14:paraId="38E9294B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83.74±23.38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90" w:type="dxa"/>
          </w:tcPr>
          <w:p w14:paraId="63E1F916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jc w:val="center"/>
              <w:rPr>
                <w:rFonts w:asciiTheme="majorBidi" w:eastAsia="Palatino Linotype" w:hAnsiTheme="majorBidi" w:cstheme="majorBidi"/>
                <w:b/>
                <w:bCs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bCs/>
                <w:sz w:val="20"/>
                <w:szCs w:val="20"/>
              </w:rPr>
              <w:t>&lt;0.001**</w:t>
            </w:r>
          </w:p>
        </w:tc>
      </w:tr>
      <w:tr w:rsidR="000E4086" w:rsidRPr="000E4086" w14:paraId="6C9F0F52" w14:textId="77777777" w:rsidTr="000E4086">
        <w:tc>
          <w:tcPr>
            <w:tcW w:w="2269" w:type="dxa"/>
          </w:tcPr>
          <w:p w14:paraId="60C92C85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427"/>
              <w:ind w:left="553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ALP</w:t>
            </w:r>
            <w:r w:rsidRPr="000E4086">
              <w:rPr>
                <w:rFonts w:asciiTheme="majorBidi" w:eastAsia="Palatino Linotype" w:hAnsiTheme="majorBidi" w:cstheme="majorBidi"/>
                <w:b/>
                <w:spacing w:val="-1"/>
                <w:sz w:val="20"/>
                <w:szCs w:val="20"/>
              </w:rPr>
              <w:t xml:space="preserve"> </w:t>
            </w: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(U/L)</w:t>
            </w:r>
          </w:p>
        </w:tc>
        <w:tc>
          <w:tcPr>
            <w:tcW w:w="1680" w:type="dxa"/>
          </w:tcPr>
          <w:p w14:paraId="20BDCFFF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4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2CE12FC5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91.88±28.63</w:t>
            </w:r>
          </w:p>
        </w:tc>
        <w:tc>
          <w:tcPr>
            <w:tcW w:w="2112" w:type="dxa"/>
          </w:tcPr>
          <w:p w14:paraId="55F27301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4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5132D06B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193.85±56.86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69" w:type="dxa"/>
          </w:tcPr>
          <w:p w14:paraId="257277A8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4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33653941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203.12±69.32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90" w:type="dxa"/>
          </w:tcPr>
          <w:p w14:paraId="4D52488E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4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68B65689" w14:textId="77777777" w:rsidR="000E4086" w:rsidRPr="000E4086" w:rsidRDefault="000E4086" w:rsidP="000E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211" w:right="135"/>
              <w:jc w:val="center"/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  <w:t>&lt;0.001**</w:t>
            </w:r>
          </w:p>
          <w:p w14:paraId="3622B5A3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</w:tc>
      </w:tr>
      <w:tr w:rsidR="000E4086" w:rsidRPr="000E4086" w14:paraId="783155C0" w14:textId="77777777" w:rsidTr="000E4086">
        <w:tc>
          <w:tcPr>
            <w:tcW w:w="2269" w:type="dxa"/>
          </w:tcPr>
          <w:p w14:paraId="2D1BA637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427"/>
              <w:ind w:left="553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GGT</w:t>
            </w:r>
            <w:r w:rsidRPr="000E4086">
              <w:rPr>
                <w:rFonts w:asciiTheme="majorBidi" w:eastAsia="Palatino Linotype" w:hAnsiTheme="majorBidi" w:cstheme="majorBidi"/>
                <w:b/>
                <w:spacing w:val="-2"/>
                <w:sz w:val="20"/>
                <w:szCs w:val="20"/>
              </w:rPr>
              <w:t xml:space="preserve"> </w:t>
            </w: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(U/L)</w:t>
            </w:r>
          </w:p>
        </w:tc>
        <w:tc>
          <w:tcPr>
            <w:tcW w:w="1680" w:type="dxa"/>
          </w:tcPr>
          <w:p w14:paraId="18C45557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3F0A976A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22.87±7.00</w:t>
            </w:r>
          </w:p>
        </w:tc>
        <w:tc>
          <w:tcPr>
            <w:tcW w:w="2112" w:type="dxa"/>
          </w:tcPr>
          <w:p w14:paraId="145F88D0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30105C18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46.66±16.79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69" w:type="dxa"/>
          </w:tcPr>
          <w:p w14:paraId="7EA9D7F6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54CEF100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56.86±17.72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90" w:type="dxa"/>
          </w:tcPr>
          <w:p w14:paraId="220077ED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07057A4B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jc w:val="center"/>
              <w:rPr>
                <w:rFonts w:asciiTheme="majorBidi" w:eastAsia="Palatino Linotype" w:hAnsiTheme="majorBidi" w:cstheme="majorBidi"/>
                <w:b/>
                <w:bCs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bCs/>
                <w:sz w:val="20"/>
                <w:szCs w:val="20"/>
              </w:rPr>
              <w:t>&lt;0.001**</w:t>
            </w:r>
          </w:p>
        </w:tc>
      </w:tr>
      <w:tr w:rsidR="000E4086" w:rsidRPr="000E4086" w14:paraId="3043E37B" w14:textId="77777777" w:rsidTr="000E4086">
        <w:tc>
          <w:tcPr>
            <w:tcW w:w="2269" w:type="dxa"/>
          </w:tcPr>
          <w:p w14:paraId="17B3A408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427"/>
              <w:ind w:left="553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AFP</w:t>
            </w:r>
            <w:r w:rsidRPr="000E4086">
              <w:rPr>
                <w:rFonts w:asciiTheme="majorBidi" w:eastAsia="Palatino Linotype" w:hAnsiTheme="majorBidi" w:cstheme="majorBidi"/>
                <w:b/>
                <w:spacing w:val="-1"/>
                <w:sz w:val="20"/>
                <w:szCs w:val="20"/>
              </w:rPr>
              <w:t xml:space="preserve"> </w:t>
            </w: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(ug/L)</w:t>
            </w:r>
          </w:p>
        </w:tc>
        <w:tc>
          <w:tcPr>
            <w:tcW w:w="1680" w:type="dxa"/>
          </w:tcPr>
          <w:p w14:paraId="61A8955B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1B76A4B8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4.74±0.41</w:t>
            </w:r>
          </w:p>
        </w:tc>
        <w:tc>
          <w:tcPr>
            <w:tcW w:w="2112" w:type="dxa"/>
          </w:tcPr>
          <w:p w14:paraId="3199E676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782AF882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8.65±2.47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69" w:type="dxa"/>
          </w:tcPr>
          <w:p w14:paraId="238C838C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609F5020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146.45±130.80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90" w:type="dxa"/>
          </w:tcPr>
          <w:p w14:paraId="5AD1B34A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39D80BA7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jc w:val="center"/>
              <w:rPr>
                <w:rFonts w:asciiTheme="majorBidi" w:eastAsia="Palatino Linotype" w:hAnsiTheme="majorBidi" w:cstheme="majorBidi"/>
                <w:b/>
                <w:bCs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bCs/>
                <w:sz w:val="20"/>
                <w:szCs w:val="20"/>
              </w:rPr>
              <w:t>&lt;0.001**</w:t>
            </w:r>
          </w:p>
        </w:tc>
      </w:tr>
      <w:tr w:rsidR="000E4086" w:rsidRPr="000E4086" w14:paraId="51888AA3" w14:textId="77777777" w:rsidTr="000E4086">
        <w:tc>
          <w:tcPr>
            <w:tcW w:w="2269" w:type="dxa"/>
            <w:tcBorders>
              <w:bottom w:val="single" w:sz="4" w:space="0" w:color="auto"/>
            </w:tcBorders>
          </w:tcPr>
          <w:p w14:paraId="377AA90C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427"/>
              <w:ind w:left="553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PT</w:t>
            </w:r>
            <w:r w:rsidRPr="000E4086">
              <w:rPr>
                <w:rFonts w:asciiTheme="majorBidi" w:eastAsia="Palatino Linotype" w:hAnsiTheme="majorBidi" w:cstheme="majorBidi"/>
                <w:b/>
                <w:spacing w:val="2"/>
                <w:sz w:val="20"/>
                <w:szCs w:val="20"/>
              </w:rPr>
              <w:t xml:space="preserve"> </w:t>
            </w: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(seconds)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77B3F025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4D10C3E3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12.60±1.61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1737AC77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4DE01245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12.58±2.54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2829AE05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6205BE32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13.20±1.80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14:paraId="115E6FD7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6EF53F41" w14:textId="77777777" w:rsidR="000E4086" w:rsidRPr="000E4086" w:rsidRDefault="000E4086" w:rsidP="000E4086">
            <w:pPr>
              <w:keepNext/>
              <w:widowControl w:val="0"/>
              <w:autoSpaceDE w:val="0"/>
              <w:autoSpaceDN w:val="0"/>
              <w:spacing w:before="6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0.04*</w:t>
            </w:r>
          </w:p>
        </w:tc>
      </w:tr>
    </w:tbl>
    <w:p w14:paraId="533E3135" w14:textId="2AC54060" w:rsidR="000E4086" w:rsidRPr="000E4086" w:rsidRDefault="000E4086" w:rsidP="000E4086">
      <w:pPr>
        <w:pStyle w:val="Caption"/>
        <w:rPr>
          <w:b/>
          <w:sz w:val="20"/>
          <w:szCs w:val="20"/>
        </w:rPr>
      </w:pPr>
      <w:r w:rsidRPr="000E4086">
        <w:rPr>
          <w:sz w:val="20"/>
          <w:szCs w:val="20"/>
        </w:rPr>
        <w:t xml:space="preserve"> </w:t>
      </w:r>
      <w:proofErr w:type="spellStart"/>
      <w:r w:rsidRPr="000E4086">
        <w:rPr>
          <w:sz w:val="20"/>
          <w:szCs w:val="20"/>
          <w:vertAlign w:val="superscript"/>
        </w:rPr>
        <w:t>a</w:t>
      </w:r>
      <w:proofErr w:type="spellEnd"/>
      <w:r w:rsidRPr="000E4086">
        <w:rPr>
          <w:sz w:val="20"/>
          <w:szCs w:val="20"/>
        </w:rPr>
        <w:t xml:space="preserve"> Against controls; </w:t>
      </w:r>
      <w:r w:rsidRPr="000E4086">
        <w:rPr>
          <w:sz w:val="20"/>
          <w:szCs w:val="20"/>
          <w:vertAlign w:val="superscript"/>
        </w:rPr>
        <w:t>b</w:t>
      </w:r>
      <w:r w:rsidRPr="000E4086">
        <w:rPr>
          <w:sz w:val="20"/>
          <w:szCs w:val="20"/>
        </w:rPr>
        <w:t xml:space="preserve"> HCV without HCC against HCV with HCC; *: significant P&lt;0.05; **: highly significant P&lt;0.001</w:t>
      </w:r>
    </w:p>
    <w:p w14:paraId="06732B26" w14:textId="4A8F678E" w:rsidR="005F25D8" w:rsidRPr="008207E2" w:rsidRDefault="001F7306" w:rsidP="00A42B57">
      <w:pPr>
        <w:spacing w:line="360" w:lineRule="auto"/>
        <w:jc w:val="both"/>
        <w:rPr>
          <w:rFonts w:asciiTheme="majorBidi" w:hAnsiTheme="majorBidi" w:cstheme="majorBidi"/>
          <w:bCs/>
          <w:iCs/>
          <w:sz w:val="24"/>
          <w:szCs w:val="24"/>
        </w:rPr>
      </w:pPr>
      <w:r w:rsidRPr="008207E2">
        <w:rPr>
          <w:rFonts w:asciiTheme="majorBidi" w:hAnsiTheme="majorBidi" w:cstheme="majorBidi"/>
          <w:bCs/>
          <w:iCs/>
          <w:sz w:val="24"/>
          <w:szCs w:val="24"/>
        </w:rPr>
        <w:t>The frequency of genotypes of IL-23R (rs10889677) gene polymorphism in the studied groups is presented in figure 1.</w:t>
      </w:r>
      <w:bookmarkStart w:id="37" w:name="The_results_revealed_a_substantially_low"/>
      <w:bookmarkEnd w:id="37"/>
      <w:r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DA638F" w:rsidRPr="008207E2">
        <w:rPr>
          <w:rFonts w:asciiTheme="majorBidi" w:hAnsiTheme="majorBidi" w:cstheme="majorBidi"/>
          <w:bCs/>
          <w:iCs/>
          <w:sz w:val="24"/>
          <w:szCs w:val="24"/>
        </w:rPr>
        <w:t>Our</w:t>
      </w:r>
      <w:r w:rsidR="005F25D8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results revealed a s</w:t>
      </w:r>
      <w:r w:rsidR="00747675" w:rsidRPr="008207E2">
        <w:rPr>
          <w:rFonts w:asciiTheme="majorBidi" w:hAnsiTheme="majorBidi" w:cstheme="majorBidi"/>
          <w:bCs/>
          <w:iCs/>
          <w:sz w:val="24"/>
          <w:szCs w:val="24"/>
        </w:rPr>
        <w:t>ignificant</w:t>
      </w:r>
      <w:r w:rsidR="00DA638F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difference in the frequency of genotypes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DA638F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among the three studied groups (P=0.006). </w:t>
      </w:r>
      <w:bookmarkStart w:id="38" w:name="_Hlk115635353"/>
      <w:r w:rsidR="00BD7CBB">
        <w:rPr>
          <w:rFonts w:asciiTheme="majorBidi" w:hAnsiTheme="majorBidi" w:cstheme="majorBidi"/>
          <w:bCs/>
          <w:iCs/>
          <w:sz w:val="24"/>
          <w:szCs w:val="24"/>
        </w:rPr>
        <w:t>However, u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>sing</w:t>
      </w:r>
      <w:r w:rsidR="00EF2E98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Chi for trend,</w:t>
      </w:r>
      <w:r w:rsidR="005F25D8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EF2E98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there was no significant difference in genotypes between </w:t>
      </w:r>
      <w:bookmarkStart w:id="39" w:name="_Hlk115634636"/>
      <w:r w:rsidR="00EF2E98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HCV without 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the </w:t>
      </w:r>
      <w:r w:rsidR="00EF2E98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HCC group </w:t>
      </w:r>
      <w:bookmarkEnd w:id="39"/>
      <w:r w:rsidR="00EF2E98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and 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the </w:t>
      </w:r>
      <w:r w:rsidR="00EF2E98" w:rsidRPr="008207E2">
        <w:rPr>
          <w:rFonts w:asciiTheme="majorBidi" w:hAnsiTheme="majorBidi" w:cstheme="majorBidi"/>
          <w:bCs/>
          <w:iCs/>
          <w:sz w:val="24"/>
          <w:szCs w:val="24"/>
        </w:rPr>
        <w:t>control group (P=0.369)</w:t>
      </w:r>
      <w:bookmarkEnd w:id="38"/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>. At the same time,</w:t>
      </w:r>
      <w:r w:rsidR="00EF2E98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bookmarkStart w:id="40" w:name="_Hlk115635417"/>
      <w:bookmarkStart w:id="41" w:name="_Hlk115637390"/>
      <w:r w:rsidR="00EF2E98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there were 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>substantial</w:t>
      </w:r>
      <w:r w:rsidR="00EF2E98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differences in genotypes between HCV with 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the </w:t>
      </w:r>
      <w:r w:rsidR="00EF2E98" w:rsidRPr="008207E2">
        <w:rPr>
          <w:rFonts w:asciiTheme="majorBidi" w:hAnsiTheme="majorBidi" w:cstheme="majorBidi"/>
          <w:bCs/>
          <w:iCs/>
          <w:sz w:val="24"/>
          <w:szCs w:val="24"/>
        </w:rPr>
        <w:t>HCC group</w:t>
      </w:r>
      <w:r w:rsidR="00A42B57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and 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the </w:t>
      </w:r>
      <w:r w:rsidR="00A42B57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control group and HCV without 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the </w:t>
      </w:r>
      <w:r w:rsidR="00A42B57" w:rsidRPr="008207E2">
        <w:rPr>
          <w:rFonts w:asciiTheme="majorBidi" w:hAnsiTheme="majorBidi" w:cstheme="majorBidi"/>
          <w:bCs/>
          <w:iCs/>
          <w:sz w:val="24"/>
          <w:szCs w:val="24"/>
        </w:rPr>
        <w:t>HCC group (P=0.001 and 0.01, respectively)</w:t>
      </w:r>
      <w:bookmarkEnd w:id="40"/>
      <w:r w:rsidR="00BD4637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(Table 2)</w:t>
      </w:r>
      <w:r w:rsidR="00A42B57" w:rsidRPr="008207E2">
        <w:rPr>
          <w:rFonts w:asciiTheme="majorBidi" w:hAnsiTheme="majorBidi" w:cstheme="majorBidi"/>
          <w:bCs/>
          <w:iCs/>
          <w:sz w:val="24"/>
          <w:szCs w:val="24"/>
        </w:rPr>
        <w:t>.</w:t>
      </w:r>
    </w:p>
    <w:bookmarkEnd w:id="41"/>
    <w:p w14:paraId="6367D4C7" w14:textId="3754FAF2" w:rsidR="00D515CF" w:rsidRPr="008207E2" w:rsidRDefault="00D515CF" w:rsidP="00B419D0">
      <w:pPr>
        <w:spacing w:line="360" w:lineRule="auto"/>
        <w:jc w:val="both"/>
        <w:rPr>
          <w:rFonts w:asciiTheme="majorBidi" w:hAnsiTheme="majorBidi" w:cstheme="majorBidi"/>
          <w:bCs/>
          <w:iCs/>
          <w:sz w:val="24"/>
          <w:szCs w:val="24"/>
        </w:rPr>
      </w:pPr>
      <w:r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Regarding allele frequency, </w:t>
      </w:r>
      <w:r w:rsidR="00B419D0" w:rsidRPr="008207E2">
        <w:rPr>
          <w:rFonts w:asciiTheme="majorBidi" w:hAnsiTheme="majorBidi" w:cstheme="majorBidi"/>
          <w:bCs/>
          <w:iCs/>
          <w:sz w:val="24"/>
          <w:szCs w:val="24"/>
        </w:rPr>
        <w:t>o</w:t>
      </w:r>
      <w:r w:rsidRPr="008207E2">
        <w:rPr>
          <w:rFonts w:asciiTheme="majorBidi" w:hAnsiTheme="majorBidi" w:cstheme="majorBidi"/>
          <w:bCs/>
          <w:iCs/>
          <w:sz w:val="24"/>
          <w:szCs w:val="24"/>
        </w:rPr>
        <w:t>ur results revealed a significant difference between the studied groups</w:t>
      </w:r>
      <w:r w:rsidR="00B419D0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(P&lt;0.001).</w:t>
      </w:r>
      <w:r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>Using</w:t>
      </w:r>
      <w:r w:rsidR="00B419D0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Chi for trend, there was no significant difference in allele frequency between HCV without 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the </w:t>
      </w:r>
      <w:r w:rsidR="00B419D0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HCC group and 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the </w:t>
      </w:r>
      <w:r w:rsidR="00B419D0" w:rsidRPr="008207E2">
        <w:rPr>
          <w:rFonts w:asciiTheme="majorBidi" w:hAnsiTheme="majorBidi" w:cstheme="majorBidi"/>
          <w:bCs/>
          <w:iCs/>
          <w:sz w:val="24"/>
          <w:szCs w:val="24"/>
        </w:rPr>
        <w:t>control group (P=0.145). However</w:t>
      </w:r>
      <w:bookmarkStart w:id="42" w:name="_Hlk115637464"/>
      <w:r w:rsidR="00B419D0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, there were 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>substantial</w:t>
      </w:r>
      <w:r w:rsidR="00B419D0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differences in allele frequency between HCV with 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the </w:t>
      </w:r>
      <w:r w:rsidR="00B419D0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HCC group and both 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the </w:t>
      </w:r>
      <w:r w:rsidR="00B419D0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control group and HCV without 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the </w:t>
      </w:r>
      <w:r w:rsidR="00B419D0" w:rsidRPr="008207E2">
        <w:rPr>
          <w:rFonts w:asciiTheme="majorBidi" w:hAnsiTheme="majorBidi" w:cstheme="majorBidi"/>
          <w:bCs/>
          <w:iCs/>
          <w:sz w:val="24"/>
          <w:szCs w:val="24"/>
        </w:rPr>
        <w:t>HCC group (P&lt;0.001 and 0.001, respectively)</w:t>
      </w:r>
      <w:bookmarkEnd w:id="42"/>
      <w:r w:rsidR="00BD4637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(Table 2).</w:t>
      </w:r>
    </w:p>
    <w:p w14:paraId="4B95A9BE" w14:textId="7E596BBD" w:rsidR="00F20C10" w:rsidRDefault="003A6C13" w:rsidP="003A6C13">
      <w:pPr>
        <w:spacing w:line="360" w:lineRule="auto"/>
        <w:jc w:val="both"/>
        <w:rPr>
          <w:rFonts w:asciiTheme="majorBidi" w:hAnsiTheme="majorBidi" w:cstheme="majorBidi"/>
          <w:bCs/>
          <w:iCs/>
          <w:sz w:val="24"/>
          <w:szCs w:val="24"/>
        </w:rPr>
      </w:pPr>
      <w:bookmarkStart w:id="43" w:name="The_frequency_of_the_A_allele_was_substa"/>
      <w:bookmarkStart w:id="44" w:name="_Hlk115637521"/>
      <w:bookmarkEnd w:id="43"/>
      <w:r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Under the recessive 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>inheritance model</w:t>
      </w:r>
      <w:r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, IL-23R polymorphism 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>was significantly associated</w:t>
      </w:r>
      <w:r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with HCC development (P=0.001)</w:t>
      </w:r>
      <w:bookmarkStart w:id="45" w:name="The_correlations_among_IL23R_polymorphis"/>
      <w:bookmarkEnd w:id="45"/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>,</w:t>
      </w:r>
      <w:r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bookmarkEnd w:id="44"/>
      <w:r w:rsidR="005F25D8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with </w:t>
      </w:r>
      <w:bookmarkStart w:id="46" w:name="_Hlk115637101"/>
      <w:r w:rsidR="005F25D8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a 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>considerable</w:t>
      </w:r>
      <w:r w:rsidR="005F25D8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8207E2">
        <w:rPr>
          <w:rFonts w:asciiTheme="majorBidi" w:hAnsiTheme="majorBidi" w:cstheme="majorBidi"/>
          <w:bCs/>
          <w:iCs/>
          <w:sz w:val="24"/>
          <w:szCs w:val="24"/>
        </w:rPr>
        <w:t>difference</w:t>
      </w:r>
      <w:r w:rsidR="005F25D8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8207E2">
        <w:rPr>
          <w:rFonts w:asciiTheme="majorBidi" w:hAnsiTheme="majorBidi" w:cstheme="majorBidi"/>
          <w:bCs/>
          <w:iCs/>
          <w:sz w:val="24"/>
          <w:szCs w:val="24"/>
        </w:rPr>
        <w:t>between</w:t>
      </w:r>
      <w:r w:rsidR="005F25D8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HCV individuals with HCC</w:t>
      </w:r>
      <w:r w:rsidR="00747675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5F25D8" w:rsidRPr="008207E2">
        <w:rPr>
          <w:rFonts w:asciiTheme="majorBidi" w:hAnsiTheme="majorBidi" w:cstheme="majorBidi"/>
          <w:bCs/>
          <w:iCs/>
          <w:sz w:val="24"/>
          <w:szCs w:val="24"/>
        </w:rPr>
        <w:t>and</w:t>
      </w:r>
      <w:bookmarkEnd w:id="46"/>
      <w:r w:rsidR="005F25D8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HCV patients without HCC (</w:t>
      </w:r>
      <w:r w:rsidR="001F6256" w:rsidRPr="008207E2">
        <w:rPr>
          <w:rFonts w:asciiTheme="majorBidi" w:hAnsiTheme="majorBidi" w:cstheme="majorBidi"/>
          <w:bCs/>
          <w:iCs/>
          <w:sz w:val="24"/>
          <w:szCs w:val="24"/>
        </w:rPr>
        <w:t>P</w:t>
      </w:r>
      <w:r w:rsidR="005F25D8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343EEC" w:rsidRPr="008207E2">
        <w:rPr>
          <w:rFonts w:asciiTheme="majorBidi" w:hAnsiTheme="majorBidi" w:cstheme="majorBidi"/>
          <w:bCs/>
          <w:iCs/>
          <w:sz w:val="24"/>
          <w:szCs w:val="24"/>
        </w:rPr>
        <w:t>=</w:t>
      </w:r>
      <w:r w:rsidR="005F25D8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0.00</w:t>
      </w:r>
      <w:r w:rsidR="00343EEC" w:rsidRPr="008207E2">
        <w:rPr>
          <w:rFonts w:asciiTheme="majorBidi" w:hAnsiTheme="majorBidi" w:cstheme="majorBidi"/>
          <w:bCs/>
          <w:iCs/>
          <w:sz w:val="24"/>
          <w:szCs w:val="24"/>
        </w:rPr>
        <w:t>9</w:t>
      </w:r>
      <w:r w:rsidR="005F25D8" w:rsidRPr="008207E2">
        <w:rPr>
          <w:rFonts w:asciiTheme="majorBidi" w:hAnsiTheme="majorBidi" w:cstheme="majorBidi"/>
          <w:bCs/>
          <w:iCs/>
          <w:sz w:val="24"/>
          <w:szCs w:val="24"/>
        </w:rPr>
        <w:t>)</w:t>
      </w:r>
      <w:r w:rsidRPr="008207E2">
        <w:rPr>
          <w:rFonts w:asciiTheme="majorBidi" w:hAnsiTheme="majorBidi" w:cstheme="majorBidi"/>
          <w:bCs/>
          <w:iCs/>
          <w:sz w:val="24"/>
          <w:szCs w:val="24"/>
        </w:rPr>
        <w:t>. Also</w:t>
      </w:r>
      <w:r w:rsidR="005F25D8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, </w:t>
      </w:r>
      <w:r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a highly significant difference was detected between HCV individuals with HCC and </w:t>
      </w:r>
      <w:r w:rsidR="005F25D8" w:rsidRPr="008207E2">
        <w:rPr>
          <w:rFonts w:asciiTheme="majorBidi" w:hAnsiTheme="majorBidi" w:cstheme="majorBidi"/>
          <w:bCs/>
          <w:iCs/>
          <w:sz w:val="24"/>
          <w:szCs w:val="24"/>
        </w:rPr>
        <w:t>control subjects (</w:t>
      </w:r>
      <w:r w:rsidR="001F6256" w:rsidRPr="008207E2">
        <w:rPr>
          <w:rFonts w:asciiTheme="majorBidi" w:hAnsiTheme="majorBidi" w:cstheme="majorBidi"/>
          <w:bCs/>
          <w:iCs/>
          <w:sz w:val="24"/>
          <w:szCs w:val="24"/>
        </w:rPr>
        <w:t>P</w:t>
      </w:r>
      <w:r w:rsidR="005F25D8" w:rsidRPr="008207E2">
        <w:rPr>
          <w:rFonts w:asciiTheme="majorBidi" w:hAnsiTheme="majorBidi" w:cstheme="majorBidi"/>
          <w:bCs/>
          <w:iCs/>
          <w:sz w:val="24"/>
          <w:szCs w:val="24"/>
        </w:rPr>
        <w:t>&lt;0.001)</w:t>
      </w:r>
      <w:r w:rsidR="00747675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(Table 2)</w:t>
      </w:r>
      <w:r w:rsidR="005F25D8" w:rsidRPr="008207E2">
        <w:rPr>
          <w:rFonts w:asciiTheme="majorBidi" w:hAnsiTheme="majorBidi" w:cstheme="majorBidi"/>
          <w:bCs/>
          <w:iCs/>
          <w:sz w:val="24"/>
          <w:szCs w:val="24"/>
        </w:rPr>
        <w:t>.</w:t>
      </w:r>
    </w:p>
    <w:p w14:paraId="79E1D3D7" w14:textId="1D8408F2" w:rsidR="000E4086" w:rsidRPr="000E4086" w:rsidRDefault="000E4086" w:rsidP="000E4086">
      <w:pPr>
        <w:pStyle w:val="Caption"/>
        <w:keepNext/>
        <w:rPr>
          <w:sz w:val="22"/>
          <w:szCs w:val="22"/>
        </w:rPr>
      </w:pPr>
      <w:r w:rsidRPr="000E4086">
        <w:rPr>
          <w:sz w:val="22"/>
          <w:szCs w:val="22"/>
        </w:rPr>
        <w:t xml:space="preserve">Table </w:t>
      </w:r>
      <w:r w:rsidR="0036725D">
        <w:rPr>
          <w:sz w:val="22"/>
          <w:szCs w:val="22"/>
        </w:rPr>
        <w:fldChar w:fldCharType="begin"/>
      </w:r>
      <w:r w:rsidR="0036725D">
        <w:rPr>
          <w:sz w:val="22"/>
          <w:szCs w:val="22"/>
        </w:rPr>
        <w:instrText xml:space="preserve"> SEQ Table \* ARABIC </w:instrText>
      </w:r>
      <w:r w:rsidR="0036725D">
        <w:rPr>
          <w:sz w:val="22"/>
          <w:szCs w:val="22"/>
        </w:rPr>
        <w:fldChar w:fldCharType="separate"/>
      </w:r>
      <w:r w:rsidR="00496B84">
        <w:rPr>
          <w:noProof/>
          <w:sz w:val="22"/>
          <w:szCs w:val="22"/>
        </w:rPr>
        <w:t>2</w:t>
      </w:r>
      <w:r w:rsidR="0036725D">
        <w:rPr>
          <w:sz w:val="22"/>
          <w:szCs w:val="22"/>
        </w:rPr>
        <w:fldChar w:fldCharType="end"/>
      </w:r>
      <w:r w:rsidRPr="000E4086">
        <w:rPr>
          <w:sz w:val="22"/>
          <w:szCs w:val="22"/>
        </w:rPr>
        <w:t>:</w:t>
      </w:r>
      <w:r w:rsidRPr="000E4086">
        <w:rPr>
          <w:rFonts w:asciiTheme="majorBidi" w:eastAsia="Palatino Linotype" w:hAnsiTheme="majorBidi" w:cstheme="majorBidi"/>
          <w:b/>
          <w:i w:val="0"/>
          <w:iCs w:val="0"/>
          <w:color w:val="auto"/>
          <w:sz w:val="22"/>
          <w:szCs w:val="22"/>
        </w:rPr>
        <w:t xml:space="preserve"> </w:t>
      </w:r>
      <w:r w:rsidRPr="000E4086">
        <w:rPr>
          <w:b/>
          <w:sz w:val="22"/>
          <w:szCs w:val="22"/>
        </w:rPr>
        <w:t>Different genotypes and allelic frequencies of the IL23R (</w:t>
      </w:r>
      <w:bookmarkStart w:id="47" w:name="_Hlk114305883"/>
      <w:r w:rsidRPr="000E4086">
        <w:rPr>
          <w:b/>
          <w:sz w:val="22"/>
          <w:szCs w:val="22"/>
        </w:rPr>
        <w:t>rs10889677</w:t>
      </w:r>
      <w:bookmarkEnd w:id="47"/>
      <w:r w:rsidRPr="000E4086">
        <w:rPr>
          <w:b/>
          <w:sz w:val="22"/>
          <w:szCs w:val="22"/>
        </w:rPr>
        <w:t xml:space="preserve"> A&gt;C) gene polymorphism.          </w:t>
      </w:r>
      <w:r w:rsidRPr="000E4086">
        <w:rPr>
          <w:sz w:val="22"/>
          <w:szCs w:val="22"/>
        </w:rPr>
        <w:t xml:space="preserve"> </w:t>
      </w:r>
    </w:p>
    <w:tbl>
      <w:tblPr>
        <w:tblStyle w:val="TableGrid"/>
        <w:tblW w:w="103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0"/>
        <w:gridCol w:w="1006"/>
        <w:gridCol w:w="1081"/>
        <w:gridCol w:w="1167"/>
        <w:gridCol w:w="966"/>
        <w:gridCol w:w="1228"/>
        <w:gridCol w:w="2070"/>
        <w:gridCol w:w="1210"/>
      </w:tblGrid>
      <w:tr w:rsidR="000E4086" w:rsidRPr="000E4086" w14:paraId="50314656" w14:textId="77777777" w:rsidTr="00DE6FFD">
        <w:trPr>
          <w:trHeight w:val="756"/>
          <w:jc w:val="center"/>
        </w:trPr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631603C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</w:rPr>
              <w:t>Genotype</w:t>
            </w:r>
          </w:p>
          <w:p w14:paraId="1F45B11F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14:paraId="4FA8A523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</w:rPr>
              <w:t>Control group</w:t>
            </w:r>
            <w:r w:rsidRPr="000E4086">
              <w:rPr>
                <w:rFonts w:asciiTheme="majorBidi" w:eastAsia="Palatino Linotype" w:hAnsiTheme="majorBidi" w:cstheme="majorBidi"/>
                <w:b/>
                <w:spacing w:val="1"/>
                <w:sz w:val="20"/>
              </w:rPr>
              <w:t xml:space="preserve"> </w:t>
            </w:r>
            <w:r w:rsidRPr="000E4086">
              <w:rPr>
                <w:rFonts w:asciiTheme="majorBidi" w:eastAsia="Palatino Linotype" w:hAnsiTheme="majorBidi" w:cstheme="majorBidi"/>
                <w:b/>
                <w:sz w:val="20"/>
              </w:rPr>
              <w:t>(n=50)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13D4165F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  <w:bookmarkStart w:id="48" w:name="_Hlk115633761"/>
            <w:r w:rsidRPr="000E4086">
              <w:rPr>
                <w:rFonts w:asciiTheme="majorBidi" w:eastAsia="Palatino Linotype" w:hAnsiTheme="majorBidi" w:cstheme="majorBidi"/>
                <w:b/>
                <w:sz w:val="20"/>
              </w:rPr>
              <w:t>HCV patients</w:t>
            </w:r>
            <w:r w:rsidRPr="000E4086">
              <w:rPr>
                <w:rFonts w:asciiTheme="majorBidi" w:eastAsia="Palatino Linotype" w:hAnsiTheme="majorBidi" w:cstheme="majorBidi"/>
                <w:b/>
                <w:spacing w:val="1"/>
                <w:sz w:val="20"/>
              </w:rPr>
              <w:t xml:space="preserve"> </w:t>
            </w:r>
            <w:r w:rsidRPr="000E4086">
              <w:rPr>
                <w:rFonts w:asciiTheme="majorBidi" w:eastAsia="Palatino Linotype" w:hAnsiTheme="majorBidi" w:cstheme="majorBidi"/>
                <w:b/>
                <w:sz w:val="20"/>
              </w:rPr>
              <w:t>without</w:t>
            </w:r>
            <w:r w:rsidRPr="000E4086">
              <w:rPr>
                <w:rFonts w:asciiTheme="majorBidi" w:eastAsia="Palatino Linotype" w:hAnsiTheme="majorBidi" w:cstheme="majorBidi"/>
                <w:b/>
                <w:spacing w:val="1"/>
                <w:sz w:val="20"/>
              </w:rPr>
              <w:t xml:space="preserve"> </w:t>
            </w:r>
            <w:r w:rsidRPr="000E4086">
              <w:rPr>
                <w:rFonts w:asciiTheme="majorBidi" w:eastAsia="Palatino Linotype" w:hAnsiTheme="majorBidi" w:cstheme="majorBidi"/>
                <w:b/>
                <w:sz w:val="20"/>
              </w:rPr>
              <w:t>HCC</w:t>
            </w:r>
            <w:r w:rsidRPr="000E4086">
              <w:rPr>
                <w:rFonts w:asciiTheme="majorBidi" w:eastAsia="Palatino Linotype" w:hAnsiTheme="majorBidi" w:cstheme="majorBidi"/>
                <w:b/>
                <w:spacing w:val="1"/>
                <w:sz w:val="20"/>
              </w:rPr>
              <w:t xml:space="preserve"> </w:t>
            </w:r>
            <w:bookmarkEnd w:id="48"/>
            <w:r w:rsidRPr="000E4086">
              <w:rPr>
                <w:rFonts w:asciiTheme="majorBidi" w:eastAsia="Palatino Linotype" w:hAnsiTheme="majorBidi" w:cstheme="majorBidi"/>
                <w:b/>
                <w:sz w:val="20"/>
              </w:rPr>
              <w:t>(n=100)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14:paraId="4A6AE825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</w:rPr>
              <w:t>HCV patients with HCC (n=100)</w:t>
            </w:r>
          </w:p>
          <w:p w14:paraId="02589EAC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1CCBEE0D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="Palatino Linotype" w:eastAsia="Palatino Linotype" w:hAnsi="Palatino Linotype" w:cs="Palatino Linotype"/>
                <w:b/>
                <w:i/>
                <w:iCs/>
                <w:sz w:val="20"/>
              </w:rPr>
            </w:pPr>
            <w:r w:rsidRPr="000E4086">
              <w:rPr>
                <w:rFonts w:ascii="Palatino Linotype" w:eastAsia="Palatino Linotype" w:hAnsi="Palatino Linotype" w:cs="Palatino Linotype"/>
                <w:b/>
                <w:i/>
                <w:iCs/>
                <w:sz w:val="20"/>
              </w:rPr>
              <w:t>P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14:paraId="567819BA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center"/>
              <w:rPr>
                <w:rFonts w:ascii="Palatino Linotype" w:eastAsia="Palatino Linotype" w:hAnsi="Palatino Linotype" w:cs="Palatino Linotype"/>
                <w:b/>
                <w:i/>
                <w:iCs/>
                <w:sz w:val="20"/>
              </w:rPr>
            </w:pPr>
            <w:bookmarkStart w:id="49" w:name="_Hlk115634526"/>
            <w:r w:rsidRPr="000E4086"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Chi for trend</w:t>
            </w:r>
            <w:bookmarkEnd w:id="49"/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87FDD78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="Palatino Linotype" w:eastAsia="Palatino Linotype" w:hAnsi="Palatino Linotype" w:cs="Palatino Linotype"/>
                <w:b/>
                <w:i/>
                <w:iCs/>
                <w:sz w:val="20"/>
              </w:rPr>
            </w:pPr>
            <w:r w:rsidRPr="000E4086"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OR (95% CI)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3C6029D3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="Palatino Linotype" w:eastAsia="Palatino Linotype" w:hAnsi="Palatino Linotype" w:cs="Palatino Linotype"/>
                <w:b/>
                <w:i/>
                <w:iCs/>
                <w:sz w:val="20"/>
              </w:rPr>
            </w:pPr>
            <w:r w:rsidRPr="000E4086">
              <w:rPr>
                <w:rFonts w:ascii="Palatino Linotype" w:eastAsia="Palatino Linotype" w:hAnsi="Palatino Linotype" w:cs="Palatino Linotype"/>
                <w:b/>
                <w:i/>
                <w:sz w:val="20"/>
                <w:szCs w:val="20"/>
              </w:rPr>
              <w:t>P</w:t>
            </w:r>
          </w:p>
        </w:tc>
      </w:tr>
      <w:tr w:rsidR="000E4086" w:rsidRPr="000E4086" w14:paraId="70BB96B7" w14:textId="77777777" w:rsidTr="00DE6FFD">
        <w:trPr>
          <w:trHeight w:val="1401"/>
          <w:jc w:val="center"/>
        </w:trPr>
        <w:tc>
          <w:tcPr>
            <w:tcW w:w="1682" w:type="dxa"/>
            <w:tcBorders>
              <w:top w:val="single" w:sz="4" w:space="0" w:color="auto"/>
            </w:tcBorders>
          </w:tcPr>
          <w:p w14:paraId="0D644469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30"/>
              <w:ind w:left="38"/>
              <w:rPr>
                <w:rFonts w:ascii="Palatino Linotype" w:eastAsia="Palatino Linotype" w:hAnsi="Palatino Linotype" w:cs="Palatino Linotype"/>
                <w:b/>
                <w:i/>
                <w:sz w:val="20"/>
              </w:rPr>
            </w:pPr>
            <w:r w:rsidRPr="000E4086">
              <w:rPr>
                <w:rFonts w:ascii="Palatino Linotype" w:eastAsia="Palatino Linotype" w:hAnsi="Palatino Linotype" w:cs="Palatino Linotype"/>
                <w:b/>
                <w:i/>
                <w:sz w:val="20"/>
              </w:rPr>
              <w:t>Allele</w:t>
            </w:r>
            <w:r w:rsidRPr="000E4086">
              <w:rPr>
                <w:rFonts w:ascii="Palatino Linotype" w:eastAsia="Palatino Linotype" w:hAnsi="Palatino Linotype" w:cs="Palatino Linotype"/>
                <w:b/>
                <w:i/>
                <w:spacing w:val="-1"/>
                <w:sz w:val="20"/>
              </w:rPr>
              <w:t xml:space="preserve"> </w:t>
            </w:r>
            <w:r w:rsidRPr="000E4086">
              <w:rPr>
                <w:rFonts w:ascii="Palatino Linotype" w:eastAsia="Palatino Linotype" w:hAnsi="Palatino Linotype" w:cs="Palatino Linotype"/>
                <w:b/>
                <w:i/>
                <w:sz w:val="20"/>
              </w:rPr>
              <w:t>frequency</w:t>
            </w:r>
          </w:p>
          <w:p w14:paraId="5AA12A96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i/>
                <w:iCs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i/>
                <w:iCs/>
                <w:sz w:val="20"/>
              </w:rPr>
              <w:t>A</w:t>
            </w:r>
          </w:p>
          <w:p w14:paraId="73EBB067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i/>
                <w:iCs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i/>
                <w:iCs/>
                <w:sz w:val="20"/>
              </w:rPr>
              <w:t>C</w:t>
            </w:r>
          </w:p>
          <w:p w14:paraId="33DB5F8C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01ED48B8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</w:p>
          <w:p w14:paraId="070B5991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Cs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</w:rPr>
              <w:t>83 (83%)</w:t>
            </w:r>
          </w:p>
          <w:p w14:paraId="5977D549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</w:rPr>
              <w:t>17 (17%)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653E3889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</w:p>
          <w:p w14:paraId="1F0BC753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Cs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</w:rPr>
              <w:t>178 (89%)</w:t>
            </w:r>
          </w:p>
          <w:p w14:paraId="21EA6FAE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Cs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</w:rPr>
              <w:t>22 (11%)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14:paraId="39CB265A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</w:p>
          <w:p w14:paraId="418B10C1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Cs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</w:rPr>
              <w:t>194 (97%)</w:t>
            </w:r>
          </w:p>
          <w:p w14:paraId="0F0E8F96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Cs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</w:rPr>
              <w:t>6 (3%)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14:paraId="3CA72E4E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="Palatino Linotype" w:eastAsia="Palatino Linotype" w:hAnsi="Palatino Linotype" w:cs="Palatino Linotype"/>
                <w:sz w:val="20"/>
              </w:rPr>
            </w:pPr>
          </w:p>
          <w:p w14:paraId="74A844BE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</w:rPr>
              <w:t>&lt;0.001**</w:t>
            </w:r>
          </w:p>
        </w:tc>
        <w:tc>
          <w:tcPr>
            <w:tcW w:w="1258" w:type="dxa"/>
            <w:tcBorders>
              <w:top w:val="single" w:sz="4" w:space="0" w:color="auto"/>
            </w:tcBorders>
          </w:tcPr>
          <w:p w14:paraId="76622821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2EAA649D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0.145$</w:t>
            </w:r>
          </w:p>
          <w:p w14:paraId="59E2A0CB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&lt;0.001@**</w:t>
            </w:r>
          </w:p>
          <w:p w14:paraId="663F69B4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center"/>
              <w:rPr>
                <w:rFonts w:ascii="Palatino Linotype" w:eastAsia="Palatino Linotype" w:hAnsi="Palatino Linotype" w:cs="Palatino Linotype"/>
                <w:sz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0.001#*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29C7160E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55A5CDA2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0.60 (0.30–1.19) @</w:t>
            </w:r>
          </w:p>
          <w:p w14:paraId="54CEA2AE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bookmarkStart w:id="50" w:name="_Hlk115644763"/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0.15 (0.05-0.39) </w:t>
            </w:r>
            <w:bookmarkEnd w:id="50"/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#</w:t>
            </w:r>
          </w:p>
          <w:p w14:paraId="1643DD75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="Palatino Linotype" w:eastAsia="Palatino Linotype" w:hAnsi="Palatino Linotype" w:cs="Palatino Linotype"/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449388BA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6AF11C63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0.07</w:t>
            </w:r>
          </w:p>
          <w:p w14:paraId="3EDAF37B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center"/>
              <w:rPr>
                <w:rFonts w:ascii="Palatino Linotype" w:eastAsia="Palatino Linotype" w:hAnsi="Palatino Linotype" w:cs="Palatino Linotype"/>
                <w:sz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&lt;0.001**</w:t>
            </w:r>
          </w:p>
        </w:tc>
      </w:tr>
      <w:tr w:rsidR="000E4086" w:rsidRPr="000E4086" w14:paraId="73706EA4" w14:textId="77777777" w:rsidTr="00DE6FFD">
        <w:trPr>
          <w:trHeight w:val="2431"/>
          <w:jc w:val="center"/>
        </w:trPr>
        <w:tc>
          <w:tcPr>
            <w:tcW w:w="1682" w:type="dxa"/>
          </w:tcPr>
          <w:p w14:paraId="6791CCEF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</w:rPr>
              <w:t>Genotypes</w:t>
            </w:r>
          </w:p>
          <w:p w14:paraId="5F6FE0BD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i/>
                <w:iCs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i/>
                <w:iCs/>
                <w:sz w:val="20"/>
              </w:rPr>
              <w:t>AA</w:t>
            </w:r>
          </w:p>
          <w:p w14:paraId="620D8C6C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i/>
                <w:iCs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i/>
                <w:iCs/>
                <w:sz w:val="20"/>
              </w:rPr>
              <w:t>AC</w:t>
            </w:r>
          </w:p>
          <w:p w14:paraId="3CD0FC4D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i/>
                <w:iCs/>
                <w:sz w:val="20"/>
              </w:rPr>
              <w:t>CC</w:t>
            </w:r>
          </w:p>
        </w:tc>
        <w:tc>
          <w:tcPr>
            <w:tcW w:w="1029" w:type="dxa"/>
          </w:tcPr>
          <w:p w14:paraId="386BF37C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</w:p>
          <w:p w14:paraId="2068A9E6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Cs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</w:rPr>
              <w:t>36 (72%)</w:t>
            </w:r>
          </w:p>
          <w:p w14:paraId="6A4AABD4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Cs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</w:rPr>
              <w:t>11 (22%)</w:t>
            </w:r>
          </w:p>
          <w:p w14:paraId="4DAEC499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</w:rPr>
              <w:t>3 (6%)</w:t>
            </w:r>
          </w:p>
        </w:tc>
        <w:tc>
          <w:tcPr>
            <w:tcW w:w="1106" w:type="dxa"/>
          </w:tcPr>
          <w:p w14:paraId="44B90097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</w:p>
          <w:p w14:paraId="085886FD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Cs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</w:rPr>
              <w:t>82 (82%)</w:t>
            </w:r>
          </w:p>
          <w:p w14:paraId="473F3B20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Cs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</w:rPr>
              <w:t>14 (14%)</w:t>
            </w:r>
          </w:p>
          <w:p w14:paraId="5FCC22B3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</w:rPr>
              <w:t>4 (4%)</w:t>
            </w:r>
          </w:p>
        </w:tc>
        <w:tc>
          <w:tcPr>
            <w:tcW w:w="1195" w:type="dxa"/>
          </w:tcPr>
          <w:p w14:paraId="355C1255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</w:p>
          <w:p w14:paraId="28381089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Cs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</w:rPr>
              <w:t>94(94%)</w:t>
            </w:r>
          </w:p>
          <w:p w14:paraId="09DF2074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Cs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</w:rPr>
              <w:t>6 (6%)</w:t>
            </w:r>
          </w:p>
          <w:p w14:paraId="4FECBCF5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</w:rPr>
              <w:t>0 (0%)</w:t>
            </w:r>
          </w:p>
        </w:tc>
        <w:tc>
          <w:tcPr>
            <w:tcW w:w="988" w:type="dxa"/>
          </w:tcPr>
          <w:p w14:paraId="4819F365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</w:p>
          <w:p w14:paraId="269B5537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Cs/>
                <w:sz w:val="20"/>
              </w:rPr>
            </w:pPr>
            <w:bookmarkStart w:id="51" w:name="_Hlk115634268"/>
            <w:r w:rsidRPr="000E4086">
              <w:rPr>
                <w:rFonts w:asciiTheme="majorBidi" w:eastAsia="Palatino Linotype" w:hAnsiTheme="majorBidi" w:cstheme="majorBidi"/>
                <w:bCs/>
                <w:sz w:val="20"/>
              </w:rPr>
              <w:t>0.006*</w:t>
            </w:r>
            <w:bookmarkEnd w:id="51"/>
          </w:p>
        </w:tc>
        <w:tc>
          <w:tcPr>
            <w:tcW w:w="1258" w:type="dxa"/>
          </w:tcPr>
          <w:p w14:paraId="3020EB8F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79F998D9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bookmarkStart w:id="52" w:name="_Hlk115634486"/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0.369</w:t>
            </w:r>
            <w:bookmarkEnd w:id="52"/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$</w:t>
            </w:r>
          </w:p>
          <w:p w14:paraId="7769BD1B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&lt;0.001@**</w:t>
            </w:r>
          </w:p>
          <w:p w14:paraId="2E88B3D0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center"/>
              <w:rPr>
                <w:rFonts w:asciiTheme="majorBidi" w:eastAsia="Palatino Linotype" w:hAnsiTheme="majorBidi" w:cstheme="majorBidi"/>
                <w:b/>
                <w:sz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0.01#*</w:t>
            </w:r>
          </w:p>
        </w:tc>
        <w:tc>
          <w:tcPr>
            <w:tcW w:w="2125" w:type="dxa"/>
          </w:tcPr>
          <w:p w14:paraId="4D6707E8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</w:t>
            </w:r>
          </w:p>
          <w:p w14:paraId="04A724DA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Reference</w:t>
            </w:r>
          </w:p>
          <w:p w14:paraId="1B3D834F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0" w:line="360" w:lineRule="auto"/>
              <w:ind w:left="165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0.55 (0.23–1.34) @</w:t>
            </w:r>
          </w:p>
          <w:p w14:paraId="21E32573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line="360" w:lineRule="auto"/>
              <w:ind w:left="165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0.58 (0.12–2.75) @</w:t>
            </w:r>
          </w:p>
          <w:p w14:paraId="222065A6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line="360" w:lineRule="auto"/>
              <w:ind w:left="165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0.20 (0.07-0.60) #</w:t>
            </w:r>
          </w:p>
          <w:p w14:paraId="4FE865F9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line="360" w:lineRule="auto"/>
              <w:ind w:left="165"/>
              <w:rPr>
                <w:rFonts w:asciiTheme="majorBidi" w:eastAsia="Palatino Linotype" w:hAnsiTheme="majorBidi" w:cstheme="majorBidi"/>
                <w:b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</w:rPr>
              <w:t>------------------#</w:t>
            </w:r>
          </w:p>
        </w:tc>
        <w:tc>
          <w:tcPr>
            <w:tcW w:w="1239" w:type="dxa"/>
          </w:tcPr>
          <w:p w14:paraId="219CE50A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  <w:p w14:paraId="1B0B7379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21599D56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0.103</w:t>
            </w:r>
          </w:p>
          <w:p w14:paraId="05F59E73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0.257</w:t>
            </w:r>
          </w:p>
          <w:p w14:paraId="3ACC49B7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0.001*</w:t>
            </w:r>
          </w:p>
          <w:p w14:paraId="4A34C433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-----</w:t>
            </w:r>
          </w:p>
          <w:p w14:paraId="6557C6BF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center"/>
              <w:rPr>
                <w:rFonts w:asciiTheme="majorBidi" w:eastAsia="Palatino Linotype" w:hAnsiTheme="majorBidi" w:cstheme="majorBidi"/>
                <w:b/>
                <w:sz w:val="20"/>
              </w:rPr>
            </w:pPr>
          </w:p>
        </w:tc>
      </w:tr>
      <w:tr w:rsidR="000E4086" w:rsidRPr="000E4086" w14:paraId="2C26ACEE" w14:textId="77777777" w:rsidTr="00DE6FFD">
        <w:trPr>
          <w:trHeight w:val="1487"/>
          <w:jc w:val="center"/>
        </w:trPr>
        <w:tc>
          <w:tcPr>
            <w:tcW w:w="1682" w:type="dxa"/>
            <w:tcBorders>
              <w:bottom w:val="single" w:sz="4" w:space="0" w:color="auto"/>
            </w:tcBorders>
          </w:tcPr>
          <w:p w14:paraId="3B5180F1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i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i/>
                <w:sz w:val="20"/>
              </w:rPr>
              <w:t>Recessive model</w:t>
            </w:r>
          </w:p>
          <w:p w14:paraId="40CC5EAA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="Palatino Linotype" w:eastAsia="Palatino Linotype" w:hAnsi="Palatino Linotype" w:cs="Palatino Linotype"/>
                <w:b/>
                <w:bCs/>
                <w:i/>
                <w:iCs/>
                <w:sz w:val="20"/>
              </w:rPr>
            </w:pPr>
            <w:r w:rsidRPr="000E4086">
              <w:rPr>
                <w:rFonts w:ascii="Palatino Linotype" w:eastAsia="Palatino Linotype" w:hAnsi="Palatino Linotype" w:cs="Palatino Linotype"/>
                <w:b/>
                <w:bCs/>
                <w:i/>
                <w:iCs/>
                <w:sz w:val="20"/>
              </w:rPr>
              <w:t>AA</w:t>
            </w:r>
          </w:p>
          <w:p w14:paraId="7B5873AD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bCs/>
                <w:sz w:val="20"/>
              </w:rPr>
            </w:pPr>
            <w:r w:rsidRPr="000E4086">
              <w:rPr>
                <w:rFonts w:ascii="Palatino Linotype" w:eastAsia="Palatino Linotype" w:hAnsi="Palatino Linotype" w:cs="Palatino Linotype"/>
                <w:b/>
                <w:bCs/>
                <w:i/>
                <w:iCs/>
                <w:sz w:val="20"/>
              </w:rPr>
              <w:t>AC +</w:t>
            </w:r>
            <w:r w:rsidRPr="000E4086">
              <w:rPr>
                <w:rFonts w:ascii="Palatino Linotype" w:eastAsia="Palatino Linotype" w:hAnsi="Palatino Linotype" w:cs="Palatino Linotype"/>
                <w:b/>
                <w:bCs/>
                <w:i/>
                <w:iCs/>
                <w:spacing w:val="-1"/>
                <w:sz w:val="20"/>
              </w:rPr>
              <w:t xml:space="preserve"> </w:t>
            </w:r>
            <w:r w:rsidRPr="000E4086">
              <w:rPr>
                <w:rFonts w:ascii="Palatino Linotype" w:eastAsia="Palatino Linotype" w:hAnsi="Palatino Linotype" w:cs="Palatino Linotype"/>
                <w:b/>
                <w:bCs/>
                <w:i/>
                <w:iCs/>
                <w:sz w:val="20"/>
              </w:rPr>
              <w:t>CC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0B5A9E79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</w:p>
          <w:p w14:paraId="2E7E4DB7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Cs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</w:rPr>
              <w:t>36 (36%)</w:t>
            </w:r>
          </w:p>
          <w:p w14:paraId="3E784371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Cs/>
                <w:sz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</w:rPr>
              <w:t>14 (28%)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26C0175A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</w:p>
          <w:p w14:paraId="324C8E3F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="Palatino Linotype" w:eastAsia="Palatino Linotype" w:hAnsi="Palatino Linotype" w:cs="Palatino Linotype"/>
                <w:sz w:val="14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</w:rPr>
              <w:t>82 (82%)</w:t>
            </w:r>
          </w:p>
          <w:p w14:paraId="3DF9C35B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Cs/>
                <w:sz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</w:rPr>
              <w:t>18</w:t>
            </w:r>
            <w:r w:rsidRPr="000E4086">
              <w:rPr>
                <w:rFonts w:ascii="Palatino Linotype" w:eastAsia="Palatino Linotype" w:hAnsi="Palatino Linotype" w:cs="Palatino Linotype"/>
                <w:spacing w:val="2"/>
                <w:sz w:val="20"/>
              </w:rPr>
              <w:t xml:space="preserve"> </w:t>
            </w:r>
            <w:r w:rsidRPr="000E4086">
              <w:rPr>
                <w:rFonts w:ascii="Palatino Linotype" w:eastAsia="Palatino Linotype" w:hAnsi="Palatino Linotype" w:cs="Palatino Linotype"/>
                <w:sz w:val="20"/>
              </w:rPr>
              <w:t>(18%)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31C843F0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</w:p>
          <w:p w14:paraId="6AE32BC5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="Palatino Linotype" w:eastAsia="Palatino Linotype" w:hAnsi="Palatino Linotype" w:cs="Palatino Linotype"/>
                <w:sz w:val="14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</w:rPr>
              <w:t>94 (94%)</w:t>
            </w:r>
          </w:p>
          <w:p w14:paraId="28131FC0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Cs/>
                <w:sz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</w:rPr>
              <w:t>6</w:t>
            </w:r>
            <w:r w:rsidRPr="000E4086">
              <w:rPr>
                <w:rFonts w:ascii="Palatino Linotype" w:eastAsia="Palatino Linotype" w:hAnsi="Palatino Linotype" w:cs="Palatino Linotype"/>
                <w:spacing w:val="2"/>
                <w:sz w:val="20"/>
              </w:rPr>
              <w:t xml:space="preserve"> </w:t>
            </w:r>
            <w:r w:rsidRPr="000E4086">
              <w:rPr>
                <w:rFonts w:ascii="Palatino Linotype" w:eastAsia="Palatino Linotype" w:hAnsi="Palatino Linotype" w:cs="Palatino Linotype"/>
                <w:sz w:val="20"/>
              </w:rPr>
              <w:t>(6%)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0B5D3E8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30"/>
              <w:ind w:left="167" w:right="171"/>
              <w:jc w:val="center"/>
              <w:rPr>
                <w:rFonts w:ascii="Palatino Linotype" w:eastAsia="Palatino Linotype" w:hAnsi="Palatino Linotype" w:cs="Palatino Linotype"/>
                <w:sz w:val="20"/>
              </w:rPr>
            </w:pPr>
          </w:p>
          <w:p w14:paraId="5A8F25E0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30"/>
              <w:ind w:left="167" w:right="171"/>
              <w:jc w:val="center"/>
              <w:rPr>
                <w:rFonts w:ascii="Palatino Linotype" w:eastAsia="Palatino Linotype" w:hAnsi="Palatino Linotype" w:cs="Palatino Linotype"/>
                <w:sz w:val="20"/>
              </w:rPr>
            </w:pPr>
          </w:p>
          <w:p w14:paraId="40ACDDDD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30"/>
              <w:ind w:left="167" w:right="171"/>
              <w:jc w:val="both"/>
              <w:rPr>
                <w:rFonts w:ascii="Palatino Linotype" w:eastAsia="Palatino Linotype" w:hAnsi="Palatino Linotype" w:cs="Palatino Linotype"/>
                <w:sz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</w:rPr>
              <w:t>0.001</w:t>
            </w:r>
          </w:p>
          <w:p w14:paraId="42C84445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17EFF4DE" w14:textId="77777777" w:rsidR="000E4086" w:rsidRPr="000E4086" w:rsidRDefault="000E4086" w:rsidP="000E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30"/>
              <w:ind w:left="141" w:right="134"/>
              <w:jc w:val="center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  <w:p w14:paraId="6B91AE68" w14:textId="77777777" w:rsidR="000E4086" w:rsidRPr="000E4086" w:rsidRDefault="000E4086" w:rsidP="000E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30"/>
              <w:ind w:right="134"/>
              <w:jc w:val="center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0.158$</w:t>
            </w:r>
          </w:p>
          <w:p w14:paraId="4EDCA9BE" w14:textId="77777777" w:rsidR="000E4086" w:rsidRPr="000E4086" w:rsidRDefault="000E4086" w:rsidP="000E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30"/>
              <w:ind w:right="134"/>
              <w:jc w:val="center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&lt;0.001@**</w:t>
            </w:r>
          </w:p>
          <w:p w14:paraId="0268AF79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30"/>
              <w:ind w:left="167" w:right="171"/>
              <w:jc w:val="center"/>
              <w:rPr>
                <w:rFonts w:ascii="Palatino Linotype" w:eastAsia="Palatino Linotype" w:hAnsi="Palatino Linotype" w:cs="Palatino Linotype"/>
                <w:sz w:val="20"/>
              </w:rPr>
            </w:pPr>
            <w:r w:rsidRPr="000E4086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0.009#*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05207972" w14:textId="77777777" w:rsidR="000E4086" w:rsidRPr="000E4086" w:rsidRDefault="000E4086" w:rsidP="000E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30"/>
              <w:ind w:left="141" w:right="134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  <w:p w14:paraId="49DFBEA4" w14:textId="77777777" w:rsidR="000E4086" w:rsidRPr="000E4086" w:rsidRDefault="000E4086" w:rsidP="000E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30"/>
              <w:ind w:left="141" w:right="134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Reference </w:t>
            </w:r>
          </w:p>
          <w:p w14:paraId="27A17B34" w14:textId="77777777" w:rsidR="000E4086" w:rsidRPr="000E4086" w:rsidRDefault="000E4086" w:rsidP="000E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30"/>
              <w:ind w:left="141" w:right="134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0.56 (0.25-1.25) @</w:t>
            </w:r>
          </w:p>
          <w:p w14:paraId="79003814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30"/>
              <w:ind w:left="167" w:right="171"/>
              <w:jc w:val="center"/>
              <w:rPr>
                <w:rFonts w:ascii="Palatino Linotype" w:eastAsia="Palatino Linotype" w:hAnsi="Palatino Linotype" w:cs="Palatino Linotype"/>
                <w:sz w:val="20"/>
              </w:rPr>
            </w:pPr>
            <w:bookmarkStart w:id="53" w:name="_Hlk115644906"/>
            <w:r w:rsidRPr="000E4086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0.16 (0.05-0.46) </w:t>
            </w:r>
            <w:bookmarkEnd w:id="53"/>
            <w:r w:rsidRPr="000E4086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#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18744E54" w14:textId="77777777" w:rsidR="000E4086" w:rsidRPr="000E4086" w:rsidRDefault="000E4086" w:rsidP="000E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30"/>
              <w:ind w:left="166" w:right="166"/>
              <w:jc w:val="center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  <w:p w14:paraId="40EDB81E" w14:textId="77777777" w:rsidR="000E4086" w:rsidRPr="000E4086" w:rsidRDefault="000E4086" w:rsidP="000E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30"/>
              <w:ind w:right="166"/>
              <w:jc w:val="center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  <w:p w14:paraId="7ABD3B4D" w14:textId="77777777" w:rsidR="000E4086" w:rsidRPr="000E4086" w:rsidRDefault="000E4086" w:rsidP="000E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30"/>
              <w:ind w:right="166"/>
              <w:jc w:val="center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0.08</w:t>
            </w:r>
          </w:p>
          <w:p w14:paraId="4898E219" w14:textId="77777777" w:rsidR="000E4086" w:rsidRPr="000E4086" w:rsidRDefault="000E4086" w:rsidP="0036725D">
            <w:pPr>
              <w:keepNext/>
              <w:widowControl w:val="0"/>
              <w:autoSpaceDE w:val="0"/>
              <w:autoSpaceDN w:val="0"/>
              <w:spacing w:before="30"/>
              <w:ind w:left="167" w:right="171"/>
              <w:jc w:val="center"/>
              <w:rPr>
                <w:rFonts w:ascii="Palatino Linotype" w:eastAsia="Palatino Linotype" w:hAnsi="Palatino Linotype" w:cs="Palatino Linotype"/>
                <w:bCs/>
                <w:sz w:val="20"/>
              </w:rPr>
            </w:pPr>
            <w:r w:rsidRPr="000E4086">
              <w:rPr>
                <w:rFonts w:ascii="Palatino Linotype" w:eastAsia="Palatino Linotype" w:hAnsi="Palatino Linotype" w:cs="Palatino Linotype"/>
                <w:bCs/>
                <w:color w:val="000000"/>
                <w:sz w:val="20"/>
                <w:szCs w:val="20"/>
              </w:rPr>
              <w:t>&lt;0.001**</w:t>
            </w:r>
          </w:p>
        </w:tc>
      </w:tr>
    </w:tbl>
    <w:p w14:paraId="2B0DF62D" w14:textId="23E1C7F5" w:rsidR="0036725D" w:rsidRPr="00DE6FFD" w:rsidRDefault="0036725D" w:rsidP="0036725D">
      <w:pPr>
        <w:pStyle w:val="Caption"/>
        <w:rPr>
          <w:sz w:val="20"/>
          <w:szCs w:val="20"/>
        </w:rPr>
      </w:pPr>
      <w:r w:rsidRPr="00DE6FFD">
        <w:rPr>
          <w:sz w:val="20"/>
          <w:szCs w:val="20"/>
          <w:vertAlign w:val="superscript"/>
        </w:rPr>
        <w:t>$:</w:t>
      </w:r>
      <w:r w:rsidRPr="00DE6FFD">
        <w:rPr>
          <w:b/>
          <w:sz w:val="20"/>
          <w:szCs w:val="20"/>
        </w:rPr>
        <w:t xml:space="preserve"> </w:t>
      </w:r>
      <w:r w:rsidRPr="00DE6FFD">
        <w:rPr>
          <w:bCs/>
          <w:sz w:val="20"/>
          <w:szCs w:val="20"/>
        </w:rPr>
        <w:t xml:space="preserve">HCV patients without HCC </w:t>
      </w:r>
      <w:r w:rsidRPr="00DE6FFD">
        <w:rPr>
          <w:sz w:val="20"/>
          <w:szCs w:val="20"/>
        </w:rPr>
        <w:t>against control group;</w:t>
      </w:r>
      <w:r w:rsidRPr="00DE6FFD">
        <w:rPr>
          <w:sz w:val="20"/>
          <w:szCs w:val="20"/>
          <w:vertAlign w:val="superscript"/>
        </w:rPr>
        <w:t xml:space="preserve"> @</w:t>
      </w:r>
      <w:r w:rsidRPr="00DE6FFD">
        <w:rPr>
          <w:sz w:val="20"/>
          <w:szCs w:val="20"/>
        </w:rPr>
        <w:t xml:space="preserve"> HCV with HCC group against control group;</w:t>
      </w:r>
      <w:r w:rsidRPr="00DE6FFD">
        <w:rPr>
          <w:sz w:val="20"/>
          <w:szCs w:val="20"/>
          <w:vertAlign w:val="superscript"/>
        </w:rPr>
        <w:t xml:space="preserve"> #</w:t>
      </w:r>
      <w:r w:rsidRPr="00DE6FFD">
        <w:rPr>
          <w:sz w:val="20"/>
          <w:szCs w:val="20"/>
        </w:rPr>
        <w:t>: HCV with HCC group against HCV without HCC; OR: Odds Ratio; *: significant; **: highly significant</w:t>
      </w:r>
    </w:p>
    <w:p w14:paraId="67AC090E" w14:textId="69034DEE" w:rsidR="00BD4637" w:rsidRPr="00DE6FFD" w:rsidRDefault="0036725D" w:rsidP="00EE297D">
      <w:pPr>
        <w:pStyle w:val="Caption"/>
        <w:rPr>
          <w:rFonts w:asciiTheme="majorBidi" w:hAnsiTheme="majorBidi" w:cstheme="majorBidi"/>
          <w:bCs/>
          <w:i w:val="0"/>
          <w:color w:val="auto"/>
          <w:sz w:val="24"/>
          <w:szCs w:val="24"/>
        </w:rPr>
      </w:pPr>
      <w:r>
        <w:t xml:space="preserve"> </w:t>
      </w:r>
      <w:bookmarkStart w:id="54" w:name="_Hlk115645386"/>
      <w:r w:rsidR="00BD4637" w:rsidRPr="008207E2">
        <w:rPr>
          <w:rFonts w:asciiTheme="majorBidi" w:hAnsiTheme="majorBidi" w:cstheme="majorBidi"/>
          <w:bCs/>
          <w:sz w:val="24"/>
          <w:szCs w:val="24"/>
        </w:rPr>
        <w:t> </w:t>
      </w:r>
      <w:r w:rsidR="00BD4637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 xml:space="preserve">A significant protective </w:t>
      </w:r>
      <w:r w:rsidR="00AA2454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>effect</w:t>
      </w:r>
      <w:r w:rsidR="00BD4637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 xml:space="preserve"> of </w:t>
      </w:r>
      <w:r w:rsidR="00A922DE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 xml:space="preserve">the </w:t>
      </w:r>
      <w:r w:rsidR="00BD4637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 xml:space="preserve">rs10889677 C allele </w:t>
      </w:r>
      <w:r w:rsidR="00AA2454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>in</w:t>
      </w:r>
      <w:r w:rsidR="00BD4637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 xml:space="preserve"> HCC susceptibility was detected </w:t>
      </w:r>
      <w:bookmarkStart w:id="55" w:name="_Hlk115644994"/>
      <w:r w:rsidR="00BD4637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>(OR = </w:t>
      </w:r>
      <w:r w:rsidR="00A92F81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>0.15</w:t>
      </w:r>
      <w:r w:rsidR="00BD4637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>, 95%</w:t>
      </w:r>
      <w:r w:rsidR="00A92F81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 xml:space="preserve"> </w:t>
      </w:r>
      <w:r w:rsidR="00BD4637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>CI = </w:t>
      </w:r>
      <w:r w:rsidR="00A92F81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>0.05</w:t>
      </w:r>
      <w:r w:rsidR="00BD4637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>–</w:t>
      </w:r>
      <w:r w:rsidR="00A92F81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>0.39</w:t>
      </w:r>
      <w:r w:rsidR="00BD4637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>, P </w:t>
      </w:r>
      <w:r w:rsidR="00A92F81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>&lt;</w:t>
      </w:r>
      <w:r w:rsidR="00BD4637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> 0.00</w:t>
      </w:r>
      <w:r w:rsidR="00A92F81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>1</w:t>
      </w:r>
      <w:r w:rsidR="00BD4637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>).</w:t>
      </w:r>
      <w:r w:rsidR="00A92F81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 xml:space="preserve"> </w:t>
      </w:r>
      <w:bookmarkEnd w:id="55"/>
      <w:r w:rsidR="00A92F81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 xml:space="preserve">AC and CC genotypes </w:t>
      </w:r>
      <w:r w:rsidR="00260986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>also had a significant protective effect</w:t>
      </w:r>
      <w:r w:rsidR="00A92F81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 xml:space="preserve"> (OR = 0.1</w:t>
      </w:r>
      <w:r w:rsidR="00AA2454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>6</w:t>
      </w:r>
      <w:r w:rsidR="00A92F81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>, 95% CI = 0.05–0.</w:t>
      </w:r>
      <w:r w:rsidR="00AA2454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>46</w:t>
      </w:r>
      <w:r w:rsidR="00A92F81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 xml:space="preserve">, P &lt; 0.001).  </w:t>
      </w:r>
    </w:p>
    <w:bookmarkEnd w:id="54"/>
    <w:p w14:paraId="08CD4BA5" w14:textId="715EB31B" w:rsidR="001F6256" w:rsidRPr="001F6256" w:rsidRDefault="001F6256" w:rsidP="001F6256">
      <w:pPr>
        <w:spacing w:line="360" w:lineRule="auto"/>
        <w:jc w:val="both"/>
        <w:rPr>
          <w:rFonts w:asciiTheme="majorBidi" w:hAnsiTheme="majorBidi" w:cstheme="majorBidi"/>
          <w:b/>
          <w:iCs/>
          <w:sz w:val="24"/>
          <w:szCs w:val="24"/>
        </w:rPr>
      </w:pPr>
      <w:r w:rsidRPr="001F6256">
        <w:rPr>
          <w:rFonts w:asciiTheme="majorBidi" w:hAnsiTheme="majorBidi" w:cstheme="majorBidi"/>
          <w:b/>
          <w:iCs/>
          <w:sz w:val="24"/>
          <w:szCs w:val="24"/>
        </w:rPr>
        <w:t>Discussion</w:t>
      </w:r>
    </w:p>
    <w:p w14:paraId="7835151C" w14:textId="7A848BBF" w:rsidR="004F5F31" w:rsidRDefault="001F6256" w:rsidP="00F1287F">
      <w:pPr>
        <w:spacing w:line="360" w:lineRule="auto"/>
        <w:jc w:val="both"/>
        <w:rPr>
          <w:rFonts w:asciiTheme="majorBidi" w:hAnsiTheme="majorBidi" w:cstheme="majorBidi"/>
          <w:bCs/>
          <w:iCs/>
          <w:sz w:val="24"/>
          <w:szCs w:val="24"/>
        </w:rPr>
      </w:pPr>
      <w:r w:rsidRPr="001F6256">
        <w:rPr>
          <w:rFonts w:asciiTheme="majorBidi" w:hAnsiTheme="majorBidi" w:cstheme="majorBidi"/>
          <w:bCs/>
          <w:iCs/>
          <w:sz w:val="24"/>
          <w:szCs w:val="24"/>
        </w:rPr>
        <w:t>HCC is the most conflicting complication of HCV</w:t>
      </w:r>
      <w:r w:rsidR="00F1287F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E37A3F">
        <w:rPr>
          <w:rFonts w:asciiTheme="majorBidi" w:hAnsiTheme="majorBidi" w:cstheme="majorBidi"/>
          <w:bCs/>
          <w:iCs/>
          <w:sz w:val="24"/>
          <w:szCs w:val="24"/>
        </w:rPr>
        <w:t>[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>15,16</w:t>
      </w:r>
      <w:r w:rsidR="00E37A3F">
        <w:rPr>
          <w:rFonts w:asciiTheme="majorBidi" w:hAnsiTheme="majorBidi" w:cstheme="majorBidi"/>
          <w:bCs/>
          <w:iCs/>
          <w:sz w:val="24"/>
          <w:szCs w:val="24"/>
        </w:rPr>
        <w:t>]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>. Many treatment modalities are present at the time but with poor prognosis, especially with an aggressive form</w:t>
      </w:r>
      <w:r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 xml:space="preserve">of HCC </w:t>
      </w:r>
      <w:r w:rsidR="00E37A3F">
        <w:rPr>
          <w:rFonts w:asciiTheme="majorBidi" w:hAnsiTheme="majorBidi" w:cstheme="majorBidi"/>
          <w:bCs/>
          <w:iCs/>
          <w:sz w:val="24"/>
          <w:szCs w:val="24"/>
        </w:rPr>
        <w:t>[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>17</w:t>
      </w:r>
      <w:r w:rsidR="00E37A3F">
        <w:rPr>
          <w:rFonts w:asciiTheme="majorBidi" w:hAnsiTheme="majorBidi" w:cstheme="majorBidi"/>
          <w:bCs/>
          <w:iCs/>
          <w:sz w:val="24"/>
          <w:szCs w:val="24"/>
        </w:rPr>
        <w:t>]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 xml:space="preserve">. </w:t>
      </w:r>
      <w:r w:rsidR="005F2D7B">
        <w:rPr>
          <w:rFonts w:asciiTheme="majorBidi" w:hAnsiTheme="majorBidi" w:cstheme="majorBidi"/>
          <w:bCs/>
          <w:iCs/>
          <w:sz w:val="24"/>
          <w:szCs w:val="24"/>
        </w:rPr>
        <w:t>T</w:t>
      </w:r>
      <w:r w:rsidR="00BD7CBB">
        <w:rPr>
          <w:rFonts w:asciiTheme="majorBidi" w:hAnsiTheme="majorBidi" w:cstheme="majorBidi"/>
          <w:bCs/>
          <w:iCs/>
          <w:sz w:val="24"/>
          <w:szCs w:val="24"/>
        </w:rPr>
        <w:t>herefore, t</w:t>
      </w:r>
      <w:r w:rsidR="005F2D7B">
        <w:rPr>
          <w:rFonts w:asciiTheme="majorBidi" w:hAnsiTheme="majorBidi" w:cstheme="majorBidi"/>
          <w:bCs/>
          <w:iCs/>
          <w:sz w:val="24"/>
          <w:szCs w:val="24"/>
        </w:rPr>
        <w:t xml:space="preserve">here was an urgent need to study the association 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>between</w:t>
      </w:r>
      <w:r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 xml:space="preserve">genetic variations and the occurrence of HCC </w:t>
      </w:r>
      <w:r w:rsidR="00E37A3F">
        <w:rPr>
          <w:rFonts w:asciiTheme="majorBidi" w:hAnsiTheme="majorBidi" w:cstheme="majorBidi"/>
          <w:bCs/>
          <w:iCs/>
          <w:sz w:val="24"/>
          <w:szCs w:val="24"/>
        </w:rPr>
        <w:t>[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>18</w:t>
      </w:r>
      <w:r w:rsidR="00E37A3F">
        <w:rPr>
          <w:rFonts w:asciiTheme="majorBidi" w:hAnsiTheme="majorBidi" w:cstheme="majorBidi"/>
          <w:bCs/>
          <w:iCs/>
          <w:sz w:val="24"/>
          <w:szCs w:val="24"/>
        </w:rPr>
        <w:t>]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 xml:space="preserve">. </w:t>
      </w:r>
      <w:r w:rsidR="00F1287F" w:rsidRPr="00F1287F">
        <w:rPr>
          <w:rFonts w:asciiTheme="majorBidi" w:hAnsiTheme="majorBidi" w:cstheme="majorBidi"/>
          <w:bCs/>
          <w:i/>
          <w:iCs/>
          <w:sz w:val="24"/>
          <w:szCs w:val="24"/>
        </w:rPr>
        <w:t>IL-23R</w:t>
      </w:r>
      <w:r w:rsidR="00F1287F" w:rsidRPr="00F1287F">
        <w:rPr>
          <w:rFonts w:asciiTheme="majorBidi" w:hAnsiTheme="majorBidi" w:cstheme="majorBidi"/>
          <w:bCs/>
          <w:iCs/>
          <w:sz w:val="24"/>
          <w:szCs w:val="24"/>
        </w:rPr>
        <w:t xml:space="preserve"> polymorphism 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>has</w:t>
      </w:r>
      <w:r w:rsidR="00F1287F" w:rsidRPr="00F1287F">
        <w:rPr>
          <w:rFonts w:asciiTheme="majorBidi" w:hAnsiTheme="majorBidi" w:cstheme="majorBidi"/>
          <w:bCs/>
          <w:iCs/>
          <w:sz w:val="24"/>
          <w:szCs w:val="24"/>
        </w:rPr>
        <w:t xml:space="preserve"> been studied extensively with autoimmune and inflammatory diseases 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 xml:space="preserve">such </w:t>
      </w:r>
      <w:r w:rsidR="00F1287F" w:rsidRPr="00F1287F">
        <w:rPr>
          <w:rFonts w:asciiTheme="majorBidi" w:hAnsiTheme="majorBidi" w:cstheme="majorBidi"/>
          <w:bCs/>
          <w:iCs/>
          <w:sz w:val="24"/>
          <w:szCs w:val="24"/>
        </w:rPr>
        <w:t>as rheumatoid arthritis [12]</w:t>
      </w:r>
      <w:r w:rsidR="00F1287F">
        <w:rPr>
          <w:rFonts w:asciiTheme="majorBidi" w:hAnsiTheme="majorBidi" w:cstheme="majorBidi"/>
          <w:bCs/>
          <w:iCs/>
          <w:sz w:val="24"/>
          <w:szCs w:val="24"/>
        </w:rPr>
        <w:t xml:space="preserve">. Besides, </w:t>
      </w:r>
      <w:r w:rsidRPr="001F6256">
        <w:rPr>
          <w:rFonts w:asciiTheme="majorBidi" w:hAnsiTheme="majorBidi" w:cstheme="majorBidi"/>
          <w:bCs/>
          <w:i/>
          <w:sz w:val="24"/>
          <w:szCs w:val="24"/>
        </w:rPr>
        <w:t>IL-23R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 xml:space="preserve"> gene polymorphisms </w:t>
      </w:r>
      <w:r w:rsidR="005F2D7B">
        <w:rPr>
          <w:rFonts w:asciiTheme="majorBidi" w:hAnsiTheme="majorBidi" w:cstheme="majorBidi"/>
          <w:bCs/>
          <w:iCs/>
          <w:sz w:val="24"/>
          <w:szCs w:val="24"/>
        </w:rPr>
        <w:t>we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>re documented to be closely associated with the development of cancers</w:t>
      </w:r>
      <w:r w:rsidR="00EB71A6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 xml:space="preserve">such </w:t>
      </w:r>
      <w:r w:rsidR="00EB71A6">
        <w:rPr>
          <w:rFonts w:asciiTheme="majorBidi" w:hAnsiTheme="majorBidi" w:cstheme="majorBidi"/>
          <w:bCs/>
          <w:iCs/>
          <w:sz w:val="24"/>
          <w:szCs w:val="24"/>
        </w:rPr>
        <w:t xml:space="preserve">as 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>stomach cancer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2A7A86">
        <w:rPr>
          <w:rFonts w:asciiTheme="majorBidi" w:hAnsiTheme="majorBidi" w:cstheme="majorBidi"/>
          <w:bCs/>
          <w:iCs/>
          <w:sz w:val="24"/>
          <w:szCs w:val="24"/>
        </w:rPr>
        <w:t>[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>1</w:t>
      </w:r>
      <w:r w:rsidR="002A7A86">
        <w:rPr>
          <w:rFonts w:asciiTheme="majorBidi" w:hAnsiTheme="majorBidi" w:cstheme="majorBidi"/>
          <w:bCs/>
          <w:iCs/>
          <w:sz w:val="24"/>
          <w:szCs w:val="24"/>
        </w:rPr>
        <w:t>3]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>.</w:t>
      </w:r>
      <w:r w:rsidR="007A389B" w:rsidRPr="007A389B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F1287F">
        <w:rPr>
          <w:rFonts w:asciiTheme="majorBidi" w:hAnsiTheme="majorBidi" w:cstheme="majorBidi"/>
          <w:bCs/>
          <w:iCs/>
          <w:sz w:val="24"/>
          <w:szCs w:val="24"/>
        </w:rPr>
        <w:t>However, o</w:t>
      </w:r>
      <w:r w:rsidR="007A389B" w:rsidRPr="007A389B">
        <w:rPr>
          <w:rFonts w:asciiTheme="majorBidi" w:hAnsiTheme="majorBidi" w:cstheme="majorBidi"/>
          <w:bCs/>
          <w:iCs/>
          <w:sz w:val="24"/>
          <w:szCs w:val="24"/>
        </w:rPr>
        <w:t xml:space="preserve">ther studies </w:t>
      </w:r>
      <w:r w:rsidR="007A389B">
        <w:rPr>
          <w:rFonts w:asciiTheme="majorBidi" w:hAnsiTheme="majorBidi" w:cstheme="majorBidi"/>
          <w:bCs/>
          <w:iCs/>
          <w:sz w:val="24"/>
          <w:szCs w:val="24"/>
        </w:rPr>
        <w:t xml:space="preserve">stated </w:t>
      </w:r>
      <w:r w:rsidR="007A389B" w:rsidRPr="007A389B">
        <w:rPr>
          <w:rFonts w:asciiTheme="majorBidi" w:hAnsiTheme="majorBidi" w:cstheme="majorBidi"/>
          <w:bCs/>
          <w:iCs/>
          <w:sz w:val="24"/>
          <w:szCs w:val="24"/>
        </w:rPr>
        <w:t>that IL-23 is a protective cytokine [19]</w:t>
      </w:r>
      <w:r w:rsidR="00F1287F">
        <w:rPr>
          <w:rFonts w:asciiTheme="majorBidi" w:hAnsiTheme="majorBidi" w:cstheme="majorBidi"/>
          <w:bCs/>
          <w:iCs/>
          <w:sz w:val="24"/>
          <w:szCs w:val="24"/>
        </w:rPr>
        <w:t>.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 xml:space="preserve"> So, we stud</w:t>
      </w:r>
      <w:r w:rsidR="00F1287F">
        <w:rPr>
          <w:rFonts w:asciiTheme="majorBidi" w:hAnsiTheme="majorBidi" w:cstheme="majorBidi"/>
          <w:bCs/>
          <w:iCs/>
          <w:sz w:val="24"/>
          <w:szCs w:val="24"/>
        </w:rPr>
        <w:t>ied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 xml:space="preserve"> the correlation 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>between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1F6256">
        <w:rPr>
          <w:rFonts w:asciiTheme="majorBidi" w:hAnsiTheme="majorBidi" w:cstheme="majorBidi"/>
          <w:bCs/>
          <w:i/>
          <w:sz w:val="24"/>
          <w:szCs w:val="24"/>
        </w:rPr>
        <w:t>IL-23R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EB71A6">
        <w:rPr>
          <w:rFonts w:asciiTheme="majorBidi" w:hAnsiTheme="majorBidi" w:cstheme="majorBidi"/>
          <w:bCs/>
          <w:iCs/>
          <w:sz w:val="24"/>
          <w:szCs w:val="24"/>
        </w:rPr>
        <w:t>single nucleotide polymorphism (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>SNP</w:t>
      </w:r>
      <w:r w:rsidR="00EB71A6">
        <w:rPr>
          <w:rFonts w:asciiTheme="majorBidi" w:hAnsiTheme="majorBidi" w:cstheme="majorBidi"/>
          <w:bCs/>
          <w:iCs/>
          <w:sz w:val="24"/>
          <w:szCs w:val="24"/>
        </w:rPr>
        <w:t>)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bookmarkStart w:id="56" w:name="_Hlk114310100"/>
      <w:r w:rsidRPr="001F6256">
        <w:rPr>
          <w:rFonts w:asciiTheme="majorBidi" w:hAnsiTheme="majorBidi" w:cstheme="majorBidi"/>
          <w:bCs/>
          <w:iCs/>
          <w:sz w:val="24"/>
          <w:szCs w:val="24"/>
        </w:rPr>
        <w:t>rs</w:t>
      </w:r>
      <w:bookmarkStart w:id="57" w:name="_Hlk114310844"/>
      <w:r w:rsidR="00CA4C19" w:rsidRPr="00CA4C19">
        <w:rPr>
          <w:rFonts w:asciiTheme="majorBidi" w:hAnsiTheme="majorBidi" w:cstheme="majorBidi"/>
          <w:bCs/>
          <w:iCs/>
          <w:sz w:val="24"/>
          <w:szCs w:val="24"/>
        </w:rPr>
        <w:t>10889677</w:t>
      </w:r>
      <w:bookmarkEnd w:id="57"/>
      <w:r w:rsidRPr="001F6256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bookmarkEnd w:id="56"/>
      <w:r w:rsidRPr="001F6256">
        <w:rPr>
          <w:rFonts w:asciiTheme="majorBidi" w:hAnsiTheme="majorBidi" w:cstheme="majorBidi"/>
          <w:bCs/>
          <w:iCs/>
          <w:sz w:val="24"/>
          <w:szCs w:val="24"/>
        </w:rPr>
        <w:t>and</w:t>
      </w:r>
      <w:r w:rsidR="004F5F31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 xml:space="preserve">the </w:t>
      </w:r>
      <w:r w:rsidR="00736F31">
        <w:rPr>
          <w:rFonts w:asciiTheme="majorBidi" w:hAnsiTheme="majorBidi" w:cstheme="majorBidi"/>
          <w:bCs/>
          <w:iCs/>
          <w:sz w:val="24"/>
          <w:szCs w:val="24"/>
        </w:rPr>
        <w:t>occurrence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 xml:space="preserve"> of HCV-related HCC in Egyptian patients. </w:t>
      </w:r>
    </w:p>
    <w:p w14:paraId="2BB638AE" w14:textId="7B7F2E40" w:rsidR="00736F31" w:rsidRPr="008207E2" w:rsidRDefault="00D26BDA" w:rsidP="005F2262">
      <w:pPr>
        <w:spacing w:line="360" w:lineRule="auto"/>
        <w:jc w:val="both"/>
        <w:rPr>
          <w:rFonts w:asciiTheme="majorBidi" w:hAnsiTheme="majorBidi" w:cstheme="majorBidi"/>
          <w:bCs/>
          <w:iCs/>
          <w:sz w:val="24"/>
          <w:szCs w:val="24"/>
        </w:rPr>
      </w:pPr>
      <w:r>
        <w:rPr>
          <w:rFonts w:asciiTheme="majorBidi" w:hAnsiTheme="majorBidi" w:cstheme="majorBidi"/>
          <w:bCs/>
          <w:iCs/>
          <w:sz w:val="24"/>
          <w:szCs w:val="24"/>
        </w:rPr>
        <w:t>Our study revealed that</w:t>
      </w:r>
      <w:r w:rsidR="004F5F31" w:rsidRPr="0030556D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4F5F31" w:rsidRPr="0030556D">
        <w:rPr>
          <w:rFonts w:asciiTheme="majorBidi" w:hAnsiTheme="majorBidi" w:cstheme="majorBidi"/>
          <w:bCs/>
          <w:i/>
          <w:sz w:val="24"/>
          <w:szCs w:val="24"/>
        </w:rPr>
        <w:t>IL-23R</w:t>
      </w:r>
      <w:r w:rsidR="004F5F31" w:rsidRPr="0030556D">
        <w:rPr>
          <w:rFonts w:asciiTheme="majorBidi" w:hAnsiTheme="majorBidi" w:cstheme="majorBidi"/>
          <w:bCs/>
          <w:iCs/>
          <w:sz w:val="24"/>
          <w:szCs w:val="24"/>
        </w:rPr>
        <w:t xml:space="preserve"> gene polymorphism </w:t>
      </w:r>
      <w:r w:rsidR="0030556D">
        <w:rPr>
          <w:rFonts w:asciiTheme="majorBidi" w:hAnsiTheme="majorBidi" w:cstheme="majorBidi"/>
          <w:bCs/>
          <w:iCs/>
          <w:sz w:val="24"/>
          <w:szCs w:val="24"/>
        </w:rPr>
        <w:t>(</w:t>
      </w:r>
      <w:r w:rsidR="0030556D" w:rsidRPr="0030556D">
        <w:rPr>
          <w:rFonts w:asciiTheme="majorBidi" w:hAnsiTheme="majorBidi" w:cstheme="majorBidi"/>
          <w:bCs/>
          <w:iCs/>
          <w:sz w:val="24"/>
          <w:szCs w:val="24"/>
        </w:rPr>
        <w:t>rs10889677</w:t>
      </w:r>
      <w:r w:rsidR="0030556D">
        <w:rPr>
          <w:rFonts w:asciiTheme="majorBidi" w:hAnsiTheme="majorBidi" w:cstheme="majorBidi"/>
          <w:bCs/>
          <w:iCs/>
          <w:sz w:val="24"/>
          <w:szCs w:val="24"/>
        </w:rPr>
        <w:t>)</w:t>
      </w:r>
      <w:r w:rsidR="0030556D" w:rsidRPr="0030556D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736F31">
        <w:rPr>
          <w:rFonts w:asciiTheme="majorBidi" w:hAnsiTheme="majorBidi" w:cstheme="majorBidi"/>
          <w:bCs/>
          <w:iCs/>
          <w:sz w:val="24"/>
          <w:szCs w:val="24"/>
        </w:rPr>
        <w:t>wa</w:t>
      </w:r>
      <w:r w:rsidR="004F5F31" w:rsidRPr="0030556D">
        <w:rPr>
          <w:rFonts w:asciiTheme="majorBidi" w:hAnsiTheme="majorBidi" w:cstheme="majorBidi"/>
          <w:bCs/>
          <w:iCs/>
          <w:sz w:val="24"/>
          <w:szCs w:val="24"/>
        </w:rPr>
        <w:t>s significantly associated with HCC risk development</w:t>
      </w:r>
      <w:r w:rsidR="0030556D">
        <w:rPr>
          <w:rFonts w:asciiTheme="majorBidi" w:hAnsiTheme="majorBidi" w:cstheme="majorBidi"/>
          <w:bCs/>
          <w:iCs/>
          <w:sz w:val="24"/>
          <w:szCs w:val="24"/>
        </w:rPr>
        <w:t>.</w:t>
      </w:r>
      <w:r w:rsidR="00AC507D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AC507D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This finding is similar to that found by </w:t>
      </w:r>
      <w:r w:rsidR="00585B8B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Amer 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>et al.</w:t>
      </w:r>
      <w:r w:rsidR="00585B8B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(2017) and </w:t>
      </w:r>
      <w:r w:rsidR="00AC507D" w:rsidRPr="008207E2">
        <w:rPr>
          <w:rFonts w:asciiTheme="majorBidi" w:hAnsiTheme="majorBidi" w:cstheme="majorBidi"/>
          <w:bCs/>
          <w:iCs/>
          <w:sz w:val="24"/>
          <w:szCs w:val="24"/>
        </w:rPr>
        <w:t>Pan and Wang (2019)</w:t>
      </w:r>
      <w:r w:rsidR="00E77371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D1168E" w:rsidRPr="008207E2">
        <w:rPr>
          <w:rFonts w:asciiTheme="majorBidi" w:hAnsiTheme="majorBidi" w:cstheme="majorBidi"/>
          <w:bCs/>
          <w:iCs/>
          <w:sz w:val="24"/>
          <w:szCs w:val="24"/>
        </w:rPr>
        <w:t>[2</w:t>
      </w:r>
      <w:r w:rsidR="00585B8B" w:rsidRPr="008207E2">
        <w:rPr>
          <w:rFonts w:asciiTheme="majorBidi" w:hAnsiTheme="majorBidi" w:cstheme="majorBidi"/>
          <w:bCs/>
          <w:iCs/>
          <w:sz w:val="24"/>
          <w:szCs w:val="24"/>
        </w:rPr>
        <w:t>1</w:t>
      </w:r>
      <w:r w:rsidR="00D1168E" w:rsidRPr="008207E2">
        <w:rPr>
          <w:rFonts w:asciiTheme="majorBidi" w:hAnsiTheme="majorBidi" w:cstheme="majorBidi"/>
          <w:bCs/>
          <w:iCs/>
          <w:sz w:val="24"/>
          <w:szCs w:val="24"/>
        </w:rPr>
        <w:t>].</w:t>
      </w:r>
      <w:r w:rsidR="00585B8B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736F31" w:rsidRPr="008207E2">
        <w:rPr>
          <w:rFonts w:asciiTheme="majorBidi" w:hAnsiTheme="majorBidi" w:cstheme="majorBidi"/>
          <w:bCs/>
          <w:iCs/>
          <w:sz w:val="24"/>
          <w:szCs w:val="24"/>
        </w:rPr>
        <w:t>In our</w:t>
      </w:r>
      <w:r w:rsidR="004F5F31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study</w:t>
      </w:r>
      <w:r w:rsidR="00736F31" w:rsidRPr="008207E2">
        <w:rPr>
          <w:rFonts w:asciiTheme="majorBidi" w:hAnsiTheme="majorBidi" w:cstheme="majorBidi"/>
          <w:bCs/>
          <w:iCs/>
          <w:sz w:val="24"/>
          <w:szCs w:val="24"/>
        </w:rPr>
        <w:t>,</w:t>
      </w:r>
      <w:r w:rsidR="004F5F31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772157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AC and </w:t>
      </w:r>
      <w:r w:rsidR="0030556D" w:rsidRPr="008207E2">
        <w:rPr>
          <w:rFonts w:asciiTheme="majorBidi" w:hAnsiTheme="majorBidi" w:cstheme="majorBidi"/>
          <w:bCs/>
          <w:iCs/>
          <w:sz w:val="24"/>
          <w:szCs w:val="24"/>
        </w:rPr>
        <w:t>CC</w:t>
      </w:r>
      <w:r w:rsidR="004F5F31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736F31" w:rsidRPr="008207E2">
        <w:rPr>
          <w:rFonts w:asciiTheme="majorBidi" w:hAnsiTheme="majorBidi" w:cstheme="majorBidi"/>
          <w:bCs/>
          <w:iCs/>
          <w:sz w:val="24"/>
          <w:szCs w:val="24"/>
        </w:rPr>
        <w:t>genotype</w:t>
      </w:r>
      <w:r w:rsidR="00772157" w:rsidRPr="008207E2">
        <w:rPr>
          <w:rFonts w:asciiTheme="majorBidi" w:hAnsiTheme="majorBidi" w:cstheme="majorBidi"/>
          <w:bCs/>
          <w:iCs/>
          <w:sz w:val="24"/>
          <w:szCs w:val="24"/>
        </w:rPr>
        <w:t>s</w:t>
      </w:r>
      <w:r w:rsidR="00C96829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and C 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>alleles</w:t>
      </w:r>
      <w:r w:rsidR="00C96829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736F31" w:rsidRPr="008207E2">
        <w:rPr>
          <w:rFonts w:asciiTheme="majorBidi" w:hAnsiTheme="majorBidi" w:cstheme="majorBidi"/>
          <w:bCs/>
          <w:iCs/>
          <w:sz w:val="24"/>
          <w:szCs w:val="24"/>
        </w:rPr>
        <w:t>seem protective against</w:t>
      </w:r>
      <w:r w:rsidR="004F5F31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HCC </w:t>
      </w:r>
      <w:r w:rsidR="00736F31" w:rsidRPr="008207E2">
        <w:rPr>
          <w:rFonts w:asciiTheme="majorBidi" w:hAnsiTheme="majorBidi" w:cstheme="majorBidi"/>
          <w:bCs/>
          <w:iCs/>
          <w:sz w:val="24"/>
          <w:szCs w:val="24"/>
        </w:rPr>
        <w:t>development</w:t>
      </w:r>
      <w:r w:rsidR="004F5F31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. </w:t>
      </w:r>
      <w:r w:rsidR="00C96829" w:rsidRPr="008207E2">
        <w:rPr>
          <w:rFonts w:asciiTheme="majorBidi" w:hAnsiTheme="majorBidi" w:cstheme="majorBidi"/>
          <w:bCs/>
          <w:iCs/>
          <w:sz w:val="24"/>
          <w:szCs w:val="24"/>
        </w:rPr>
        <w:t>Similarly, a</w:t>
      </w:r>
      <w:r w:rsidR="005F2262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significant association between 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the </w:t>
      </w:r>
      <w:r w:rsidR="005F2262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A allele and </w:t>
      </w:r>
      <w:r w:rsidR="00C96829" w:rsidRPr="008207E2">
        <w:rPr>
          <w:rFonts w:asciiTheme="majorBidi" w:hAnsiTheme="majorBidi" w:cstheme="majorBidi"/>
          <w:bCs/>
          <w:iCs/>
          <w:sz w:val="24"/>
          <w:szCs w:val="24"/>
        </w:rPr>
        <w:t>ankylosing spondylitis</w:t>
      </w:r>
      <w:r w:rsidR="005F2262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susceptibility was detected</w:t>
      </w:r>
      <w:r w:rsidR="00C96829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[22].</w:t>
      </w:r>
    </w:p>
    <w:p w14:paraId="18F9735E" w14:textId="742A9315" w:rsidR="001F6256" w:rsidRDefault="004F5F31" w:rsidP="00736F31">
      <w:pPr>
        <w:spacing w:line="360" w:lineRule="auto"/>
        <w:jc w:val="both"/>
        <w:rPr>
          <w:rFonts w:asciiTheme="majorBidi" w:hAnsiTheme="majorBidi" w:cstheme="majorBidi"/>
          <w:bCs/>
          <w:iCs/>
          <w:sz w:val="24"/>
          <w:szCs w:val="24"/>
        </w:rPr>
      </w:pPr>
      <w:r w:rsidRPr="00DE1320">
        <w:rPr>
          <w:rFonts w:asciiTheme="majorBidi" w:hAnsiTheme="majorBidi" w:cstheme="majorBidi"/>
          <w:bCs/>
          <w:iCs/>
          <w:sz w:val="24"/>
          <w:szCs w:val="24"/>
        </w:rPr>
        <w:t xml:space="preserve">The impact of IL-23 in carcinogenesis is not well understood, most probably 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>tissue-specific</w:t>
      </w:r>
      <w:r w:rsidRPr="00DE1320">
        <w:rPr>
          <w:rFonts w:asciiTheme="majorBidi" w:hAnsiTheme="majorBidi" w:cstheme="majorBidi"/>
          <w:bCs/>
          <w:iCs/>
          <w:sz w:val="24"/>
          <w:szCs w:val="24"/>
        </w:rPr>
        <w:t>. Wendling showed that IL-23 is a carcinogenic cytokine</w:t>
      </w:r>
      <w:r w:rsidR="007A389B">
        <w:rPr>
          <w:rFonts w:asciiTheme="majorBidi" w:hAnsiTheme="majorBidi" w:cstheme="majorBidi"/>
          <w:bCs/>
          <w:iCs/>
          <w:sz w:val="24"/>
          <w:szCs w:val="24"/>
        </w:rPr>
        <w:t xml:space="preserve"> [2</w:t>
      </w:r>
      <w:r w:rsidR="00C96829">
        <w:rPr>
          <w:rFonts w:asciiTheme="majorBidi" w:hAnsiTheme="majorBidi" w:cstheme="majorBidi"/>
          <w:bCs/>
          <w:iCs/>
          <w:sz w:val="24"/>
          <w:szCs w:val="24"/>
        </w:rPr>
        <w:t>3</w:t>
      </w:r>
      <w:r w:rsidR="007A389B">
        <w:rPr>
          <w:rFonts w:asciiTheme="majorBidi" w:hAnsiTheme="majorBidi" w:cstheme="majorBidi"/>
          <w:bCs/>
          <w:iCs/>
          <w:sz w:val="24"/>
          <w:szCs w:val="24"/>
        </w:rPr>
        <w:t>]</w:t>
      </w:r>
      <w:r w:rsidRPr="00DE1320">
        <w:rPr>
          <w:rFonts w:asciiTheme="majorBidi" w:hAnsiTheme="majorBidi" w:cstheme="majorBidi"/>
          <w:bCs/>
          <w:iCs/>
          <w:sz w:val="24"/>
          <w:szCs w:val="24"/>
        </w:rPr>
        <w:t xml:space="preserve">, </w:t>
      </w:r>
      <w:bookmarkStart w:id="58" w:name="_Hlk115038587"/>
      <w:r w:rsidRPr="00DE1320">
        <w:rPr>
          <w:rFonts w:asciiTheme="majorBidi" w:hAnsiTheme="majorBidi" w:cstheme="majorBidi"/>
          <w:bCs/>
          <w:iCs/>
          <w:sz w:val="24"/>
          <w:szCs w:val="24"/>
        </w:rPr>
        <w:t>contrary to other studies that state</w:t>
      </w:r>
      <w:r w:rsidR="00DB4BF7">
        <w:rPr>
          <w:rFonts w:asciiTheme="majorBidi" w:hAnsiTheme="majorBidi" w:cstheme="majorBidi"/>
          <w:bCs/>
          <w:iCs/>
          <w:sz w:val="24"/>
          <w:szCs w:val="24"/>
        </w:rPr>
        <w:t>d</w:t>
      </w:r>
      <w:r w:rsidRPr="00DE1320">
        <w:rPr>
          <w:rFonts w:asciiTheme="majorBidi" w:hAnsiTheme="majorBidi" w:cstheme="majorBidi"/>
          <w:bCs/>
          <w:iCs/>
          <w:sz w:val="24"/>
          <w:szCs w:val="24"/>
        </w:rPr>
        <w:t xml:space="preserve"> that IL-23 is a protective cytokine </w:t>
      </w:r>
      <w:r w:rsidR="002A7A86">
        <w:rPr>
          <w:rFonts w:asciiTheme="majorBidi" w:hAnsiTheme="majorBidi" w:cstheme="majorBidi"/>
          <w:bCs/>
          <w:iCs/>
          <w:sz w:val="24"/>
          <w:szCs w:val="24"/>
        </w:rPr>
        <w:t>[</w:t>
      </w:r>
      <w:r w:rsidR="00BD7033" w:rsidRPr="00DE1320">
        <w:rPr>
          <w:rFonts w:asciiTheme="majorBidi" w:hAnsiTheme="majorBidi" w:cstheme="majorBidi"/>
          <w:bCs/>
          <w:iCs/>
          <w:sz w:val="24"/>
          <w:szCs w:val="24"/>
        </w:rPr>
        <w:t>19</w:t>
      </w:r>
      <w:r w:rsidR="002A7A86">
        <w:rPr>
          <w:rFonts w:asciiTheme="majorBidi" w:hAnsiTheme="majorBidi" w:cstheme="majorBidi"/>
          <w:bCs/>
          <w:iCs/>
          <w:sz w:val="24"/>
          <w:szCs w:val="24"/>
        </w:rPr>
        <w:t>]</w:t>
      </w:r>
      <w:r w:rsidRPr="00DE1320">
        <w:rPr>
          <w:rFonts w:asciiTheme="majorBidi" w:hAnsiTheme="majorBidi" w:cstheme="majorBidi"/>
          <w:bCs/>
          <w:iCs/>
          <w:sz w:val="24"/>
          <w:szCs w:val="24"/>
        </w:rPr>
        <w:t>.</w:t>
      </w:r>
      <w:bookmarkStart w:id="59" w:name="IL-23_is_an_innate_immune-suppressive_cy"/>
      <w:bookmarkEnd w:id="58"/>
      <w:bookmarkEnd w:id="59"/>
      <w:r w:rsidR="00736F31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 xml:space="preserve">IL-23 is an innate immune-suppressive cytokine 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>in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 xml:space="preserve"> several carcinogenesis models in rats. It was demonstrated that IL-23 and IL-23R play a crucial role in T helper 17 (Th-17)</w:t>
      </w:r>
      <w:r w:rsidR="0065574F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>cell-mediated immunity, tumor-promoting proinflammatory operation, failure of CD8+T</w:t>
      </w:r>
      <w:r w:rsidR="0065574F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 xml:space="preserve">immune surveillance, and pathogenesis of cancers </w:t>
      </w:r>
      <w:r w:rsidR="007A389B">
        <w:rPr>
          <w:rFonts w:asciiTheme="majorBidi" w:hAnsiTheme="majorBidi" w:cstheme="majorBidi"/>
          <w:bCs/>
          <w:iCs/>
          <w:sz w:val="24"/>
          <w:szCs w:val="24"/>
        </w:rPr>
        <w:t>[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>2</w:t>
      </w:r>
      <w:r w:rsidR="00C96829">
        <w:rPr>
          <w:rFonts w:asciiTheme="majorBidi" w:hAnsiTheme="majorBidi" w:cstheme="majorBidi"/>
          <w:bCs/>
          <w:iCs/>
          <w:sz w:val="24"/>
          <w:szCs w:val="24"/>
        </w:rPr>
        <w:t>4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>, 2</w:t>
      </w:r>
      <w:r w:rsidR="00C96829">
        <w:rPr>
          <w:rFonts w:asciiTheme="majorBidi" w:hAnsiTheme="majorBidi" w:cstheme="majorBidi"/>
          <w:bCs/>
          <w:iCs/>
          <w:sz w:val="24"/>
          <w:szCs w:val="24"/>
        </w:rPr>
        <w:t>5</w:t>
      </w:r>
      <w:r w:rsidR="007A389B">
        <w:rPr>
          <w:rFonts w:asciiTheme="majorBidi" w:hAnsiTheme="majorBidi" w:cstheme="majorBidi"/>
          <w:bCs/>
          <w:iCs/>
          <w:sz w:val="24"/>
          <w:szCs w:val="24"/>
        </w:rPr>
        <w:t>]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>. Hori et al. and Kim et al.</w:t>
      </w:r>
      <w:r w:rsidR="0065574F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 xml:space="preserve">stated that 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 xml:space="preserve">the 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>IL-23R signaling pathway in T cell regulatory state</w:t>
      </w:r>
      <w:r w:rsidR="0065574F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 xml:space="preserve">(Tregs) also 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>enhances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 xml:space="preserve"> Tregs' immunosuppressive effect, leading to impaired immune response and promoting the invasion of the immune system by cancer</w:t>
      </w:r>
      <w:r w:rsidR="007A389B">
        <w:rPr>
          <w:rFonts w:asciiTheme="majorBidi" w:hAnsiTheme="majorBidi" w:cstheme="majorBidi"/>
          <w:bCs/>
          <w:iCs/>
          <w:sz w:val="24"/>
          <w:szCs w:val="24"/>
        </w:rPr>
        <w:t xml:space="preserve"> [2</w:t>
      </w:r>
      <w:r w:rsidR="00C96829">
        <w:rPr>
          <w:rFonts w:asciiTheme="majorBidi" w:hAnsiTheme="majorBidi" w:cstheme="majorBidi"/>
          <w:bCs/>
          <w:iCs/>
          <w:sz w:val="24"/>
          <w:szCs w:val="24"/>
        </w:rPr>
        <w:t>6</w:t>
      </w:r>
      <w:r w:rsidR="007A389B">
        <w:rPr>
          <w:rFonts w:asciiTheme="majorBidi" w:hAnsiTheme="majorBidi" w:cstheme="majorBidi"/>
          <w:bCs/>
          <w:iCs/>
          <w:sz w:val="24"/>
          <w:szCs w:val="24"/>
        </w:rPr>
        <w:t>,2</w:t>
      </w:r>
      <w:r w:rsidR="00C96829">
        <w:rPr>
          <w:rFonts w:asciiTheme="majorBidi" w:hAnsiTheme="majorBidi" w:cstheme="majorBidi"/>
          <w:bCs/>
          <w:iCs/>
          <w:sz w:val="24"/>
          <w:szCs w:val="24"/>
        </w:rPr>
        <w:t>7</w:t>
      </w:r>
      <w:r w:rsidR="007A389B">
        <w:rPr>
          <w:rFonts w:asciiTheme="majorBidi" w:hAnsiTheme="majorBidi" w:cstheme="majorBidi"/>
          <w:bCs/>
          <w:iCs/>
          <w:sz w:val="24"/>
          <w:szCs w:val="24"/>
        </w:rPr>
        <w:t>]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>. From the previous</w:t>
      </w:r>
      <w:r w:rsidR="0065574F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 xml:space="preserve">links between 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 xml:space="preserve">the 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 xml:space="preserve">two kinds of T cells, IL-23R most probably play an 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>essential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 xml:space="preserve"> role in cancer</w:t>
      </w:r>
      <w:r w:rsidR="0065574F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 xml:space="preserve">development and progression. In some experimental studies, genetic </w:t>
      </w:r>
      <w:r w:rsidR="0065574F" w:rsidRPr="004F5F31">
        <w:rPr>
          <w:rFonts w:asciiTheme="majorBidi" w:hAnsiTheme="majorBidi" w:cstheme="majorBidi"/>
          <w:bCs/>
          <w:iCs/>
          <w:sz w:val="24"/>
          <w:szCs w:val="24"/>
        </w:rPr>
        <w:t>deletion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 xml:space="preserve"> or antibody-mediated elimination of IL-23R leads to increased settling of cytotoxic T cells into</w:t>
      </w:r>
      <w:r w:rsidR="0065574F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>the tissue rendering an increased tendency to protect against carcinogenesis development</w:t>
      </w:r>
      <w:r w:rsidR="0065574F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7A389B">
        <w:rPr>
          <w:rFonts w:asciiTheme="majorBidi" w:hAnsiTheme="majorBidi" w:cstheme="majorBidi"/>
          <w:bCs/>
          <w:iCs/>
          <w:sz w:val="24"/>
          <w:szCs w:val="24"/>
        </w:rPr>
        <w:t>[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>17</w:t>
      </w:r>
      <w:r w:rsidR="007A389B">
        <w:rPr>
          <w:rFonts w:asciiTheme="majorBidi" w:hAnsiTheme="majorBidi" w:cstheme="majorBidi"/>
          <w:bCs/>
          <w:iCs/>
          <w:sz w:val="24"/>
          <w:szCs w:val="24"/>
        </w:rPr>
        <w:t>]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 xml:space="preserve">. Because IL-23 </w:t>
      </w:r>
      <w:r w:rsidR="00260986">
        <w:rPr>
          <w:rFonts w:asciiTheme="majorBidi" w:hAnsiTheme="majorBidi" w:cstheme="majorBidi"/>
          <w:bCs/>
          <w:iCs/>
          <w:sz w:val="24"/>
          <w:szCs w:val="24"/>
        </w:rPr>
        <w:t>promotes and activates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 xml:space="preserve"> inflammatory processes and</w:t>
      </w:r>
      <w:r w:rsidR="0065574F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 xml:space="preserve">tumorigenesis, blocking IL-23 may 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>benefit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 xml:space="preserve"> cancer development prevention</w:t>
      </w:r>
      <w:r w:rsidR="00CB4A11">
        <w:rPr>
          <w:rFonts w:asciiTheme="majorBidi" w:hAnsiTheme="majorBidi" w:cstheme="majorBidi"/>
          <w:bCs/>
          <w:iCs/>
          <w:sz w:val="24"/>
          <w:szCs w:val="24"/>
        </w:rPr>
        <w:t xml:space="preserve"> and targeted cancer 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>therapy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7A389B">
        <w:rPr>
          <w:rFonts w:asciiTheme="majorBidi" w:hAnsiTheme="majorBidi" w:cstheme="majorBidi"/>
          <w:bCs/>
          <w:iCs/>
          <w:sz w:val="24"/>
          <w:szCs w:val="24"/>
        </w:rPr>
        <w:t>[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>14</w:t>
      </w:r>
      <w:r w:rsidR="007A389B">
        <w:rPr>
          <w:rFonts w:asciiTheme="majorBidi" w:hAnsiTheme="majorBidi" w:cstheme="majorBidi"/>
          <w:bCs/>
          <w:iCs/>
          <w:sz w:val="24"/>
          <w:szCs w:val="24"/>
        </w:rPr>
        <w:t>]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>.</w:t>
      </w:r>
    </w:p>
    <w:p w14:paraId="573A7512" w14:textId="568ECB90" w:rsidR="009979F3" w:rsidRPr="009979F3" w:rsidRDefault="00764D86" w:rsidP="009979F3">
      <w:pPr>
        <w:spacing w:line="360" w:lineRule="auto"/>
        <w:jc w:val="both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>Limitations</w:t>
      </w:r>
      <w:r w:rsidR="009979F3" w:rsidRPr="009979F3">
        <w:rPr>
          <w:rFonts w:asciiTheme="majorBidi" w:hAnsiTheme="majorBidi" w:cstheme="majorBidi"/>
          <w:b/>
          <w:bCs/>
          <w:iCs/>
          <w:sz w:val="24"/>
          <w:szCs w:val="24"/>
        </w:rPr>
        <w:t>:</w:t>
      </w:r>
    </w:p>
    <w:p w14:paraId="78AA2919" w14:textId="77777777" w:rsidR="009979F3" w:rsidRPr="009979F3" w:rsidRDefault="009979F3" w:rsidP="009979F3">
      <w:pPr>
        <w:spacing w:line="360" w:lineRule="auto"/>
        <w:jc w:val="both"/>
        <w:rPr>
          <w:rFonts w:asciiTheme="majorBidi" w:hAnsiTheme="majorBidi" w:cstheme="majorBidi"/>
          <w:bCs/>
          <w:iCs/>
          <w:sz w:val="24"/>
          <w:szCs w:val="24"/>
        </w:rPr>
      </w:pPr>
      <w:r w:rsidRPr="009979F3">
        <w:rPr>
          <w:rFonts w:asciiTheme="majorBidi" w:hAnsiTheme="majorBidi" w:cstheme="majorBidi"/>
          <w:bCs/>
          <w:iCs/>
          <w:sz w:val="24"/>
          <w:szCs w:val="24"/>
        </w:rPr>
        <w:t>The risk of HCC is affected by several factors other than genetic factors. Furthermore, screening for associations between genetic variants and HCC risk requires a large sample size and long-term follow-up. Additional research is needed, including a large population of different races and ethnicities using more polymorphic sites to translate these findings into clinical application.</w:t>
      </w:r>
    </w:p>
    <w:p w14:paraId="34B63695" w14:textId="77777777" w:rsidR="009979F3" w:rsidRPr="001F6256" w:rsidRDefault="009979F3" w:rsidP="00736F31">
      <w:pPr>
        <w:spacing w:line="360" w:lineRule="auto"/>
        <w:jc w:val="both"/>
        <w:rPr>
          <w:rFonts w:asciiTheme="majorBidi" w:hAnsiTheme="majorBidi" w:cstheme="majorBidi"/>
          <w:bCs/>
          <w:iCs/>
          <w:sz w:val="24"/>
          <w:szCs w:val="24"/>
        </w:rPr>
      </w:pPr>
    </w:p>
    <w:p w14:paraId="0629CA82" w14:textId="5E27B1AB" w:rsidR="0065574F" w:rsidRPr="00260986" w:rsidRDefault="00C5628F" w:rsidP="00DB4BF7">
      <w:pPr>
        <w:spacing w:line="360" w:lineRule="auto"/>
        <w:ind w:left="139"/>
        <w:jc w:val="both"/>
        <w:rPr>
          <w:rFonts w:asciiTheme="majorBidi" w:hAnsiTheme="majorBidi" w:cstheme="majorBidi"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>In c</w:t>
      </w:r>
      <w:r w:rsidR="0065574F" w:rsidRPr="0065574F">
        <w:rPr>
          <w:rFonts w:asciiTheme="majorBidi" w:hAnsiTheme="majorBidi" w:cstheme="majorBidi"/>
          <w:b/>
          <w:bCs/>
          <w:iCs/>
          <w:sz w:val="24"/>
          <w:szCs w:val="24"/>
        </w:rPr>
        <w:t>onclusion</w:t>
      </w:r>
      <w:r>
        <w:rPr>
          <w:rFonts w:asciiTheme="majorBidi" w:hAnsiTheme="majorBidi" w:cstheme="majorBidi"/>
          <w:b/>
          <w:bCs/>
          <w:iCs/>
          <w:sz w:val="24"/>
          <w:szCs w:val="24"/>
        </w:rPr>
        <w:t>,</w:t>
      </w:r>
      <w:bookmarkStart w:id="60" w:name="This_study_concluded_that_wild-type_IL-2"/>
      <w:bookmarkEnd w:id="60"/>
      <w:r>
        <w:rPr>
          <w:rFonts w:asciiTheme="majorBidi" w:hAnsiTheme="majorBidi" w:cstheme="majorBidi"/>
          <w:b/>
          <w:bCs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iCs/>
          <w:sz w:val="24"/>
          <w:szCs w:val="24"/>
        </w:rPr>
        <w:t>t</w:t>
      </w:r>
      <w:r w:rsidR="0065574F" w:rsidRPr="0065574F">
        <w:rPr>
          <w:rFonts w:asciiTheme="majorBidi" w:hAnsiTheme="majorBidi" w:cstheme="majorBidi"/>
          <w:bCs/>
          <w:iCs/>
          <w:sz w:val="24"/>
          <w:szCs w:val="24"/>
        </w:rPr>
        <w:t xml:space="preserve">his study </w:t>
      </w:r>
      <w:r w:rsidR="00F511EC">
        <w:rPr>
          <w:rFonts w:asciiTheme="majorBidi" w:hAnsiTheme="majorBidi" w:cstheme="majorBidi"/>
          <w:bCs/>
          <w:iCs/>
          <w:sz w:val="24"/>
          <w:szCs w:val="24"/>
        </w:rPr>
        <w:t>revealed</w:t>
      </w:r>
      <w:r w:rsidR="0065574F" w:rsidRPr="0065574F">
        <w:rPr>
          <w:rFonts w:asciiTheme="majorBidi" w:hAnsiTheme="majorBidi" w:cstheme="majorBidi"/>
          <w:bCs/>
          <w:iCs/>
          <w:sz w:val="24"/>
          <w:szCs w:val="24"/>
        </w:rPr>
        <w:t xml:space="preserve"> that </w:t>
      </w:r>
      <w:r w:rsidR="0065574F" w:rsidRPr="0065574F">
        <w:rPr>
          <w:rFonts w:asciiTheme="majorBidi" w:hAnsiTheme="majorBidi" w:cstheme="majorBidi"/>
          <w:bCs/>
          <w:i/>
          <w:sz w:val="24"/>
          <w:szCs w:val="24"/>
        </w:rPr>
        <w:t>IL-23R</w:t>
      </w:r>
      <w:r w:rsidR="00DB4BF7" w:rsidRPr="00DB4BF7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DB4BF7" w:rsidRPr="00DB4BF7">
        <w:rPr>
          <w:rFonts w:asciiTheme="majorBidi" w:hAnsiTheme="majorBidi" w:cstheme="majorBidi"/>
          <w:bCs/>
          <w:i/>
          <w:iCs/>
          <w:sz w:val="24"/>
          <w:szCs w:val="24"/>
        </w:rPr>
        <w:t>rs10889677</w:t>
      </w:r>
      <w:r w:rsidR="0065574F" w:rsidRPr="0065574F">
        <w:rPr>
          <w:rFonts w:asciiTheme="majorBidi" w:hAnsiTheme="majorBidi" w:cstheme="majorBidi"/>
          <w:bCs/>
          <w:i/>
          <w:sz w:val="24"/>
          <w:szCs w:val="24"/>
        </w:rPr>
        <w:t xml:space="preserve"> </w:t>
      </w:r>
      <w:r w:rsidR="00F111FD" w:rsidRPr="00260986">
        <w:rPr>
          <w:rFonts w:asciiTheme="majorBidi" w:hAnsiTheme="majorBidi" w:cstheme="majorBidi"/>
          <w:bCs/>
          <w:iCs/>
          <w:sz w:val="24"/>
          <w:szCs w:val="24"/>
        </w:rPr>
        <w:t xml:space="preserve">AC and </w:t>
      </w:r>
      <w:r w:rsidR="00DB4BF7" w:rsidRPr="00260986">
        <w:rPr>
          <w:rFonts w:asciiTheme="majorBidi" w:hAnsiTheme="majorBidi" w:cstheme="majorBidi"/>
          <w:bCs/>
          <w:iCs/>
          <w:sz w:val="24"/>
          <w:szCs w:val="24"/>
        </w:rPr>
        <w:t>CC</w:t>
      </w:r>
      <w:r w:rsidR="0065574F" w:rsidRPr="00260986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AA2454" w:rsidRPr="00260986">
        <w:rPr>
          <w:rFonts w:asciiTheme="majorBidi" w:hAnsiTheme="majorBidi" w:cstheme="majorBidi"/>
          <w:bCs/>
          <w:iCs/>
          <w:sz w:val="24"/>
          <w:szCs w:val="24"/>
        </w:rPr>
        <w:t xml:space="preserve">genotypes and C allele </w:t>
      </w:r>
      <w:r w:rsidR="00A922DE" w:rsidRPr="00260986">
        <w:rPr>
          <w:rFonts w:asciiTheme="majorBidi" w:hAnsiTheme="majorBidi" w:cstheme="majorBidi"/>
          <w:bCs/>
          <w:iCs/>
          <w:sz w:val="24"/>
          <w:szCs w:val="24"/>
        </w:rPr>
        <w:t>possibly protect</w:t>
      </w:r>
      <w:r w:rsidR="0065574F" w:rsidRPr="00260986">
        <w:rPr>
          <w:rFonts w:asciiTheme="majorBidi" w:hAnsiTheme="majorBidi" w:cstheme="majorBidi"/>
          <w:bCs/>
          <w:iCs/>
          <w:sz w:val="24"/>
          <w:szCs w:val="24"/>
        </w:rPr>
        <w:t xml:space="preserve"> Egyptian HCV-infected individuals against </w:t>
      </w:r>
      <w:r w:rsidR="00A922DE" w:rsidRPr="00260986">
        <w:rPr>
          <w:rFonts w:asciiTheme="majorBidi" w:hAnsiTheme="majorBidi" w:cstheme="majorBidi"/>
          <w:bCs/>
          <w:iCs/>
          <w:sz w:val="24"/>
          <w:szCs w:val="24"/>
        </w:rPr>
        <w:t>developing</w:t>
      </w:r>
      <w:r w:rsidR="0065574F" w:rsidRPr="00260986">
        <w:rPr>
          <w:rFonts w:asciiTheme="majorBidi" w:hAnsiTheme="majorBidi" w:cstheme="majorBidi"/>
          <w:bCs/>
          <w:iCs/>
          <w:sz w:val="24"/>
          <w:szCs w:val="24"/>
        </w:rPr>
        <w:t xml:space="preserve"> HCC.</w:t>
      </w:r>
      <w:r w:rsidR="0065574F" w:rsidRPr="00260986">
        <w:rPr>
          <w:rFonts w:asciiTheme="majorBidi" w:hAnsiTheme="majorBidi" w:cstheme="majorBidi"/>
          <w:bCs/>
          <w:iCs/>
          <w:sz w:val="24"/>
          <w:szCs w:val="24"/>
        </w:rPr>
        <w:tab/>
      </w:r>
    </w:p>
    <w:p w14:paraId="2558C0C0" w14:textId="5AB8CC7C" w:rsidR="008E6825" w:rsidRDefault="008E6825" w:rsidP="00576E84">
      <w:pPr>
        <w:spacing w:line="360" w:lineRule="auto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8E6825">
        <w:rPr>
          <w:rFonts w:asciiTheme="majorBidi" w:hAnsiTheme="majorBidi" w:cstheme="majorBidi"/>
          <w:b/>
          <w:bCs/>
          <w:iCs/>
          <w:sz w:val="24"/>
          <w:szCs w:val="24"/>
        </w:rPr>
        <w:t>Footnotes.</w:t>
      </w:r>
    </w:p>
    <w:p w14:paraId="35505C35" w14:textId="03BDD9CA" w:rsidR="00576E84" w:rsidRPr="00576E84" w:rsidRDefault="00576E84" w:rsidP="00576E84">
      <w:pPr>
        <w:spacing w:line="360" w:lineRule="auto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576E84">
        <w:rPr>
          <w:rFonts w:asciiTheme="majorBidi" w:hAnsiTheme="majorBidi" w:cstheme="majorBidi"/>
          <w:b/>
          <w:bCs/>
          <w:iCs/>
          <w:sz w:val="24"/>
          <w:szCs w:val="24"/>
        </w:rPr>
        <w:t>Funding</w:t>
      </w:r>
    </w:p>
    <w:p w14:paraId="66EE3FC8" w14:textId="4A35CAB2" w:rsidR="00576E84" w:rsidRPr="008E6825" w:rsidRDefault="00576E84" w:rsidP="00576E84">
      <w:pPr>
        <w:spacing w:line="360" w:lineRule="auto"/>
        <w:rPr>
          <w:rFonts w:asciiTheme="majorBidi" w:hAnsiTheme="majorBidi" w:cstheme="majorBidi"/>
          <w:bCs/>
          <w:iCs/>
          <w:sz w:val="24"/>
          <w:szCs w:val="24"/>
        </w:rPr>
      </w:pPr>
      <w:r w:rsidRPr="008E6825">
        <w:rPr>
          <w:rFonts w:asciiTheme="majorBidi" w:hAnsiTheme="majorBidi" w:cstheme="majorBidi"/>
          <w:bCs/>
          <w:iCs/>
          <w:sz w:val="24"/>
          <w:szCs w:val="24"/>
        </w:rPr>
        <w:t xml:space="preserve">This research received no specific grant from public, commercial, or </w:t>
      </w:r>
      <w:r w:rsidR="008E6825" w:rsidRPr="008E6825">
        <w:rPr>
          <w:rFonts w:asciiTheme="majorBidi" w:hAnsiTheme="majorBidi" w:cstheme="majorBidi"/>
          <w:bCs/>
          <w:iCs/>
          <w:sz w:val="24"/>
          <w:szCs w:val="24"/>
        </w:rPr>
        <w:t>not-for-profit</w:t>
      </w:r>
      <w:r w:rsidRPr="008E6825">
        <w:rPr>
          <w:rFonts w:asciiTheme="majorBidi" w:hAnsiTheme="majorBidi" w:cstheme="majorBidi"/>
          <w:bCs/>
          <w:iCs/>
          <w:sz w:val="24"/>
          <w:szCs w:val="24"/>
        </w:rPr>
        <w:t xml:space="preserve"> funding agencies.</w:t>
      </w:r>
    </w:p>
    <w:p w14:paraId="5D11D663" w14:textId="77777777" w:rsidR="00576E84" w:rsidRPr="00576E84" w:rsidRDefault="00576E84" w:rsidP="00576E84">
      <w:pPr>
        <w:spacing w:line="360" w:lineRule="auto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576E84">
        <w:rPr>
          <w:rFonts w:asciiTheme="majorBidi" w:hAnsiTheme="majorBidi" w:cstheme="majorBidi"/>
          <w:b/>
          <w:bCs/>
          <w:iCs/>
          <w:sz w:val="24"/>
          <w:szCs w:val="24"/>
        </w:rPr>
        <w:t>Declaration of competing interest</w:t>
      </w:r>
    </w:p>
    <w:p w14:paraId="105A820A" w14:textId="77777777" w:rsidR="00576E84" w:rsidRPr="008E6825" w:rsidRDefault="00576E84" w:rsidP="00576E84">
      <w:pPr>
        <w:spacing w:line="360" w:lineRule="auto"/>
        <w:rPr>
          <w:rFonts w:asciiTheme="majorBidi" w:hAnsiTheme="majorBidi" w:cstheme="majorBidi"/>
          <w:bCs/>
          <w:iCs/>
          <w:sz w:val="24"/>
          <w:szCs w:val="24"/>
        </w:rPr>
      </w:pPr>
      <w:r w:rsidRPr="008E6825">
        <w:rPr>
          <w:rFonts w:asciiTheme="majorBidi" w:hAnsiTheme="majorBidi" w:cstheme="majorBidi"/>
          <w:bCs/>
          <w:iCs/>
          <w:sz w:val="24"/>
          <w:szCs w:val="24"/>
        </w:rPr>
        <w:t>There are no conflicts of interest related to this study.</w:t>
      </w:r>
    </w:p>
    <w:p w14:paraId="019F3A89" w14:textId="061730D5" w:rsidR="00576E84" w:rsidRDefault="00076ED7" w:rsidP="00576E84">
      <w:pPr>
        <w:spacing w:line="360" w:lineRule="auto"/>
        <w:jc w:val="both"/>
        <w:rPr>
          <w:rFonts w:asciiTheme="majorBidi" w:hAnsiTheme="majorBidi" w:cstheme="majorBidi"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>Authors</w:t>
      </w:r>
      <w:r w:rsidR="00BD7CBB">
        <w:rPr>
          <w:rFonts w:asciiTheme="majorBidi" w:hAnsiTheme="majorBidi" w:cstheme="majorBidi"/>
          <w:b/>
          <w:bCs/>
          <w:iCs/>
          <w:sz w:val="24"/>
          <w:szCs w:val="24"/>
        </w:rPr>
        <w:t>'</w:t>
      </w:r>
      <w:r w:rsidR="00576E84" w:rsidRPr="00576E84">
        <w:rPr>
          <w:rFonts w:asciiTheme="majorBidi" w:hAnsiTheme="majorBidi" w:cstheme="majorBidi"/>
          <w:b/>
          <w:bCs/>
          <w:iCs/>
          <w:sz w:val="24"/>
          <w:szCs w:val="24"/>
        </w:rPr>
        <w:t xml:space="preserve"> contributions:</w:t>
      </w:r>
      <w:r>
        <w:rPr>
          <w:rFonts w:asciiTheme="majorBidi" w:hAnsiTheme="majorBidi" w:cstheme="majorBidi"/>
          <w:b/>
          <w:bCs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iCs/>
          <w:sz w:val="24"/>
          <w:szCs w:val="24"/>
        </w:rPr>
        <w:t>A</w:t>
      </w:r>
      <w:r w:rsidRPr="00076ED7">
        <w:rPr>
          <w:rFonts w:asciiTheme="majorBidi" w:hAnsiTheme="majorBidi" w:cstheme="majorBidi"/>
          <w:bCs/>
          <w:iCs/>
          <w:sz w:val="24"/>
          <w:szCs w:val="24"/>
        </w:rPr>
        <w:t>ll authors contributed equally to this work</w:t>
      </w:r>
      <w:r>
        <w:rPr>
          <w:rFonts w:asciiTheme="majorBidi" w:hAnsiTheme="majorBidi" w:cstheme="majorBidi"/>
          <w:bCs/>
          <w:iCs/>
          <w:sz w:val="24"/>
          <w:szCs w:val="24"/>
        </w:rPr>
        <w:t>.</w:t>
      </w:r>
    </w:p>
    <w:p w14:paraId="5992038F" w14:textId="00017C01" w:rsidR="00076ED7" w:rsidRDefault="00076ED7" w:rsidP="00576E84">
      <w:pPr>
        <w:spacing w:line="360" w:lineRule="auto"/>
        <w:jc w:val="both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Cs/>
          <w:iCs/>
          <w:sz w:val="24"/>
          <w:szCs w:val="24"/>
        </w:rPr>
        <w:t>The institutional review board of Zagazig University, Faculty of Medicine, approved this research.</w:t>
      </w:r>
    </w:p>
    <w:p w14:paraId="0C4A8072" w14:textId="3369EC69" w:rsidR="0065574F" w:rsidRPr="0065574F" w:rsidRDefault="0065574F" w:rsidP="0065574F">
      <w:pPr>
        <w:spacing w:line="360" w:lineRule="auto"/>
        <w:jc w:val="both"/>
        <w:rPr>
          <w:rFonts w:asciiTheme="majorBidi" w:hAnsiTheme="majorBidi" w:cstheme="majorBidi"/>
          <w:bCs/>
          <w:iCs/>
          <w:sz w:val="24"/>
          <w:szCs w:val="24"/>
        </w:rPr>
      </w:pPr>
      <w:r w:rsidRPr="0065574F">
        <w:rPr>
          <w:rFonts w:asciiTheme="majorBidi" w:hAnsiTheme="majorBidi" w:cstheme="majorBidi"/>
          <w:b/>
          <w:bCs/>
          <w:iCs/>
          <w:sz w:val="24"/>
          <w:szCs w:val="24"/>
        </w:rPr>
        <w:t xml:space="preserve">Funding: </w:t>
      </w:r>
      <w:r w:rsidRPr="0065574F">
        <w:rPr>
          <w:rFonts w:asciiTheme="majorBidi" w:hAnsiTheme="majorBidi" w:cstheme="majorBidi"/>
          <w:bCs/>
          <w:iCs/>
          <w:sz w:val="24"/>
          <w:szCs w:val="24"/>
        </w:rPr>
        <w:t>No</w:t>
      </w:r>
      <w:r>
        <w:rPr>
          <w:rFonts w:asciiTheme="majorBidi" w:hAnsiTheme="majorBidi" w:cstheme="majorBidi"/>
          <w:bCs/>
          <w:iCs/>
          <w:sz w:val="24"/>
          <w:szCs w:val="24"/>
        </w:rPr>
        <w:t>ne</w:t>
      </w:r>
    </w:p>
    <w:p w14:paraId="5B964E94" w14:textId="12043AB1" w:rsidR="0065574F" w:rsidRPr="0065574F" w:rsidRDefault="0065574F" w:rsidP="0065574F">
      <w:pPr>
        <w:spacing w:line="360" w:lineRule="auto"/>
        <w:jc w:val="both"/>
        <w:rPr>
          <w:rFonts w:asciiTheme="majorBidi" w:hAnsiTheme="majorBidi" w:cstheme="majorBidi"/>
          <w:bCs/>
          <w:iCs/>
          <w:sz w:val="24"/>
          <w:szCs w:val="24"/>
        </w:rPr>
      </w:pPr>
      <w:r w:rsidRPr="0065574F">
        <w:rPr>
          <w:rFonts w:asciiTheme="majorBidi" w:hAnsiTheme="majorBidi" w:cstheme="majorBidi"/>
          <w:b/>
          <w:bCs/>
          <w:iCs/>
          <w:sz w:val="24"/>
          <w:szCs w:val="24"/>
        </w:rPr>
        <w:t xml:space="preserve">Data Availability Statement: </w:t>
      </w:r>
      <w:r w:rsidRPr="0065574F">
        <w:rPr>
          <w:rFonts w:asciiTheme="majorBidi" w:hAnsiTheme="majorBidi" w:cstheme="majorBidi"/>
          <w:bCs/>
          <w:iCs/>
          <w:sz w:val="24"/>
          <w:szCs w:val="24"/>
        </w:rPr>
        <w:t>Available upon</w:t>
      </w:r>
      <w:r>
        <w:rPr>
          <w:rFonts w:asciiTheme="majorBidi" w:hAnsiTheme="majorBidi" w:cstheme="majorBidi"/>
          <w:bCs/>
          <w:iCs/>
          <w:sz w:val="24"/>
          <w:szCs w:val="24"/>
        </w:rPr>
        <w:t xml:space="preserve"> reasonable</w:t>
      </w:r>
      <w:r w:rsidRPr="0065574F">
        <w:rPr>
          <w:rFonts w:asciiTheme="majorBidi" w:hAnsiTheme="majorBidi" w:cstheme="majorBidi"/>
          <w:bCs/>
          <w:iCs/>
          <w:sz w:val="24"/>
          <w:szCs w:val="24"/>
        </w:rPr>
        <w:t xml:space="preserve"> request fro</w:t>
      </w:r>
      <w:r>
        <w:rPr>
          <w:rFonts w:asciiTheme="majorBidi" w:hAnsiTheme="majorBidi" w:cstheme="majorBidi"/>
          <w:bCs/>
          <w:iCs/>
          <w:sz w:val="24"/>
          <w:szCs w:val="24"/>
        </w:rPr>
        <w:t>m</w:t>
      </w:r>
      <w:r w:rsidRPr="0065574F">
        <w:rPr>
          <w:rFonts w:asciiTheme="majorBidi" w:hAnsiTheme="majorBidi" w:cstheme="majorBidi"/>
          <w:bCs/>
          <w:iCs/>
          <w:sz w:val="24"/>
          <w:szCs w:val="24"/>
        </w:rPr>
        <w:t xml:space="preserve"> the corresponding author.</w:t>
      </w:r>
      <w:r w:rsidRPr="0065574F">
        <w:rPr>
          <w:rFonts w:asciiTheme="majorBidi" w:hAnsiTheme="majorBidi" w:cstheme="majorBidi"/>
          <w:bCs/>
          <w:iCs/>
          <w:sz w:val="24"/>
          <w:szCs w:val="24"/>
        </w:rPr>
        <w:tab/>
      </w:r>
    </w:p>
    <w:p w14:paraId="55529CC2" w14:textId="0500FB7F" w:rsidR="001F6256" w:rsidRDefault="0065574F" w:rsidP="0065574F">
      <w:pPr>
        <w:spacing w:line="360" w:lineRule="auto"/>
        <w:jc w:val="both"/>
        <w:rPr>
          <w:rFonts w:asciiTheme="majorBidi" w:hAnsiTheme="majorBidi" w:cstheme="majorBidi"/>
          <w:bCs/>
          <w:iCs/>
          <w:sz w:val="24"/>
          <w:szCs w:val="24"/>
        </w:rPr>
      </w:pPr>
      <w:r w:rsidRPr="0065574F">
        <w:rPr>
          <w:rFonts w:asciiTheme="majorBidi" w:hAnsiTheme="majorBidi" w:cstheme="majorBidi"/>
          <w:b/>
          <w:bCs/>
          <w:iCs/>
          <w:sz w:val="24"/>
          <w:szCs w:val="24"/>
        </w:rPr>
        <w:t xml:space="preserve">Conflicts of Interest: </w:t>
      </w:r>
      <w:r w:rsidRPr="0065574F">
        <w:rPr>
          <w:rFonts w:asciiTheme="majorBidi" w:hAnsiTheme="majorBidi" w:cstheme="majorBidi"/>
          <w:bCs/>
          <w:iCs/>
          <w:sz w:val="24"/>
          <w:szCs w:val="24"/>
        </w:rPr>
        <w:t>The authors declare no conflict of interest.</w:t>
      </w:r>
    </w:p>
    <w:p w14:paraId="1551B180" w14:textId="560D5CB5" w:rsidR="00A1569D" w:rsidRPr="00A1569D" w:rsidRDefault="00A1569D" w:rsidP="00011A3D">
      <w:pPr>
        <w:spacing w:line="360" w:lineRule="auto"/>
        <w:rPr>
          <w:rFonts w:asciiTheme="majorBidi" w:hAnsiTheme="majorBidi" w:cstheme="majorBidi"/>
          <w:bCs/>
          <w:iCs/>
          <w:sz w:val="24"/>
          <w:szCs w:val="24"/>
        </w:rPr>
      </w:pPr>
      <w:r w:rsidRPr="00A1569D">
        <w:rPr>
          <w:rFonts w:asciiTheme="majorBidi" w:hAnsiTheme="majorBidi" w:cstheme="majorBidi"/>
          <w:bCs/>
          <w:iCs/>
          <w:sz w:val="24"/>
          <w:szCs w:val="24"/>
        </w:rPr>
        <w:t>All authors had direct exposure to the study data and read and agreed with the</w:t>
      </w:r>
      <w:r w:rsidR="00011A3D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A1569D">
        <w:rPr>
          <w:rFonts w:asciiTheme="majorBidi" w:hAnsiTheme="majorBidi" w:cstheme="majorBidi"/>
          <w:bCs/>
          <w:iCs/>
          <w:sz w:val="24"/>
          <w:szCs w:val="24"/>
        </w:rPr>
        <w:t>final text.</w:t>
      </w:r>
    </w:p>
    <w:p w14:paraId="3C3C4F1C" w14:textId="6C743858" w:rsidR="00A1569D" w:rsidRPr="00A1569D" w:rsidRDefault="004F5093" w:rsidP="00011A3D">
      <w:pPr>
        <w:spacing w:line="360" w:lineRule="auto"/>
        <w:rPr>
          <w:rFonts w:asciiTheme="majorBidi" w:hAnsiTheme="majorBidi" w:cstheme="majorBidi"/>
          <w:bCs/>
          <w:iCs/>
          <w:sz w:val="24"/>
          <w:szCs w:val="24"/>
        </w:rPr>
      </w:pPr>
      <w:r>
        <w:rPr>
          <w:rFonts w:asciiTheme="majorBidi" w:hAnsiTheme="majorBidi" w:cstheme="majorBidi"/>
          <w:bCs/>
          <w:iCs/>
          <w:sz w:val="24"/>
          <w:szCs w:val="24"/>
        </w:rPr>
        <w:t>Peer-Reviewers</w:t>
      </w:r>
      <w:r w:rsidR="00A1569D" w:rsidRPr="00A1569D">
        <w:rPr>
          <w:rFonts w:asciiTheme="majorBidi" w:hAnsiTheme="majorBidi" w:cstheme="majorBidi"/>
          <w:bCs/>
          <w:iCs/>
          <w:sz w:val="24"/>
          <w:szCs w:val="24"/>
        </w:rPr>
        <w:t>:</w:t>
      </w:r>
      <w:r w:rsidR="00CD0773" w:rsidRPr="00CD0773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086C32" w:rsidRPr="00CD0773">
        <w:rPr>
          <w:rFonts w:asciiTheme="majorBidi" w:hAnsiTheme="majorBidi" w:cstheme="majorBidi"/>
          <w:bCs/>
          <w:iCs/>
          <w:sz w:val="24"/>
          <w:szCs w:val="24"/>
        </w:rPr>
        <w:t>Ayman</w:t>
      </w:r>
      <w:r w:rsidR="00086C32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proofErr w:type="spellStart"/>
      <w:r w:rsidR="00086C32" w:rsidRPr="00CD0773">
        <w:rPr>
          <w:rFonts w:asciiTheme="majorBidi" w:hAnsiTheme="majorBidi" w:cstheme="majorBidi"/>
          <w:bCs/>
          <w:iCs/>
          <w:sz w:val="24"/>
          <w:szCs w:val="24"/>
        </w:rPr>
        <w:t>Sadek</w:t>
      </w:r>
      <w:proofErr w:type="spellEnd"/>
      <w:r w:rsidR="00CD0773" w:rsidRPr="00CD0773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734650" w:rsidRPr="00A1569D">
        <w:rPr>
          <w:rFonts w:asciiTheme="majorBidi" w:hAnsiTheme="majorBidi" w:cstheme="majorBidi"/>
          <w:bCs/>
          <w:iCs/>
          <w:sz w:val="24"/>
          <w:szCs w:val="24"/>
        </w:rPr>
        <w:t>(</w:t>
      </w:r>
      <w:r w:rsidR="00734650">
        <w:rPr>
          <w:rFonts w:asciiTheme="majorBidi" w:hAnsiTheme="majorBidi" w:cstheme="majorBidi"/>
          <w:bCs/>
          <w:iCs/>
          <w:sz w:val="24"/>
          <w:szCs w:val="24"/>
        </w:rPr>
        <w:t>Assistant</w:t>
      </w:r>
      <w:r w:rsidR="00645512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A1569D" w:rsidRPr="00A1569D">
        <w:rPr>
          <w:rFonts w:asciiTheme="majorBidi" w:hAnsiTheme="majorBidi" w:cstheme="majorBidi"/>
          <w:bCs/>
          <w:iCs/>
          <w:sz w:val="24"/>
          <w:szCs w:val="24"/>
        </w:rPr>
        <w:t xml:space="preserve">professor of </w:t>
      </w:r>
      <w:r w:rsidR="00086C32">
        <w:rPr>
          <w:rFonts w:asciiTheme="majorBidi" w:hAnsiTheme="majorBidi" w:cstheme="majorBidi"/>
          <w:bCs/>
          <w:iCs/>
          <w:sz w:val="24"/>
          <w:szCs w:val="24"/>
        </w:rPr>
        <w:t>medicine</w:t>
      </w:r>
      <w:r w:rsidR="00A1569D" w:rsidRPr="00A1569D">
        <w:rPr>
          <w:rFonts w:asciiTheme="majorBidi" w:hAnsiTheme="majorBidi" w:cstheme="majorBidi"/>
          <w:bCs/>
          <w:iCs/>
          <w:sz w:val="24"/>
          <w:szCs w:val="24"/>
        </w:rPr>
        <w:t xml:space="preserve">), </w:t>
      </w:r>
      <w:r w:rsidR="00CD0773" w:rsidRPr="00CD0773">
        <w:rPr>
          <w:rFonts w:asciiTheme="majorBidi" w:hAnsiTheme="majorBidi" w:cstheme="majorBidi"/>
          <w:bCs/>
          <w:iCs/>
          <w:sz w:val="24"/>
          <w:szCs w:val="24"/>
        </w:rPr>
        <w:t>Marwa</w:t>
      </w:r>
      <w:r w:rsidR="00CD0773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CD0773" w:rsidRPr="00CD0773">
        <w:rPr>
          <w:rFonts w:asciiTheme="majorBidi" w:hAnsiTheme="majorBidi" w:cstheme="majorBidi"/>
          <w:bCs/>
          <w:iCs/>
          <w:sz w:val="24"/>
          <w:szCs w:val="24"/>
        </w:rPr>
        <w:t>Shabana</w:t>
      </w:r>
      <w:r w:rsidR="00011A3D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A1569D" w:rsidRPr="00A1569D">
        <w:rPr>
          <w:rFonts w:asciiTheme="majorBidi" w:hAnsiTheme="majorBidi" w:cstheme="majorBidi"/>
          <w:bCs/>
          <w:iCs/>
          <w:sz w:val="24"/>
          <w:szCs w:val="24"/>
        </w:rPr>
        <w:t>(</w:t>
      </w:r>
      <w:r w:rsidR="00645512">
        <w:rPr>
          <w:rFonts w:asciiTheme="majorBidi" w:hAnsiTheme="majorBidi" w:cstheme="majorBidi"/>
          <w:bCs/>
          <w:iCs/>
          <w:sz w:val="24"/>
          <w:szCs w:val="24"/>
        </w:rPr>
        <w:t>lecturer</w:t>
      </w:r>
      <w:r w:rsidR="00A1569D" w:rsidRPr="00A1569D">
        <w:rPr>
          <w:rFonts w:asciiTheme="majorBidi" w:hAnsiTheme="majorBidi" w:cstheme="majorBidi"/>
          <w:bCs/>
          <w:iCs/>
          <w:sz w:val="24"/>
          <w:szCs w:val="24"/>
        </w:rPr>
        <w:t xml:space="preserve"> of </w:t>
      </w:r>
      <w:r w:rsidR="00086C32">
        <w:rPr>
          <w:rFonts w:asciiTheme="majorBidi" w:hAnsiTheme="majorBidi" w:cstheme="majorBidi"/>
          <w:bCs/>
          <w:iCs/>
          <w:sz w:val="24"/>
          <w:szCs w:val="24"/>
        </w:rPr>
        <w:t>clinical pathology</w:t>
      </w:r>
      <w:r w:rsidR="00A1569D" w:rsidRPr="00A1569D">
        <w:rPr>
          <w:rFonts w:asciiTheme="majorBidi" w:hAnsiTheme="majorBidi" w:cstheme="majorBidi"/>
          <w:bCs/>
          <w:iCs/>
          <w:sz w:val="24"/>
          <w:szCs w:val="24"/>
        </w:rPr>
        <w:t xml:space="preserve">), </w:t>
      </w:r>
      <w:r w:rsidR="00CD0773" w:rsidRPr="00CD0773">
        <w:rPr>
          <w:rFonts w:asciiTheme="majorBidi" w:hAnsiTheme="majorBidi" w:cstheme="majorBidi"/>
          <w:bCs/>
          <w:iCs/>
          <w:sz w:val="24"/>
          <w:szCs w:val="24"/>
        </w:rPr>
        <w:t>Amr Shaaban</w:t>
      </w:r>
      <w:r w:rsidR="00086C32" w:rsidRPr="00086C32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086C32" w:rsidRPr="00086C32">
        <w:rPr>
          <w:rFonts w:asciiTheme="majorBidi" w:hAnsiTheme="majorBidi" w:cstheme="majorBidi"/>
          <w:bCs/>
          <w:iCs/>
          <w:sz w:val="24"/>
          <w:szCs w:val="24"/>
        </w:rPr>
        <w:t>Hanafy</w:t>
      </w:r>
      <w:r w:rsidR="00086C32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A1569D" w:rsidRPr="00A1569D">
        <w:rPr>
          <w:rFonts w:asciiTheme="majorBidi" w:hAnsiTheme="majorBidi" w:cstheme="majorBidi"/>
          <w:bCs/>
          <w:iCs/>
          <w:sz w:val="24"/>
          <w:szCs w:val="24"/>
        </w:rPr>
        <w:t>(professor of internal medicine),</w:t>
      </w:r>
      <w:r w:rsidR="00011A3D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proofErr w:type="spellStart"/>
      <w:r w:rsidR="00CD0773" w:rsidRPr="00CD0773">
        <w:rPr>
          <w:rFonts w:asciiTheme="majorBidi" w:hAnsiTheme="majorBidi" w:cstheme="majorBidi"/>
          <w:bCs/>
          <w:iCs/>
          <w:sz w:val="24"/>
          <w:szCs w:val="24"/>
        </w:rPr>
        <w:t>Amany</w:t>
      </w:r>
      <w:proofErr w:type="spellEnd"/>
      <w:r w:rsidR="00CD0773" w:rsidRPr="00CD0773">
        <w:rPr>
          <w:rFonts w:asciiTheme="majorBidi" w:hAnsiTheme="majorBidi" w:cstheme="majorBidi"/>
          <w:bCs/>
          <w:iCs/>
          <w:sz w:val="24"/>
          <w:szCs w:val="24"/>
        </w:rPr>
        <w:t xml:space="preserve"> Mohammed</w:t>
      </w:r>
      <w:r w:rsidR="00086C32">
        <w:rPr>
          <w:rFonts w:asciiTheme="majorBidi" w:hAnsiTheme="majorBidi" w:cstheme="majorBidi"/>
          <w:bCs/>
          <w:iCs/>
          <w:sz w:val="24"/>
          <w:szCs w:val="24"/>
        </w:rPr>
        <w:t xml:space="preserve"> Abdallah</w:t>
      </w:r>
      <w:r w:rsidR="00CD0773" w:rsidRPr="00CD0773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A1569D" w:rsidRPr="00A1569D">
        <w:rPr>
          <w:rFonts w:asciiTheme="majorBidi" w:hAnsiTheme="majorBidi" w:cstheme="majorBidi"/>
          <w:bCs/>
          <w:iCs/>
          <w:sz w:val="24"/>
          <w:szCs w:val="24"/>
        </w:rPr>
        <w:t>(</w:t>
      </w:r>
      <w:r w:rsidR="00645512">
        <w:rPr>
          <w:rFonts w:asciiTheme="majorBidi" w:hAnsiTheme="majorBidi" w:cstheme="majorBidi"/>
          <w:bCs/>
          <w:iCs/>
          <w:sz w:val="24"/>
          <w:szCs w:val="24"/>
        </w:rPr>
        <w:t xml:space="preserve">Assistant </w:t>
      </w:r>
      <w:r w:rsidR="00A1569D" w:rsidRPr="00A1569D">
        <w:rPr>
          <w:rFonts w:asciiTheme="majorBidi" w:hAnsiTheme="majorBidi" w:cstheme="majorBidi"/>
          <w:bCs/>
          <w:iCs/>
          <w:sz w:val="24"/>
          <w:szCs w:val="24"/>
        </w:rPr>
        <w:t xml:space="preserve">professor of </w:t>
      </w:r>
      <w:r w:rsidR="00086C32">
        <w:rPr>
          <w:rFonts w:asciiTheme="majorBidi" w:hAnsiTheme="majorBidi" w:cstheme="majorBidi"/>
          <w:bCs/>
          <w:iCs/>
          <w:sz w:val="24"/>
          <w:szCs w:val="24"/>
        </w:rPr>
        <w:t>community</w:t>
      </w:r>
      <w:r w:rsidR="00A1569D" w:rsidRPr="00A1569D">
        <w:rPr>
          <w:rFonts w:asciiTheme="majorBidi" w:hAnsiTheme="majorBidi" w:cstheme="majorBidi"/>
          <w:bCs/>
          <w:iCs/>
          <w:sz w:val="24"/>
          <w:szCs w:val="24"/>
        </w:rPr>
        <w:t xml:space="preserve"> medicine)</w:t>
      </w:r>
      <w:r w:rsidR="00011A3D">
        <w:rPr>
          <w:rFonts w:asciiTheme="majorBidi" w:hAnsiTheme="majorBidi" w:cstheme="majorBidi"/>
          <w:bCs/>
          <w:iCs/>
          <w:sz w:val="24"/>
          <w:szCs w:val="24"/>
        </w:rPr>
        <w:t>.</w:t>
      </w:r>
    </w:p>
    <w:p w14:paraId="70B3C1DB" w14:textId="4B058951" w:rsidR="00A1569D" w:rsidRPr="00A1569D" w:rsidRDefault="00A1569D" w:rsidP="00A1569D">
      <w:pPr>
        <w:spacing w:line="360" w:lineRule="auto"/>
        <w:rPr>
          <w:rFonts w:asciiTheme="majorBidi" w:hAnsiTheme="majorBidi" w:cstheme="majorBidi"/>
          <w:bCs/>
          <w:iCs/>
          <w:sz w:val="24"/>
          <w:szCs w:val="24"/>
        </w:rPr>
      </w:pPr>
      <w:r w:rsidRPr="00DE6DB2">
        <w:rPr>
          <w:rFonts w:asciiTheme="majorBidi" w:hAnsiTheme="majorBidi" w:cstheme="majorBidi"/>
          <w:b/>
          <w:iCs/>
          <w:sz w:val="24"/>
          <w:szCs w:val="24"/>
        </w:rPr>
        <w:t>E- Editor:</w:t>
      </w:r>
      <w:r w:rsidRPr="00A1569D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011A3D">
        <w:rPr>
          <w:rFonts w:asciiTheme="majorBidi" w:hAnsiTheme="majorBidi" w:cstheme="majorBidi"/>
          <w:bCs/>
          <w:iCs/>
          <w:sz w:val="24"/>
          <w:szCs w:val="24"/>
        </w:rPr>
        <w:t>Osama Ahmed Khalil, Salem Youssef Mohamed.</w:t>
      </w:r>
    </w:p>
    <w:p w14:paraId="0A47ACF9" w14:textId="5DE26215" w:rsidR="00A1569D" w:rsidRPr="00A1569D" w:rsidRDefault="00A1569D" w:rsidP="00011A3D">
      <w:pPr>
        <w:spacing w:line="360" w:lineRule="auto"/>
        <w:rPr>
          <w:rFonts w:asciiTheme="majorBidi" w:hAnsiTheme="majorBidi" w:cstheme="majorBidi"/>
          <w:bCs/>
          <w:iCs/>
          <w:sz w:val="24"/>
          <w:szCs w:val="24"/>
        </w:rPr>
      </w:pPr>
      <w:r w:rsidRPr="00DE6DB2">
        <w:rPr>
          <w:rFonts w:asciiTheme="majorBidi" w:hAnsiTheme="majorBidi" w:cstheme="majorBidi"/>
          <w:b/>
          <w:iCs/>
          <w:sz w:val="24"/>
          <w:szCs w:val="24"/>
        </w:rPr>
        <w:t>Copyright ©.</w:t>
      </w:r>
      <w:r w:rsidRPr="00A1569D">
        <w:rPr>
          <w:rFonts w:asciiTheme="majorBidi" w:hAnsiTheme="majorBidi" w:cstheme="majorBidi"/>
          <w:bCs/>
          <w:iCs/>
          <w:sz w:val="24"/>
          <w:szCs w:val="24"/>
        </w:rPr>
        <w:t xml:space="preserve"> This open-access article is distributed under the </w:t>
      </w:r>
      <w:hyperlink r:id="rId8" w:history="1">
        <w:r w:rsidRPr="00011A3D">
          <w:rPr>
            <w:rStyle w:val="Hyperlink"/>
            <w:rFonts w:asciiTheme="majorBidi" w:hAnsiTheme="majorBidi" w:cstheme="majorBidi"/>
            <w:bCs/>
            <w:iCs/>
            <w:sz w:val="24"/>
            <w:szCs w:val="24"/>
          </w:rPr>
          <w:t>Creative Commons</w:t>
        </w:r>
        <w:r w:rsidR="00011A3D">
          <w:rPr>
            <w:rStyle w:val="Hyperlink"/>
            <w:rFonts w:asciiTheme="majorBidi" w:hAnsiTheme="majorBidi" w:cstheme="majorBidi"/>
            <w:bCs/>
            <w:iCs/>
            <w:sz w:val="24"/>
            <w:szCs w:val="24"/>
          </w:rPr>
          <w:t xml:space="preserve"> </w:t>
        </w:r>
        <w:r w:rsidRPr="00011A3D">
          <w:rPr>
            <w:rStyle w:val="Hyperlink"/>
            <w:rFonts w:asciiTheme="majorBidi" w:hAnsiTheme="majorBidi" w:cstheme="majorBidi"/>
            <w:bCs/>
            <w:iCs/>
            <w:sz w:val="24"/>
            <w:szCs w:val="24"/>
          </w:rPr>
          <w:t>Attribution License (CC BY)</w:t>
        </w:r>
      </w:hyperlink>
      <w:r w:rsidRPr="00A1569D">
        <w:rPr>
          <w:rFonts w:asciiTheme="majorBidi" w:hAnsiTheme="majorBidi" w:cstheme="majorBidi"/>
          <w:bCs/>
          <w:iCs/>
          <w:sz w:val="24"/>
          <w:szCs w:val="24"/>
        </w:rPr>
        <w:t>. The use, distribution, or reproduction in other forums</w:t>
      </w:r>
      <w:r w:rsidR="00011A3D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A1569D">
        <w:rPr>
          <w:rFonts w:asciiTheme="majorBidi" w:hAnsiTheme="majorBidi" w:cstheme="majorBidi"/>
          <w:bCs/>
          <w:iCs/>
          <w:sz w:val="24"/>
          <w:szCs w:val="24"/>
        </w:rPr>
        <w:t>is permitted, provided the original author(s) and the copyright owner(s) are credited.</w:t>
      </w:r>
      <w:r w:rsidR="00011A3D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A1569D">
        <w:rPr>
          <w:rFonts w:asciiTheme="majorBidi" w:hAnsiTheme="majorBidi" w:cstheme="majorBidi"/>
          <w:bCs/>
          <w:iCs/>
          <w:sz w:val="24"/>
          <w:szCs w:val="24"/>
        </w:rPr>
        <w:t>The original publication in this journal is cited by accepted academic practice. No use,</w:t>
      </w:r>
      <w:r w:rsidR="00011A3D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A1569D">
        <w:rPr>
          <w:rFonts w:asciiTheme="majorBidi" w:hAnsiTheme="majorBidi" w:cstheme="majorBidi"/>
          <w:bCs/>
          <w:iCs/>
          <w:sz w:val="24"/>
          <w:szCs w:val="24"/>
        </w:rPr>
        <w:t>distribution, or reproduction is permitted, complying with these terms.</w:t>
      </w:r>
    </w:p>
    <w:p w14:paraId="41ECD97E" w14:textId="35D2261D" w:rsidR="005615CE" w:rsidRDefault="00A1569D" w:rsidP="008322FA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E6DB2">
        <w:rPr>
          <w:rFonts w:asciiTheme="majorBidi" w:hAnsiTheme="majorBidi" w:cstheme="majorBidi"/>
          <w:b/>
          <w:iCs/>
          <w:sz w:val="24"/>
          <w:szCs w:val="24"/>
        </w:rPr>
        <w:t>Disclaimer:</w:t>
      </w:r>
      <w:r w:rsidRPr="00A1569D">
        <w:rPr>
          <w:rFonts w:asciiTheme="majorBidi" w:hAnsiTheme="majorBidi" w:cstheme="majorBidi"/>
          <w:bCs/>
          <w:iCs/>
          <w:sz w:val="24"/>
          <w:szCs w:val="24"/>
        </w:rPr>
        <w:t xml:space="preserve"> All claims expressed in this article are solely those of the authors and do</w:t>
      </w:r>
      <w:r w:rsidR="00011A3D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A1569D">
        <w:rPr>
          <w:rFonts w:asciiTheme="majorBidi" w:hAnsiTheme="majorBidi" w:cstheme="majorBidi"/>
          <w:bCs/>
          <w:iCs/>
          <w:sz w:val="24"/>
          <w:szCs w:val="24"/>
        </w:rPr>
        <w:t>not necessarily represent their affiliated organizations or those of the publisher, the</w:t>
      </w:r>
      <w:r w:rsidR="00011A3D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A1569D">
        <w:rPr>
          <w:rFonts w:asciiTheme="majorBidi" w:hAnsiTheme="majorBidi" w:cstheme="majorBidi"/>
          <w:bCs/>
          <w:iCs/>
          <w:sz w:val="24"/>
          <w:szCs w:val="24"/>
        </w:rPr>
        <w:t>editors, and the reviewers. Any product evaluated in this article or its manufacturer</w:t>
      </w:r>
      <w:r w:rsidR="00903C0B">
        <w:rPr>
          <w:rFonts w:asciiTheme="majorBidi" w:hAnsiTheme="majorBidi" w:cstheme="majorBidi"/>
          <w:bCs/>
          <w:iCs/>
          <w:sz w:val="24"/>
          <w:szCs w:val="24"/>
        </w:rPr>
        <w:t>'</w:t>
      </w:r>
      <w:r w:rsidRPr="00A1569D">
        <w:rPr>
          <w:rFonts w:asciiTheme="majorBidi" w:hAnsiTheme="majorBidi" w:cstheme="majorBidi"/>
          <w:bCs/>
          <w:iCs/>
          <w:sz w:val="24"/>
          <w:szCs w:val="24"/>
        </w:rPr>
        <w:t>s</w:t>
      </w:r>
      <w:r w:rsidR="008322FA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A1569D">
        <w:rPr>
          <w:rFonts w:asciiTheme="majorBidi" w:hAnsiTheme="majorBidi" w:cstheme="majorBidi"/>
          <w:bCs/>
          <w:iCs/>
          <w:sz w:val="24"/>
          <w:szCs w:val="24"/>
        </w:rPr>
        <w:t>claim is not guaranteed or endorsed by the publisher.</w:t>
      </w:r>
      <w:r w:rsidR="00E10065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</w:p>
    <w:p w14:paraId="32B2A93D" w14:textId="10BB4E4B" w:rsidR="00B97255" w:rsidRPr="00B97255" w:rsidRDefault="00B97255" w:rsidP="00B97255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b/>
          <w:bCs/>
          <w:sz w:val="24"/>
          <w:szCs w:val="24"/>
        </w:rPr>
        <w:t>References</w:t>
      </w:r>
    </w:p>
    <w:p w14:paraId="6EF89E13" w14:textId="660BF331" w:rsidR="00B97255" w:rsidRPr="008207E2" w:rsidRDefault="00B97255" w:rsidP="00F00233">
      <w:pPr>
        <w:jc w:val="both"/>
        <w:rPr>
          <w:rFonts w:asciiTheme="majorBidi" w:hAnsiTheme="majorBidi" w:cstheme="majorBidi"/>
          <w:sz w:val="24"/>
          <w:szCs w:val="24"/>
        </w:rPr>
      </w:pPr>
      <w:bookmarkStart w:id="61" w:name="_Hlk114995123"/>
      <w:r w:rsidRPr="008207E2">
        <w:rPr>
          <w:rFonts w:asciiTheme="majorBidi" w:hAnsiTheme="majorBidi" w:cstheme="majorBidi"/>
          <w:sz w:val="24"/>
          <w:szCs w:val="24"/>
        </w:rPr>
        <w:t xml:space="preserve">1. </w:t>
      </w:r>
      <w:r w:rsidR="00F00233" w:rsidRPr="008207E2">
        <w:rPr>
          <w:rFonts w:asciiTheme="majorBidi" w:hAnsiTheme="majorBidi" w:cstheme="majorBidi"/>
          <w:sz w:val="24"/>
          <w:szCs w:val="24"/>
        </w:rPr>
        <w:t>Ministry of Health and Population [Egypt], El-</w:t>
      </w:r>
      <w:proofErr w:type="spellStart"/>
      <w:r w:rsidR="00F00233" w:rsidRPr="008207E2">
        <w:rPr>
          <w:rFonts w:asciiTheme="majorBidi" w:hAnsiTheme="majorBidi" w:cstheme="majorBidi"/>
          <w:sz w:val="24"/>
          <w:szCs w:val="24"/>
        </w:rPr>
        <w:t>Zanaty</w:t>
      </w:r>
      <w:proofErr w:type="spellEnd"/>
      <w:r w:rsidR="00F00233" w:rsidRPr="008207E2">
        <w:rPr>
          <w:rFonts w:asciiTheme="majorBidi" w:hAnsiTheme="majorBidi" w:cstheme="majorBidi"/>
          <w:sz w:val="24"/>
          <w:szCs w:val="24"/>
        </w:rPr>
        <w:t xml:space="preserve"> and Associates [Egypt], ICF International Egypt Health Issues Survey 2015. Cairo, Rockville, MD: Ministry of Health and Population, ICF International; 2015.</w:t>
      </w:r>
    </w:p>
    <w:p w14:paraId="597B4536" w14:textId="42E31B7B" w:rsidR="00B97255" w:rsidRPr="00B97255" w:rsidRDefault="00B97255" w:rsidP="00B97255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sz w:val="24"/>
          <w:szCs w:val="24"/>
        </w:rPr>
        <w:t>2.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 xml:space="preserve">Nguyen MH,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Keeffe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EB. Prevalence and treatment of hepatitis C virus </w:t>
      </w:r>
      <w:r w:rsidR="00A530C5">
        <w:rPr>
          <w:rFonts w:asciiTheme="majorBidi" w:hAnsiTheme="majorBidi" w:cstheme="majorBidi"/>
          <w:sz w:val="24"/>
          <w:szCs w:val="24"/>
        </w:rPr>
        <w:t>genotype</w:t>
      </w:r>
      <w:r w:rsidRPr="00B97255">
        <w:rPr>
          <w:rFonts w:asciiTheme="majorBidi" w:hAnsiTheme="majorBidi" w:cstheme="majorBidi"/>
          <w:sz w:val="24"/>
          <w:szCs w:val="24"/>
        </w:rPr>
        <w:t xml:space="preserve"> 4, 5, and 6. Clin Gastroenterol Hepatol. 2005;</w:t>
      </w:r>
      <w:r w:rsidR="006A4068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3(10 Suppl 2):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S97-S101. doi:10.1016/s1542-3565(05)00711-1</w:t>
      </w:r>
    </w:p>
    <w:p w14:paraId="1A5EB7AA" w14:textId="708F78B0" w:rsidR="00B97255" w:rsidRPr="00B97255" w:rsidRDefault="00B97255" w:rsidP="00B97255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sz w:val="24"/>
          <w:szCs w:val="24"/>
        </w:rPr>
        <w:t>3.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 xml:space="preserve">European Association </w:t>
      </w:r>
      <w:r w:rsidR="00734650" w:rsidRPr="00B97255">
        <w:rPr>
          <w:rFonts w:asciiTheme="majorBidi" w:hAnsiTheme="majorBidi" w:cstheme="majorBidi"/>
          <w:sz w:val="24"/>
          <w:szCs w:val="24"/>
        </w:rPr>
        <w:t>for</w:t>
      </w:r>
      <w:r w:rsidRPr="00B97255">
        <w:rPr>
          <w:rFonts w:asciiTheme="majorBidi" w:hAnsiTheme="majorBidi" w:cstheme="majorBidi"/>
          <w:sz w:val="24"/>
          <w:szCs w:val="24"/>
        </w:rPr>
        <w:t xml:space="preserve"> The Study </w:t>
      </w:r>
      <w:r w:rsidR="00734650" w:rsidRPr="00B97255">
        <w:rPr>
          <w:rFonts w:asciiTheme="majorBidi" w:hAnsiTheme="majorBidi" w:cstheme="majorBidi"/>
          <w:sz w:val="24"/>
          <w:szCs w:val="24"/>
        </w:rPr>
        <w:t>of</w:t>
      </w:r>
      <w:r w:rsidRPr="00B97255">
        <w:rPr>
          <w:rFonts w:asciiTheme="majorBidi" w:hAnsiTheme="majorBidi" w:cstheme="majorBidi"/>
          <w:sz w:val="24"/>
          <w:szCs w:val="24"/>
        </w:rPr>
        <w:t xml:space="preserve"> The Liver; European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Organisation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</w:t>
      </w:r>
      <w:r w:rsidR="00734650" w:rsidRPr="00B97255">
        <w:rPr>
          <w:rFonts w:asciiTheme="majorBidi" w:hAnsiTheme="majorBidi" w:cstheme="majorBidi"/>
          <w:sz w:val="24"/>
          <w:szCs w:val="24"/>
        </w:rPr>
        <w:t>for</w:t>
      </w:r>
      <w:r w:rsidRPr="00B97255">
        <w:rPr>
          <w:rFonts w:asciiTheme="majorBidi" w:hAnsiTheme="majorBidi" w:cstheme="majorBidi"/>
          <w:sz w:val="24"/>
          <w:szCs w:val="24"/>
        </w:rPr>
        <w:t xml:space="preserve"> Research </w:t>
      </w:r>
      <w:r w:rsidR="00734650" w:rsidRPr="00B97255">
        <w:rPr>
          <w:rFonts w:asciiTheme="majorBidi" w:hAnsiTheme="majorBidi" w:cstheme="majorBidi"/>
          <w:sz w:val="24"/>
          <w:szCs w:val="24"/>
        </w:rPr>
        <w:t>and</w:t>
      </w:r>
      <w:r w:rsidRPr="00B97255">
        <w:rPr>
          <w:rFonts w:asciiTheme="majorBidi" w:hAnsiTheme="majorBidi" w:cstheme="majorBidi"/>
          <w:sz w:val="24"/>
          <w:szCs w:val="24"/>
        </w:rPr>
        <w:t xml:space="preserve"> Treatment </w:t>
      </w:r>
      <w:r w:rsidR="00734650" w:rsidRPr="00B97255">
        <w:rPr>
          <w:rFonts w:asciiTheme="majorBidi" w:hAnsiTheme="majorBidi" w:cstheme="majorBidi"/>
          <w:sz w:val="24"/>
          <w:szCs w:val="24"/>
        </w:rPr>
        <w:t>of</w:t>
      </w:r>
      <w:r w:rsidRPr="00B97255">
        <w:rPr>
          <w:rFonts w:asciiTheme="majorBidi" w:hAnsiTheme="majorBidi" w:cstheme="majorBidi"/>
          <w:sz w:val="24"/>
          <w:szCs w:val="24"/>
        </w:rPr>
        <w:t xml:space="preserve"> Cancer. EASLEORTC clinical practice guidelines: management of hepatocellular carcinoma [published correction appears in J Hepatol. 2012 Jun;</w:t>
      </w:r>
      <w:r w:rsidR="006A4068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56</w:t>
      </w:r>
      <w:r w:rsidR="006A4068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(6):1430]. J Hepatol. 2012;</w:t>
      </w:r>
      <w:r w:rsidR="006A4068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 xml:space="preserve">56(4):908-943.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>:</w:t>
      </w:r>
      <w:r w:rsidR="006A4068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10.1016/j.jhep.2011.12.001</w:t>
      </w:r>
    </w:p>
    <w:p w14:paraId="3EB8A3BD" w14:textId="12E81C6D" w:rsidR="00B97255" w:rsidRPr="00B97255" w:rsidRDefault="00B97255" w:rsidP="00B97255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sz w:val="24"/>
          <w:szCs w:val="24"/>
        </w:rPr>
        <w:t>4.</w:t>
      </w:r>
      <w:r w:rsidR="006A40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Karimkhanloo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H, Mohammadi-Yeganeh S,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Ahsani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Z,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Paryan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M. Bioinformatics prediction and experimental validation of m</w:t>
      </w:r>
      <w:r w:rsidR="006A4068">
        <w:rPr>
          <w:rFonts w:asciiTheme="majorBidi" w:hAnsiTheme="majorBidi" w:cstheme="majorBidi"/>
          <w:sz w:val="24"/>
          <w:szCs w:val="24"/>
        </w:rPr>
        <w:t>i</w:t>
      </w:r>
      <w:r w:rsidRPr="00B97255">
        <w:rPr>
          <w:rFonts w:asciiTheme="majorBidi" w:hAnsiTheme="majorBidi" w:cstheme="majorBidi"/>
          <w:sz w:val="24"/>
          <w:szCs w:val="24"/>
        </w:rPr>
        <w:t xml:space="preserve">croRNA-20a targeting Cyclin D1 in hepatocellular carcinoma.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Tumour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Biol. 2017;39(4):1010428317698361. doi:10.1177/1010428317698361</w:t>
      </w:r>
    </w:p>
    <w:p w14:paraId="663AE0F8" w14:textId="4D8C846F" w:rsidR="006A4068" w:rsidRDefault="00B97255" w:rsidP="006A4068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sz w:val="24"/>
          <w:szCs w:val="24"/>
        </w:rPr>
        <w:t>5.</w:t>
      </w:r>
      <w:r w:rsidR="006A4068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Al-Qahtani AA, Al-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Anazi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M, Abdo AA, et al. Genetic variation at -1878 (rs2596542) in MICA gene region is associated with</w:t>
      </w:r>
      <w:r w:rsidRPr="00B97255">
        <w:rPr>
          <w:rFonts w:asciiTheme="majorBidi" w:hAnsiTheme="majorBidi" w:cstheme="majorBidi"/>
          <w:sz w:val="24"/>
          <w:szCs w:val="24"/>
        </w:rPr>
        <w:tab/>
      </w:r>
      <w:r w:rsidR="006A4068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 xml:space="preserve">chronic hepatitis B virus infection in Saudi Arabian patients. Exp Mol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Pathol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. 2013;95(3):255-258.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>:</w:t>
      </w:r>
      <w:r w:rsidR="006A4068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10.1016/j.yexmp.2013.08.005</w:t>
      </w:r>
      <w:r w:rsidR="003033C2">
        <w:rPr>
          <w:rFonts w:asciiTheme="majorBidi" w:hAnsiTheme="majorBidi" w:cstheme="majorBidi"/>
          <w:sz w:val="24"/>
          <w:szCs w:val="24"/>
        </w:rPr>
        <w:t>.</w:t>
      </w:r>
    </w:p>
    <w:p w14:paraId="3935564A" w14:textId="2285F8BF" w:rsidR="00B97255" w:rsidRPr="00B97255" w:rsidRDefault="00B97255" w:rsidP="006A4068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sz w:val="24"/>
          <w:szCs w:val="24"/>
        </w:rPr>
        <w:t>6.</w:t>
      </w:r>
      <w:r w:rsidR="006A4068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Yang YM, Kim SY, Seki E. Inflammation and Liver Cancer: Molecular Mechanisms and Therapeutic Targets. Semin Liver Dis.</w:t>
      </w:r>
      <w:r w:rsidR="006A4068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2019;39(1):26-42. doi:10.1055/s-0038-1676806</w:t>
      </w:r>
    </w:p>
    <w:p w14:paraId="75A86313" w14:textId="6180C93D" w:rsidR="00B97255" w:rsidRPr="00B97255" w:rsidRDefault="00B97255" w:rsidP="006A4068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sz w:val="24"/>
          <w:szCs w:val="24"/>
        </w:rPr>
        <w:t>7.</w:t>
      </w:r>
      <w:r w:rsidR="006A4068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Ma X, McKeen T, Zhang J, Ding WX. Role and Mechanisms of Mitophagy in Liver Diseases. Cells. 2020;9(4):837. Published 2020</w:t>
      </w:r>
      <w:r w:rsidR="006A4068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Mar 31. doi:10.3390/cells9040837</w:t>
      </w:r>
    </w:p>
    <w:p w14:paraId="584459C4" w14:textId="6C0FC028" w:rsidR="00B97255" w:rsidRPr="00B97255" w:rsidRDefault="00B97255" w:rsidP="006A4068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sz w:val="24"/>
          <w:szCs w:val="24"/>
        </w:rPr>
        <w:t>8.</w:t>
      </w:r>
      <w:r w:rsidR="006A40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Eken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A, Singh AK,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Treuting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PM,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Oukka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M. IL-23R+ innate lymphoid cells induce colitis via interleukin-22-dependent mechanism. Mucosal Immunol. 2014;7(1):143-154. doi:10.1038/mi.2013.33</w:t>
      </w:r>
    </w:p>
    <w:p w14:paraId="6956A0DD" w14:textId="0BA25192" w:rsidR="00B97255" w:rsidRPr="00B97255" w:rsidRDefault="00B97255" w:rsidP="006A4068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sz w:val="24"/>
          <w:szCs w:val="24"/>
        </w:rPr>
        <w:t>9.</w:t>
      </w:r>
      <w:r w:rsidR="006A4068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 xml:space="preserve">Dubinsky MC, Wang D,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Picornell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Y, et al. IL-23 receptor (IL-23R) gene protects against pediatric Crohn's disease.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Inflamm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Bowel</w:t>
      </w:r>
      <w:r w:rsidR="006A4068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Dis. 2007;13(5):511-515. doi:10.1002/ibd.20126</w:t>
      </w:r>
      <w:r w:rsidRPr="00B97255">
        <w:rPr>
          <w:rFonts w:asciiTheme="majorBidi" w:hAnsiTheme="majorBidi" w:cstheme="majorBidi"/>
          <w:sz w:val="24"/>
          <w:szCs w:val="24"/>
        </w:rPr>
        <w:tab/>
      </w:r>
    </w:p>
    <w:p w14:paraId="58C09DE3" w14:textId="76A8ED48" w:rsidR="00B97255" w:rsidRPr="00B97255" w:rsidRDefault="00B97255" w:rsidP="0092134D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sz w:val="24"/>
          <w:szCs w:val="24"/>
        </w:rPr>
        <w:t>10.</w:t>
      </w:r>
      <w:r w:rsidR="006A4068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Xu Y, Liu Y, Pan S, et al. IL-23R polymorphisms, HBV infection, and risk of hepatocellular carcinoma in a high-risk Chinese</w:t>
      </w:r>
      <w:r w:rsidR="0092134D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population. J Gastroenterol. 2013;48(1):125-131. doi:10.1007/s00535-012-0620-1</w:t>
      </w:r>
    </w:p>
    <w:p w14:paraId="6614D297" w14:textId="4B15E123" w:rsidR="0092134D" w:rsidRDefault="00B97255" w:rsidP="008F0C17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sz w:val="24"/>
          <w:szCs w:val="24"/>
        </w:rPr>
        <w:t>11.</w:t>
      </w:r>
      <w:r w:rsidR="0092134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Weersma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RK,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Zhernakova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A, Nolte IM, et al. ATG16L1 and IL23R are associated with inflammatory bowel diseases but not celiac disease in the Netherlands. Am J Gastroenterol. 2008;103(3):621-627. doi:10.1111/j.1572-0241.</w:t>
      </w:r>
      <w:r w:rsidR="00260986" w:rsidRPr="00B97255">
        <w:rPr>
          <w:rFonts w:asciiTheme="majorBidi" w:hAnsiTheme="majorBidi" w:cstheme="majorBidi"/>
          <w:sz w:val="24"/>
          <w:szCs w:val="24"/>
        </w:rPr>
        <w:t>2007. 01660.x</w:t>
      </w:r>
      <w:r w:rsidRPr="00B97255">
        <w:rPr>
          <w:rFonts w:asciiTheme="majorBidi" w:hAnsiTheme="majorBidi" w:cstheme="majorBidi"/>
          <w:sz w:val="24"/>
          <w:szCs w:val="24"/>
        </w:rPr>
        <w:tab/>
      </w:r>
    </w:p>
    <w:p w14:paraId="6E6CE513" w14:textId="60941284" w:rsidR="00B97255" w:rsidRPr="00B97255" w:rsidRDefault="00B97255" w:rsidP="0092134D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sz w:val="24"/>
          <w:szCs w:val="24"/>
        </w:rPr>
        <w:t>1</w:t>
      </w:r>
      <w:r w:rsidR="008F0C17">
        <w:rPr>
          <w:rFonts w:asciiTheme="majorBidi" w:hAnsiTheme="majorBidi" w:cstheme="majorBidi"/>
          <w:sz w:val="24"/>
          <w:szCs w:val="24"/>
        </w:rPr>
        <w:t>2</w:t>
      </w:r>
      <w:r w:rsidRPr="00B97255">
        <w:rPr>
          <w:rFonts w:asciiTheme="majorBidi" w:hAnsiTheme="majorBidi" w:cstheme="majorBidi"/>
          <w:sz w:val="24"/>
          <w:szCs w:val="24"/>
        </w:rPr>
        <w:t>.</w:t>
      </w:r>
      <w:r w:rsidR="0092134D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Song GG, Bae SC, Choi SJ, Ji JD, Lee YH. Associations between interleukin-23 receptor polymorphisms and susceptibility to rheumatoid arthritis: a meta-analysis. Mol Biol Rep. 2012;39(12):10655-10663. doi:10.1007/s11033-012-1955-7</w:t>
      </w:r>
    </w:p>
    <w:p w14:paraId="3B6618E7" w14:textId="76B4712E" w:rsidR="00B97255" w:rsidRDefault="00B97255" w:rsidP="0092134D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sz w:val="24"/>
          <w:szCs w:val="24"/>
        </w:rPr>
        <w:t>1</w:t>
      </w:r>
      <w:r w:rsidR="008F0C17">
        <w:rPr>
          <w:rFonts w:asciiTheme="majorBidi" w:hAnsiTheme="majorBidi" w:cstheme="majorBidi"/>
          <w:sz w:val="24"/>
          <w:szCs w:val="24"/>
        </w:rPr>
        <w:t>3</w:t>
      </w:r>
      <w:r w:rsidRPr="00B97255">
        <w:rPr>
          <w:rFonts w:asciiTheme="majorBidi" w:hAnsiTheme="majorBidi" w:cstheme="majorBidi"/>
          <w:sz w:val="24"/>
          <w:szCs w:val="24"/>
        </w:rPr>
        <w:t>.</w:t>
      </w:r>
      <w:r w:rsidR="0092134D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 xml:space="preserve">Chen B, Zeng Z, Xu L, et al. IL23R +2199A/C polymorphism is associated with decreased risk of certain subtypes of gastric cancer in Chinese: a case-control study. Cancer Epidemiol. 2011;35(2):165-169.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>:</w:t>
      </w:r>
      <w:r w:rsidR="0092134D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10.1016/j.canep.2010.08.006</w:t>
      </w:r>
    </w:p>
    <w:p w14:paraId="48AE50F6" w14:textId="4775F8B2" w:rsidR="008F0C17" w:rsidRPr="008F0C17" w:rsidRDefault="008F0C17" w:rsidP="008F0C17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14. </w:t>
      </w:r>
      <w:r w:rsidRPr="008F0C17">
        <w:rPr>
          <w:rFonts w:asciiTheme="majorBidi" w:hAnsiTheme="majorBidi" w:cstheme="majorBidi"/>
          <w:sz w:val="24"/>
          <w:szCs w:val="24"/>
        </w:rPr>
        <w:t xml:space="preserve">Chien MH, </w:t>
      </w:r>
      <w:proofErr w:type="spellStart"/>
      <w:r w:rsidRPr="008F0C17">
        <w:rPr>
          <w:rFonts w:asciiTheme="majorBidi" w:hAnsiTheme="majorBidi" w:cstheme="majorBidi"/>
          <w:sz w:val="24"/>
          <w:szCs w:val="24"/>
        </w:rPr>
        <w:t>Hsin</w:t>
      </w:r>
      <w:proofErr w:type="spellEnd"/>
      <w:r w:rsidRPr="008F0C17">
        <w:rPr>
          <w:rFonts w:asciiTheme="majorBidi" w:hAnsiTheme="majorBidi" w:cstheme="majorBidi"/>
          <w:sz w:val="24"/>
          <w:szCs w:val="24"/>
        </w:rPr>
        <w:t xml:space="preserve"> CH, Chou LS, et al. Interleukin-23 receptor polymorphism as a risk factor for oral cancer susceptibility. Head Neck. 2012;34(4):551-556. doi:10.1002/hed.21779   </w:t>
      </w:r>
    </w:p>
    <w:bookmarkEnd w:id="61"/>
    <w:p w14:paraId="1AA1D79F" w14:textId="14B95942" w:rsidR="00B97255" w:rsidRPr="00B97255" w:rsidRDefault="00B97255" w:rsidP="0092134D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sz w:val="24"/>
          <w:szCs w:val="24"/>
        </w:rPr>
        <w:t>15.</w:t>
      </w:r>
      <w:r w:rsidR="0092134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Tarao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K,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Rino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Y,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Ohkawa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S, et al. Association between high serum alanine aminotransferase levels and more rapid development</w:t>
      </w:r>
      <w:r w:rsidR="0092134D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 xml:space="preserve">and higher rate of incidence of hepatocellular carcinoma in patients with hepatitis C virus-associated cirrhosis. Cancer. 1999;86(4):589-595. </w:t>
      </w:r>
    </w:p>
    <w:p w14:paraId="4DD9C1B5" w14:textId="3ADAE85D" w:rsidR="00B97255" w:rsidRPr="00B97255" w:rsidRDefault="00B97255" w:rsidP="00B97255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sz w:val="24"/>
          <w:szCs w:val="24"/>
        </w:rPr>
        <w:t>16.</w:t>
      </w:r>
      <w:r w:rsidR="0092134D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 xml:space="preserve">Yoshida H,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Shiratori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Y, Moriyama M, et al. Interferon therapy reduces the risk for hepatocellular carcinoma: national surveillance program of cirrhotic and noncirrhotic patients with chronic hepatitis C in Japan. IHIT Study Group. Inhibition of Hepatocarcinogenesis by Interferon Therapy. Ann Intern Med. 1999;131(3):174-181. doi:10.7326/0003-4819-131-3-199908030-00003</w:t>
      </w:r>
      <w:r w:rsidRPr="00B97255">
        <w:rPr>
          <w:rFonts w:asciiTheme="majorBidi" w:hAnsiTheme="majorBidi" w:cstheme="majorBidi"/>
          <w:sz w:val="24"/>
          <w:szCs w:val="24"/>
        </w:rPr>
        <w:tab/>
      </w:r>
    </w:p>
    <w:p w14:paraId="4A84B1D9" w14:textId="01BD61D0" w:rsidR="00B97255" w:rsidRPr="00B97255" w:rsidRDefault="00B97255" w:rsidP="0092134D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sz w:val="24"/>
          <w:szCs w:val="24"/>
        </w:rPr>
        <w:t>17.</w:t>
      </w:r>
      <w:r w:rsidR="0092134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Parmiani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   </w:t>
      </w:r>
      <w:r w:rsidR="003033C2" w:rsidRPr="00B97255">
        <w:rPr>
          <w:rFonts w:asciiTheme="majorBidi" w:hAnsiTheme="majorBidi" w:cstheme="majorBidi"/>
          <w:sz w:val="24"/>
          <w:szCs w:val="24"/>
        </w:rPr>
        <w:t>G,</w:t>
      </w:r>
      <w:r w:rsidR="003033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033C2" w:rsidRPr="00B97255">
        <w:rPr>
          <w:rFonts w:asciiTheme="majorBidi" w:hAnsiTheme="majorBidi" w:cstheme="majorBidi"/>
          <w:sz w:val="24"/>
          <w:szCs w:val="24"/>
        </w:rPr>
        <w:t>Anichini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   A.    T    cell</w:t>
      </w:r>
      <w:r w:rsidR="00596589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infiltration</w:t>
      </w:r>
      <w:r w:rsidR="00596589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and</w:t>
      </w:r>
      <w:r w:rsidR="00596589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prognosis</w:t>
      </w:r>
      <w:r w:rsidR="00596589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in    HCC    patients. J    Hepatol.    2006;45(2):178-181.</w:t>
      </w:r>
      <w:r w:rsidR="0092134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>:</w:t>
      </w:r>
      <w:r w:rsidR="0092134D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10.1016/j.jhep.2006.06.005</w:t>
      </w:r>
    </w:p>
    <w:p w14:paraId="44BC6166" w14:textId="0DFE3BAC" w:rsidR="0092134D" w:rsidRDefault="00B97255" w:rsidP="0092134D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sz w:val="24"/>
          <w:szCs w:val="24"/>
        </w:rPr>
        <w:t>18.</w:t>
      </w:r>
      <w:r w:rsidR="0092134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Langowski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JL, Zhang X, Wu L, et al. IL-23 promotes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tumour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incidence and growth. Nature. 2006;442(7101):461-465.</w:t>
      </w:r>
      <w:r w:rsidR="0092134D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doi:10.1038/nature04808</w:t>
      </w:r>
      <w:r w:rsidRPr="00B97255">
        <w:rPr>
          <w:rFonts w:asciiTheme="majorBidi" w:hAnsiTheme="majorBidi" w:cstheme="majorBidi"/>
          <w:sz w:val="24"/>
          <w:szCs w:val="24"/>
        </w:rPr>
        <w:tab/>
      </w:r>
    </w:p>
    <w:p w14:paraId="6DA1B112" w14:textId="20B6C2F0" w:rsidR="00B97255" w:rsidRPr="002A7A86" w:rsidRDefault="00B97255" w:rsidP="0092134D">
      <w:pPr>
        <w:jc w:val="both"/>
        <w:rPr>
          <w:rFonts w:asciiTheme="majorBidi" w:hAnsiTheme="majorBidi" w:cstheme="majorBidi"/>
          <w:sz w:val="24"/>
          <w:szCs w:val="24"/>
        </w:rPr>
      </w:pPr>
      <w:r w:rsidRPr="002A7A86">
        <w:rPr>
          <w:rFonts w:asciiTheme="majorBidi" w:hAnsiTheme="majorBidi" w:cstheme="majorBidi"/>
          <w:sz w:val="24"/>
          <w:szCs w:val="24"/>
        </w:rPr>
        <w:t>19.</w:t>
      </w:r>
      <w:r w:rsidR="0092134D" w:rsidRPr="002A7A86">
        <w:rPr>
          <w:rFonts w:asciiTheme="majorBidi" w:hAnsiTheme="majorBidi" w:cstheme="majorBidi"/>
          <w:sz w:val="24"/>
          <w:szCs w:val="24"/>
        </w:rPr>
        <w:t xml:space="preserve"> </w:t>
      </w:r>
      <w:r w:rsidRPr="002A7A86">
        <w:rPr>
          <w:rFonts w:asciiTheme="majorBidi" w:hAnsiTheme="majorBidi" w:cstheme="majorBidi"/>
          <w:sz w:val="24"/>
          <w:szCs w:val="24"/>
        </w:rPr>
        <w:t>Volpe E, Servant N, Zollinger R, et al. A critical function for transforming growth factor-beta, interleukin 23 and proinflammatory cytokines in driving and modulating human T(H)-17 responses. Nat Immunol. 2008;9(6):650-657. doi:10.1038/ni.1613</w:t>
      </w:r>
    </w:p>
    <w:p w14:paraId="79B13C35" w14:textId="195C5EE0" w:rsidR="00B97255" w:rsidRPr="00B97255" w:rsidRDefault="00B97255" w:rsidP="0092134D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sz w:val="24"/>
          <w:szCs w:val="24"/>
        </w:rPr>
        <w:t>20.</w:t>
      </w:r>
      <w:r w:rsidR="0092134D">
        <w:rPr>
          <w:rFonts w:asciiTheme="majorBidi" w:hAnsiTheme="majorBidi" w:cstheme="majorBidi"/>
          <w:sz w:val="24"/>
          <w:szCs w:val="24"/>
        </w:rPr>
        <w:t xml:space="preserve"> </w:t>
      </w:r>
      <w:bookmarkStart w:id="62" w:name="_Hlk115643437"/>
      <w:r w:rsidRPr="00B97255">
        <w:rPr>
          <w:rFonts w:asciiTheme="majorBidi" w:hAnsiTheme="majorBidi" w:cstheme="majorBidi"/>
          <w:sz w:val="24"/>
          <w:szCs w:val="24"/>
        </w:rPr>
        <w:t>Amer</w:t>
      </w:r>
      <w:bookmarkEnd w:id="62"/>
      <w:r w:rsidRPr="00B97255">
        <w:rPr>
          <w:rFonts w:asciiTheme="majorBidi" w:hAnsiTheme="majorBidi" w:cstheme="majorBidi"/>
          <w:sz w:val="24"/>
          <w:szCs w:val="24"/>
        </w:rPr>
        <w:t xml:space="preserve"> T, El-Baz R, Mokhtar AR, El-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Shaer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S,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Elshazli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R,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Settin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A. Genetic polymorphisms of IL-23R (rs7517847) and LEP</w:t>
      </w:r>
      <w:r w:rsidR="0092134D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(rs7799039)    among   Egyptian</w:t>
      </w:r>
      <w:r w:rsidR="00734650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patients</w:t>
      </w:r>
      <w:r w:rsidR="00734650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with</w:t>
      </w:r>
      <w:r w:rsidR="00734650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hepatocellular</w:t>
      </w:r>
      <w:r w:rsidR="00734650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 xml:space="preserve">carcinoma. Arch   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Physiol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  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Biochem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>.    2017;123(5):279-285.</w:t>
      </w:r>
      <w:r w:rsidR="0092134D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doi:10.1080/13813455.2017.1320680</w:t>
      </w:r>
    </w:p>
    <w:p w14:paraId="3308D076" w14:textId="34A8192F" w:rsidR="00B97255" w:rsidRDefault="00B97255" w:rsidP="00585B8B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sz w:val="24"/>
          <w:szCs w:val="24"/>
        </w:rPr>
        <w:t>21.</w:t>
      </w:r>
      <w:r w:rsidR="0092134D">
        <w:rPr>
          <w:rFonts w:asciiTheme="majorBidi" w:hAnsiTheme="majorBidi" w:cstheme="majorBidi"/>
          <w:sz w:val="24"/>
          <w:szCs w:val="24"/>
        </w:rPr>
        <w:t xml:space="preserve"> </w:t>
      </w:r>
      <w:r w:rsidR="00585B8B" w:rsidRPr="00585B8B">
        <w:rPr>
          <w:rFonts w:asciiTheme="majorBidi" w:hAnsiTheme="majorBidi" w:cstheme="majorBidi"/>
          <w:sz w:val="24"/>
          <w:szCs w:val="24"/>
        </w:rPr>
        <w:t>Pan X, Wang G. Correlations of IL-23R gene polymorphism with clinicopathological characteristics and prognosis of hepatocellular carcinoma patients after interventional therapy. </w:t>
      </w:r>
      <w:r w:rsidR="00585B8B" w:rsidRPr="00585B8B">
        <w:rPr>
          <w:rFonts w:asciiTheme="majorBidi" w:hAnsiTheme="majorBidi" w:cstheme="majorBidi"/>
          <w:i/>
          <w:iCs/>
          <w:sz w:val="24"/>
          <w:szCs w:val="24"/>
        </w:rPr>
        <w:t>Genomics</w:t>
      </w:r>
      <w:r w:rsidR="00585B8B" w:rsidRPr="00585B8B">
        <w:rPr>
          <w:rFonts w:asciiTheme="majorBidi" w:hAnsiTheme="majorBidi" w:cstheme="majorBidi"/>
          <w:sz w:val="24"/>
          <w:szCs w:val="24"/>
        </w:rPr>
        <w:t xml:space="preserve">. 2019;111(4):930-935. </w:t>
      </w:r>
      <w:proofErr w:type="spellStart"/>
      <w:r w:rsidR="003033C2" w:rsidRPr="00585B8B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="003033C2" w:rsidRPr="00585B8B">
        <w:rPr>
          <w:rFonts w:asciiTheme="majorBidi" w:hAnsiTheme="majorBidi" w:cstheme="majorBidi"/>
          <w:sz w:val="24"/>
          <w:szCs w:val="24"/>
        </w:rPr>
        <w:t>: 10.1016/j.ygeno</w:t>
      </w:r>
      <w:r w:rsidR="00585B8B" w:rsidRPr="00585B8B">
        <w:rPr>
          <w:rFonts w:asciiTheme="majorBidi" w:hAnsiTheme="majorBidi" w:cstheme="majorBidi"/>
          <w:sz w:val="24"/>
          <w:szCs w:val="24"/>
        </w:rPr>
        <w:t>.2018.05.023</w:t>
      </w:r>
    </w:p>
    <w:p w14:paraId="2120304E" w14:textId="31A2AA12" w:rsidR="00C96829" w:rsidRPr="00B97255" w:rsidRDefault="00C96829" w:rsidP="00C9682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22. </w:t>
      </w:r>
      <w:r w:rsidRPr="00C96829">
        <w:rPr>
          <w:rFonts w:asciiTheme="majorBidi" w:hAnsiTheme="majorBidi" w:cstheme="majorBidi"/>
          <w:sz w:val="24"/>
          <w:szCs w:val="24"/>
        </w:rPr>
        <w:t>Han R, Xia Q, Xu S, Fan D, Pan F. Interleukin-23 receptor polymorphism (rs10889677 A/C) in ankylosing spondylitis: Meta-analysis in Caucasian and Asian populations. </w:t>
      </w:r>
      <w:r w:rsidRPr="00C96829">
        <w:rPr>
          <w:rFonts w:asciiTheme="majorBidi" w:hAnsiTheme="majorBidi" w:cstheme="majorBidi"/>
          <w:i/>
          <w:iCs/>
          <w:sz w:val="24"/>
          <w:szCs w:val="24"/>
        </w:rPr>
        <w:t xml:space="preserve">Clin </w:t>
      </w:r>
      <w:proofErr w:type="spellStart"/>
      <w:r w:rsidRPr="00C96829">
        <w:rPr>
          <w:rFonts w:asciiTheme="majorBidi" w:hAnsiTheme="majorBidi" w:cstheme="majorBidi"/>
          <w:i/>
          <w:iCs/>
          <w:sz w:val="24"/>
          <w:szCs w:val="24"/>
        </w:rPr>
        <w:t>Chim</w:t>
      </w:r>
      <w:proofErr w:type="spellEnd"/>
      <w:r w:rsidRPr="00C96829">
        <w:rPr>
          <w:rFonts w:asciiTheme="majorBidi" w:hAnsiTheme="majorBidi" w:cstheme="majorBidi"/>
          <w:i/>
          <w:iCs/>
          <w:sz w:val="24"/>
          <w:szCs w:val="24"/>
        </w:rPr>
        <w:t xml:space="preserve"> Acta</w:t>
      </w:r>
      <w:r w:rsidRPr="00C96829">
        <w:rPr>
          <w:rFonts w:asciiTheme="majorBidi" w:hAnsiTheme="majorBidi" w:cstheme="majorBidi"/>
          <w:sz w:val="24"/>
          <w:szCs w:val="24"/>
        </w:rPr>
        <w:t xml:space="preserve">. </w:t>
      </w:r>
      <w:r w:rsidR="003033C2" w:rsidRPr="00C96829">
        <w:rPr>
          <w:rFonts w:asciiTheme="majorBidi" w:hAnsiTheme="majorBidi" w:cstheme="majorBidi"/>
          <w:sz w:val="24"/>
          <w:szCs w:val="24"/>
        </w:rPr>
        <w:t>2018; 477:53</w:t>
      </w:r>
      <w:r w:rsidRPr="00C96829">
        <w:rPr>
          <w:rFonts w:asciiTheme="majorBidi" w:hAnsiTheme="majorBidi" w:cstheme="majorBidi"/>
          <w:sz w:val="24"/>
          <w:szCs w:val="24"/>
        </w:rPr>
        <w:t xml:space="preserve">-59. </w:t>
      </w:r>
      <w:proofErr w:type="spellStart"/>
      <w:r w:rsidR="003033C2" w:rsidRPr="00C96829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="003033C2" w:rsidRPr="00C96829">
        <w:rPr>
          <w:rFonts w:asciiTheme="majorBidi" w:hAnsiTheme="majorBidi" w:cstheme="majorBidi"/>
          <w:sz w:val="24"/>
          <w:szCs w:val="24"/>
        </w:rPr>
        <w:t>: 10.1016/j.cca</w:t>
      </w:r>
      <w:r w:rsidRPr="00C96829">
        <w:rPr>
          <w:rFonts w:asciiTheme="majorBidi" w:hAnsiTheme="majorBidi" w:cstheme="majorBidi"/>
          <w:sz w:val="24"/>
          <w:szCs w:val="24"/>
        </w:rPr>
        <w:t>.2017.11.038</w:t>
      </w:r>
    </w:p>
    <w:p w14:paraId="4001D3E7" w14:textId="70165731" w:rsidR="00B97255" w:rsidRPr="00B97255" w:rsidRDefault="00B97255" w:rsidP="00BD7033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sz w:val="24"/>
          <w:szCs w:val="24"/>
        </w:rPr>
        <w:t>2</w:t>
      </w:r>
      <w:r w:rsidR="00C96829">
        <w:rPr>
          <w:rFonts w:asciiTheme="majorBidi" w:hAnsiTheme="majorBidi" w:cstheme="majorBidi"/>
          <w:sz w:val="24"/>
          <w:szCs w:val="24"/>
        </w:rPr>
        <w:t>3</w:t>
      </w:r>
      <w:r w:rsidRPr="00B97255">
        <w:rPr>
          <w:rFonts w:asciiTheme="majorBidi" w:hAnsiTheme="majorBidi" w:cstheme="majorBidi"/>
          <w:sz w:val="24"/>
          <w:szCs w:val="24"/>
        </w:rPr>
        <w:t>.</w:t>
      </w:r>
      <w:r w:rsidR="00BD7033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Wendling D. Interleukin 23:   a key cytokine in   chronic inflammatory disease. Joint Bone Spine. 2008;75(5):517-519.</w:t>
      </w:r>
      <w:r w:rsidR="00BD70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>:</w:t>
      </w:r>
      <w:r w:rsidR="00BD7033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10.1016/j.jbspin.2008.03.004</w:t>
      </w:r>
      <w:r w:rsidRPr="00B97255">
        <w:rPr>
          <w:rFonts w:asciiTheme="majorBidi" w:hAnsiTheme="majorBidi" w:cstheme="majorBidi"/>
          <w:sz w:val="24"/>
          <w:szCs w:val="24"/>
        </w:rPr>
        <w:tab/>
      </w:r>
    </w:p>
    <w:p w14:paraId="14D8E55B" w14:textId="66CFD757" w:rsidR="00B97255" w:rsidRPr="00AE6A55" w:rsidRDefault="00B97255" w:rsidP="00BD7033">
      <w:pPr>
        <w:jc w:val="both"/>
        <w:rPr>
          <w:rFonts w:asciiTheme="majorBidi" w:hAnsiTheme="majorBidi" w:cstheme="majorBidi"/>
          <w:sz w:val="24"/>
          <w:szCs w:val="24"/>
        </w:rPr>
      </w:pPr>
      <w:r w:rsidRPr="00AE6A55">
        <w:rPr>
          <w:rFonts w:asciiTheme="majorBidi" w:hAnsiTheme="majorBidi" w:cstheme="majorBidi"/>
          <w:sz w:val="24"/>
          <w:szCs w:val="24"/>
        </w:rPr>
        <w:t>2</w:t>
      </w:r>
      <w:r w:rsidR="00C96829">
        <w:rPr>
          <w:rFonts w:asciiTheme="majorBidi" w:hAnsiTheme="majorBidi" w:cstheme="majorBidi"/>
          <w:sz w:val="24"/>
          <w:szCs w:val="24"/>
        </w:rPr>
        <w:t>4</w:t>
      </w:r>
      <w:r w:rsidRPr="00AE6A55">
        <w:rPr>
          <w:rFonts w:asciiTheme="majorBidi" w:hAnsiTheme="majorBidi" w:cstheme="majorBidi"/>
          <w:sz w:val="24"/>
          <w:szCs w:val="24"/>
        </w:rPr>
        <w:t>.</w:t>
      </w:r>
      <w:r w:rsidR="00BD7033" w:rsidRPr="00AE6A5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A55">
        <w:rPr>
          <w:rFonts w:asciiTheme="majorBidi" w:hAnsiTheme="majorBidi" w:cstheme="majorBidi"/>
          <w:sz w:val="24"/>
          <w:szCs w:val="24"/>
        </w:rPr>
        <w:t>Voo</w:t>
      </w:r>
      <w:proofErr w:type="spellEnd"/>
      <w:r w:rsidRPr="00AE6A55">
        <w:rPr>
          <w:rFonts w:asciiTheme="majorBidi" w:hAnsiTheme="majorBidi" w:cstheme="majorBidi"/>
          <w:sz w:val="24"/>
          <w:szCs w:val="24"/>
        </w:rPr>
        <w:t xml:space="preserve"> KS, Wang YH, </w:t>
      </w:r>
      <w:proofErr w:type="spellStart"/>
      <w:r w:rsidRPr="00AE6A55">
        <w:rPr>
          <w:rFonts w:asciiTheme="majorBidi" w:hAnsiTheme="majorBidi" w:cstheme="majorBidi"/>
          <w:sz w:val="24"/>
          <w:szCs w:val="24"/>
        </w:rPr>
        <w:t>Santori</w:t>
      </w:r>
      <w:proofErr w:type="spellEnd"/>
      <w:r w:rsidRPr="00AE6A55">
        <w:rPr>
          <w:rFonts w:asciiTheme="majorBidi" w:hAnsiTheme="majorBidi" w:cstheme="majorBidi"/>
          <w:sz w:val="24"/>
          <w:szCs w:val="24"/>
        </w:rPr>
        <w:t xml:space="preserve"> FR, et al. Identification of IL-17-producing FOXP3+ regulatory T cells in humans. Proc Natl </w:t>
      </w:r>
      <w:proofErr w:type="spellStart"/>
      <w:r w:rsidRPr="00AE6A55">
        <w:rPr>
          <w:rFonts w:asciiTheme="majorBidi" w:hAnsiTheme="majorBidi" w:cstheme="majorBidi"/>
          <w:sz w:val="24"/>
          <w:szCs w:val="24"/>
        </w:rPr>
        <w:t>Acad</w:t>
      </w:r>
      <w:proofErr w:type="spellEnd"/>
      <w:r w:rsidRPr="00AE6A55">
        <w:rPr>
          <w:rFonts w:asciiTheme="majorBidi" w:hAnsiTheme="majorBidi" w:cstheme="majorBidi"/>
          <w:sz w:val="24"/>
          <w:szCs w:val="24"/>
        </w:rPr>
        <w:t xml:space="preserve"> Sci</w:t>
      </w:r>
      <w:r w:rsidR="00BD7033" w:rsidRPr="00AE6A55">
        <w:rPr>
          <w:rFonts w:asciiTheme="majorBidi" w:hAnsiTheme="majorBidi" w:cstheme="majorBidi"/>
          <w:sz w:val="24"/>
          <w:szCs w:val="24"/>
        </w:rPr>
        <w:t xml:space="preserve"> </w:t>
      </w:r>
      <w:r w:rsidRPr="00AE6A55">
        <w:rPr>
          <w:rFonts w:asciiTheme="majorBidi" w:hAnsiTheme="majorBidi" w:cstheme="majorBidi"/>
          <w:sz w:val="24"/>
          <w:szCs w:val="24"/>
        </w:rPr>
        <w:t>U S A. 2009;106(12):4793-4798. doi:10.1073/pnas.0900408106</w:t>
      </w:r>
    </w:p>
    <w:p w14:paraId="379C9B64" w14:textId="066DEF5C" w:rsidR="00B97255" w:rsidRPr="00AE6A55" w:rsidRDefault="00B97255" w:rsidP="00BD7033">
      <w:pPr>
        <w:jc w:val="both"/>
        <w:rPr>
          <w:rFonts w:asciiTheme="majorBidi" w:hAnsiTheme="majorBidi" w:cstheme="majorBidi"/>
          <w:sz w:val="24"/>
          <w:szCs w:val="24"/>
        </w:rPr>
      </w:pPr>
      <w:r w:rsidRPr="00AE6A55">
        <w:rPr>
          <w:rFonts w:asciiTheme="majorBidi" w:hAnsiTheme="majorBidi" w:cstheme="majorBidi"/>
          <w:sz w:val="24"/>
          <w:szCs w:val="24"/>
        </w:rPr>
        <w:t>2</w:t>
      </w:r>
      <w:r w:rsidR="00C96829">
        <w:rPr>
          <w:rFonts w:asciiTheme="majorBidi" w:hAnsiTheme="majorBidi" w:cstheme="majorBidi"/>
          <w:sz w:val="24"/>
          <w:szCs w:val="24"/>
        </w:rPr>
        <w:t>5</w:t>
      </w:r>
      <w:r w:rsidRPr="00AE6A55">
        <w:rPr>
          <w:rFonts w:asciiTheme="majorBidi" w:hAnsiTheme="majorBidi" w:cstheme="majorBidi"/>
          <w:sz w:val="24"/>
          <w:szCs w:val="24"/>
        </w:rPr>
        <w:t>.</w:t>
      </w:r>
      <w:r w:rsidR="00BD7033" w:rsidRPr="00AE6A5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A55">
        <w:rPr>
          <w:rFonts w:asciiTheme="majorBidi" w:hAnsiTheme="majorBidi" w:cstheme="majorBidi"/>
          <w:sz w:val="24"/>
          <w:szCs w:val="24"/>
        </w:rPr>
        <w:t>Libioulle</w:t>
      </w:r>
      <w:proofErr w:type="spellEnd"/>
      <w:r w:rsidRPr="00AE6A55">
        <w:rPr>
          <w:rFonts w:asciiTheme="majorBidi" w:hAnsiTheme="majorBidi" w:cstheme="majorBidi"/>
          <w:sz w:val="24"/>
          <w:szCs w:val="24"/>
        </w:rPr>
        <w:t xml:space="preserve"> C, Louis E, </w:t>
      </w:r>
      <w:proofErr w:type="spellStart"/>
      <w:r w:rsidRPr="00AE6A55">
        <w:rPr>
          <w:rFonts w:asciiTheme="majorBidi" w:hAnsiTheme="majorBidi" w:cstheme="majorBidi"/>
          <w:sz w:val="24"/>
          <w:szCs w:val="24"/>
        </w:rPr>
        <w:t>Hansoul</w:t>
      </w:r>
      <w:proofErr w:type="spellEnd"/>
      <w:r w:rsidRPr="00AE6A55">
        <w:rPr>
          <w:rFonts w:asciiTheme="majorBidi" w:hAnsiTheme="majorBidi" w:cstheme="majorBidi"/>
          <w:sz w:val="24"/>
          <w:szCs w:val="24"/>
        </w:rPr>
        <w:t xml:space="preserve"> S, et al. Novel Crohn disease locus identified by genome-wide association maps to a gene desert</w:t>
      </w:r>
      <w:r w:rsidR="00BD7033" w:rsidRPr="00AE6A55">
        <w:rPr>
          <w:rFonts w:asciiTheme="majorBidi" w:hAnsiTheme="majorBidi" w:cstheme="majorBidi"/>
          <w:sz w:val="24"/>
          <w:szCs w:val="24"/>
        </w:rPr>
        <w:t xml:space="preserve"> </w:t>
      </w:r>
      <w:r w:rsidRPr="00AE6A55">
        <w:rPr>
          <w:rFonts w:asciiTheme="majorBidi" w:hAnsiTheme="majorBidi" w:cstheme="majorBidi"/>
          <w:sz w:val="24"/>
          <w:szCs w:val="24"/>
        </w:rPr>
        <w:t xml:space="preserve">on 5p13.1 and modulates expression of PTGER4. </w:t>
      </w:r>
      <w:proofErr w:type="spellStart"/>
      <w:r w:rsidRPr="00AE6A55">
        <w:rPr>
          <w:rFonts w:asciiTheme="majorBidi" w:hAnsiTheme="majorBidi" w:cstheme="majorBidi"/>
          <w:sz w:val="24"/>
          <w:szCs w:val="24"/>
        </w:rPr>
        <w:t>PLoS</w:t>
      </w:r>
      <w:proofErr w:type="spellEnd"/>
      <w:r w:rsidRPr="00AE6A55">
        <w:rPr>
          <w:rFonts w:asciiTheme="majorBidi" w:hAnsiTheme="majorBidi" w:cstheme="majorBidi"/>
          <w:sz w:val="24"/>
          <w:szCs w:val="24"/>
        </w:rPr>
        <w:t xml:space="preserve"> Genet. 2007;3(4):</w:t>
      </w:r>
      <w:r w:rsidR="00BD7033" w:rsidRPr="00AE6A55">
        <w:rPr>
          <w:rFonts w:asciiTheme="majorBidi" w:hAnsiTheme="majorBidi" w:cstheme="majorBidi"/>
          <w:sz w:val="24"/>
          <w:szCs w:val="24"/>
        </w:rPr>
        <w:t xml:space="preserve"> </w:t>
      </w:r>
      <w:r w:rsidRPr="00AE6A55">
        <w:rPr>
          <w:rFonts w:asciiTheme="majorBidi" w:hAnsiTheme="majorBidi" w:cstheme="majorBidi"/>
          <w:sz w:val="24"/>
          <w:szCs w:val="24"/>
        </w:rPr>
        <w:t xml:space="preserve">e58. </w:t>
      </w:r>
      <w:proofErr w:type="spellStart"/>
      <w:r w:rsidR="003033C2" w:rsidRPr="00AE6A55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="003033C2" w:rsidRPr="00AE6A55">
        <w:rPr>
          <w:rFonts w:asciiTheme="majorBidi" w:hAnsiTheme="majorBidi" w:cstheme="majorBidi"/>
          <w:sz w:val="24"/>
          <w:szCs w:val="24"/>
        </w:rPr>
        <w:t>: 10.1371/journal.pgen</w:t>
      </w:r>
      <w:r w:rsidRPr="00AE6A55">
        <w:rPr>
          <w:rFonts w:asciiTheme="majorBidi" w:hAnsiTheme="majorBidi" w:cstheme="majorBidi"/>
          <w:sz w:val="24"/>
          <w:szCs w:val="24"/>
        </w:rPr>
        <w:t>.0030058</w:t>
      </w:r>
    </w:p>
    <w:p w14:paraId="004AD779" w14:textId="4D82F5C7" w:rsidR="00B97255" w:rsidRPr="00AE6A55" w:rsidRDefault="00B97255" w:rsidP="00BD7033">
      <w:pPr>
        <w:jc w:val="both"/>
        <w:rPr>
          <w:rFonts w:asciiTheme="majorBidi" w:hAnsiTheme="majorBidi" w:cstheme="majorBidi"/>
          <w:sz w:val="24"/>
          <w:szCs w:val="24"/>
        </w:rPr>
      </w:pPr>
      <w:r w:rsidRPr="00AE6A55">
        <w:rPr>
          <w:rFonts w:asciiTheme="majorBidi" w:hAnsiTheme="majorBidi" w:cstheme="majorBidi"/>
          <w:sz w:val="24"/>
          <w:szCs w:val="24"/>
        </w:rPr>
        <w:t>2</w:t>
      </w:r>
      <w:r w:rsidR="00C96829">
        <w:rPr>
          <w:rFonts w:asciiTheme="majorBidi" w:hAnsiTheme="majorBidi" w:cstheme="majorBidi"/>
          <w:sz w:val="24"/>
          <w:szCs w:val="24"/>
        </w:rPr>
        <w:t>6</w:t>
      </w:r>
      <w:r w:rsidRPr="00AE6A55">
        <w:rPr>
          <w:rFonts w:asciiTheme="majorBidi" w:hAnsiTheme="majorBidi" w:cstheme="majorBidi"/>
          <w:sz w:val="24"/>
          <w:szCs w:val="24"/>
        </w:rPr>
        <w:t>.</w:t>
      </w:r>
      <w:r w:rsidR="00BD7033" w:rsidRPr="00AE6A55">
        <w:rPr>
          <w:rFonts w:asciiTheme="majorBidi" w:hAnsiTheme="majorBidi" w:cstheme="majorBidi"/>
          <w:sz w:val="24"/>
          <w:szCs w:val="24"/>
        </w:rPr>
        <w:t xml:space="preserve"> </w:t>
      </w:r>
      <w:r w:rsidRPr="00AE6A55">
        <w:rPr>
          <w:rFonts w:asciiTheme="majorBidi" w:hAnsiTheme="majorBidi" w:cstheme="majorBidi"/>
          <w:sz w:val="24"/>
          <w:szCs w:val="24"/>
        </w:rPr>
        <w:t xml:space="preserve">Hori S, Nomura T, </w:t>
      </w:r>
      <w:proofErr w:type="spellStart"/>
      <w:r w:rsidR="003033C2" w:rsidRPr="00AE6A55">
        <w:rPr>
          <w:rFonts w:asciiTheme="majorBidi" w:hAnsiTheme="majorBidi" w:cstheme="majorBidi"/>
          <w:sz w:val="24"/>
          <w:szCs w:val="24"/>
        </w:rPr>
        <w:t>Sakaguchi</w:t>
      </w:r>
      <w:proofErr w:type="spellEnd"/>
      <w:r w:rsidR="003033C2" w:rsidRPr="00AE6A55">
        <w:rPr>
          <w:rFonts w:asciiTheme="majorBidi" w:hAnsiTheme="majorBidi" w:cstheme="majorBidi"/>
          <w:sz w:val="24"/>
          <w:szCs w:val="24"/>
        </w:rPr>
        <w:t xml:space="preserve"> S.</w:t>
      </w:r>
      <w:r w:rsidRPr="00AE6A55">
        <w:rPr>
          <w:rFonts w:asciiTheme="majorBidi" w:hAnsiTheme="majorBidi" w:cstheme="majorBidi"/>
          <w:sz w:val="24"/>
          <w:szCs w:val="24"/>
        </w:rPr>
        <w:t xml:space="preserve"> </w:t>
      </w:r>
      <w:r w:rsidR="003033C2" w:rsidRPr="00AE6A55">
        <w:rPr>
          <w:rFonts w:asciiTheme="majorBidi" w:hAnsiTheme="majorBidi" w:cstheme="majorBidi"/>
          <w:sz w:val="24"/>
          <w:szCs w:val="24"/>
        </w:rPr>
        <w:t>Control of</w:t>
      </w:r>
      <w:r w:rsidRPr="00AE6A55">
        <w:rPr>
          <w:rFonts w:asciiTheme="majorBidi" w:hAnsiTheme="majorBidi" w:cstheme="majorBidi"/>
          <w:sz w:val="24"/>
          <w:szCs w:val="24"/>
        </w:rPr>
        <w:t xml:space="preserve"> regulatory T cell development by the transcription factor Foxp3. Science.</w:t>
      </w:r>
      <w:r w:rsidR="00BD7033" w:rsidRPr="00AE6A55">
        <w:rPr>
          <w:rFonts w:asciiTheme="majorBidi" w:hAnsiTheme="majorBidi" w:cstheme="majorBidi"/>
          <w:sz w:val="24"/>
          <w:szCs w:val="24"/>
        </w:rPr>
        <w:t xml:space="preserve"> </w:t>
      </w:r>
      <w:r w:rsidRPr="00AE6A55">
        <w:rPr>
          <w:rFonts w:asciiTheme="majorBidi" w:hAnsiTheme="majorBidi" w:cstheme="majorBidi"/>
          <w:sz w:val="24"/>
          <w:szCs w:val="24"/>
        </w:rPr>
        <w:t>2003;299(5609):1057-1061. doi:10.1126/science.1079490</w:t>
      </w:r>
    </w:p>
    <w:p w14:paraId="46F67528" w14:textId="6A5B5C74" w:rsidR="00B97255" w:rsidRDefault="00B97255" w:rsidP="00496B84">
      <w:pPr>
        <w:jc w:val="both"/>
        <w:rPr>
          <w:rFonts w:asciiTheme="majorBidi" w:hAnsiTheme="majorBidi" w:cstheme="majorBidi"/>
          <w:sz w:val="24"/>
          <w:szCs w:val="24"/>
        </w:rPr>
      </w:pPr>
      <w:r w:rsidRPr="00AE6A55">
        <w:rPr>
          <w:rFonts w:asciiTheme="majorBidi" w:hAnsiTheme="majorBidi" w:cstheme="majorBidi"/>
          <w:sz w:val="24"/>
          <w:szCs w:val="24"/>
        </w:rPr>
        <w:t>2</w:t>
      </w:r>
      <w:r w:rsidR="00C96829">
        <w:rPr>
          <w:rFonts w:asciiTheme="majorBidi" w:hAnsiTheme="majorBidi" w:cstheme="majorBidi"/>
          <w:sz w:val="24"/>
          <w:szCs w:val="24"/>
        </w:rPr>
        <w:t>7</w:t>
      </w:r>
      <w:r w:rsidRPr="00AE6A55">
        <w:rPr>
          <w:rFonts w:asciiTheme="majorBidi" w:hAnsiTheme="majorBidi" w:cstheme="majorBidi"/>
          <w:sz w:val="24"/>
          <w:szCs w:val="24"/>
        </w:rPr>
        <w:t>.</w:t>
      </w:r>
      <w:r w:rsidR="00BD7033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 xml:space="preserve">Kim JM, Rasmussen JP,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Rudensky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AY. Regulatory T cells prevent catastrophic autoimmunity throughout the lifespan of mice.</w:t>
      </w:r>
      <w:r w:rsidR="00BD7033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Nat Immunol. 2007;8(2):191-197. doi:10.1038/ni1428</w:t>
      </w:r>
      <w:r w:rsidR="00E10065">
        <w:rPr>
          <w:rFonts w:asciiTheme="majorBidi" w:hAnsiTheme="majorBidi" w:cstheme="majorBidi"/>
          <w:sz w:val="24"/>
          <w:szCs w:val="24"/>
        </w:rPr>
        <w:t>.</w:t>
      </w:r>
    </w:p>
    <w:p w14:paraId="1F11DF4C" w14:textId="0BB02EC5" w:rsidR="00B97255" w:rsidRDefault="00B97255" w:rsidP="0065574F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0FEEBF9" w14:textId="4EAF6FF8" w:rsidR="00B97255" w:rsidRDefault="00B97255" w:rsidP="0065574F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B6765FF" w14:textId="77777777" w:rsidR="00B97255" w:rsidRPr="00C0490D" w:rsidRDefault="00B97255" w:rsidP="0065574F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B97255" w:rsidRPr="00C0490D" w:rsidSect="00E3092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7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114B1" w14:textId="77777777" w:rsidR="00EB0789" w:rsidRDefault="00EB0789">
      <w:pPr>
        <w:spacing w:after="0" w:line="240" w:lineRule="auto"/>
      </w:pPr>
      <w:r>
        <w:separator/>
      </w:r>
    </w:p>
  </w:endnote>
  <w:endnote w:type="continuationSeparator" w:id="0">
    <w:p w14:paraId="00AE05BA" w14:textId="77777777" w:rsidR="00EB0789" w:rsidRDefault="00EB0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88305" w14:textId="2712B5E9" w:rsidR="00076ED7" w:rsidRPr="00A60A22" w:rsidRDefault="00076ED7" w:rsidP="00076ED7">
    <w:pPr>
      <w:pBdr>
        <w:top w:val="thinThickSmallGap" w:sz="24" w:space="1" w:color="823B0B"/>
      </w:pBdr>
      <w:tabs>
        <w:tab w:val="center" w:pos="4320"/>
        <w:tab w:val="right" w:pos="8640"/>
      </w:tabs>
      <w:rPr>
        <w:rFonts w:cs="Arial"/>
      </w:rPr>
    </w:pPr>
    <w:r w:rsidRPr="00076ED7">
      <w:rPr>
        <w:rFonts w:asciiTheme="majorBidi" w:hAnsiTheme="majorBidi" w:cstheme="majorBidi"/>
        <w:sz w:val="24"/>
        <w:szCs w:val="24"/>
        <w:lang w:bidi="ar-EG"/>
      </w:rPr>
      <w:t>Gad</w:t>
    </w:r>
    <w:r w:rsidRPr="00A60A22">
      <w:rPr>
        <w:rFonts w:cs="Arial"/>
      </w:rPr>
      <w:t xml:space="preserve"> </w:t>
    </w:r>
    <w:r>
      <w:rPr>
        <w:rFonts w:cs="Arial"/>
      </w:rPr>
      <w:t>SA</w:t>
    </w:r>
    <w:r w:rsidRPr="00A60A22">
      <w:rPr>
        <w:rFonts w:cs="Arial"/>
      </w:rPr>
      <w:t xml:space="preserve"> et al.2022</w:t>
    </w:r>
    <w:r w:rsidRPr="00A60A22">
      <w:rPr>
        <w:rFonts w:ascii="Calibri Light" w:eastAsia="Times New Roman" w:hAnsi="Calibri Light" w:cs="Times New Roman"/>
      </w:rPr>
      <w:ptab w:relativeTo="margin" w:alignment="right" w:leader="none"/>
    </w:r>
    <w:r w:rsidRPr="00A60A22">
      <w:rPr>
        <w:rFonts w:ascii="Calibri" w:eastAsia="Times New Roman" w:hAnsi="Calibri" w:cs="Arial"/>
      </w:rPr>
      <w:fldChar w:fldCharType="begin"/>
    </w:r>
    <w:r w:rsidRPr="00A60A22">
      <w:rPr>
        <w:rFonts w:cs="Arial"/>
      </w:rPr>
      <w:instrText xml:space="preserve"> PAGE   \* MERGEFORMAT </w:instrText>
    </w:r>
    <w:r w:rsidRPr="00A60A22">
      <w:rPr>
        <w:rFonts w:ascii="Calibri" w:eastAsia="Times New Roman" w:hAnsi="Calibri" w:cs="Arial"/>
      </w:rPr>
      <w:fldChar w:fldCharType="separate"/>
    </w:r>
    <w:r>
      <w:rPr>
        <w:rFonts w:ascii="Calibri" w:eastAsia="Times New Roman" w:hAnsi="Calibri" w:cs="Arial"/>
      </w:rPr>
      <w:t>58</w:t>
    </w:r>
    <w:r w:rsidRPr="00A60A22">
      <w:rPr>
        <w:rFonts w:ascii="Calibri Light" w:eastAsia="Times New Roman" w:hAnsi="Calibri Light" w:cs="Times New Roman"/>
        <w:noProof/>
      </w:rPr>
      <w:fldChar w:fldCharType="end"/>
    </w:r>
  </w:p>
  <w:p w14:paraId="0BFA8B6C" w14:textId="77777777" w:rsidR="00764639" w:rsidRDefault="00764639">
    <w:pPr>
      <w:pStyle w:val="Footer"/>
    </w:pPr>
  </w:p>
  <w:p w14:paraId="709B79EB" w14:textId="77777777" w:rsidR="004865BB" w:rsidRDefault="004865BB"/>
  <w:p w14:paraId="28643800" w14:textId="77777777" w:rsidR="004865BB" w:rsidRDefault="004865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6FED3" w14:textId="77777777" w:rsidR="00EB0789" w:rsidRDefault="00EB0789">
      <w:pPr>
        <w:spacing w:after="0" w:line="240" w:lineRule="auto"/>
      </w:pPr>
      <w:r>
        <w:separator/>
      </w:r>
    </w:p>
  </w:footnote>
  <w:footnote w:type="continuationSeparator" w:id="0">
    <w:p w14:paraId="48366ED7" w14:textId="77777777" w:rsidR="00EB0789" w:rsidRDefault="00EB0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ED6D" w14:textId="77777777" w:rsidR="00F8068A" w:rsidRPr="00F8068A" w:rsidRDefault="00F8068A" w:rsidP="00F8068A">
    <w:pPr>
      <w:pBdr>
        <w:bottom w:val="thickThinSmallGap" w:sz="24" w:space="21" w:color="622423"/>
      </w:pBdr>
      <w:tabs>
        <w:tab w:val="right" w:pos="8640"/>
      </w:tabs>
      <w:spacing w:after="0" w:line="240" w:lineRule="auto"/>
      <w:rPr>
        <w:rFonts w:ascii="Cambria" w:eastAsia="Times New Roman" w:hAnsi="Cambria" w:cs="Times New Roman"/>
        <w:sz w:val="18"/>
        <w:szCs w:val="18"/>
      </w:rPr>
    </w:pPr>
    <w:r w:rsidRPr="00F8068A">
      <w:rPr>
        <w:rFonts w:ascii="Cambria" w:eastAsia="Times New Roman" w:hAnsi="Cambria" w:cs="Times New Roman"/>
        <w:sz w:val="18"/>
        <w:szCs w:val="18"/>
      </w:rPr>
      <w:t>African journal of gastroenterology and hepatology</w:t>
    </w:r>
    <w:r w:rsidRPr="00F8068A">
      <w:rPr>
        <w:rFonts w:ascii="Cambria" w:eastAsia="Times New Roman" w:hAnsi="Cambria" w:cs="Times New Roman"/>
        <w:sz w:val="18"/>
        <w:szCs w:val="18"/>
      </w:rPr>
      <w:tab/>
    </w:r>
    <w:r w:rsidRPr="00F8068A">
      <w:rPr>
        <w:rFonts w:ascii="Calibri Light" w:eastAsia="Times New Roman" w:hAnsi="Calibri Light" w:cs="Times New Roman"/>
        <w:noProof/>
        <w:sz w:val="32"/>
        <w:szCs w:val="32"/>
      </w:rPr>
      <w:drawing>
        <wp:inline distT="0" distB="0" distL="0" distR="0" wp14:anchorId="51ECA634" wp14:editId="7EB10070">
          <wp:extent cx="1447800" cy="209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B62ECF" w14:textId="77777777" w:rsidR="00F8068A" w:rsidRPr="00F8068A" w:rsidRDefault="00F8068A" w:rsidP="00F8068A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</w:rPr>
    </w:pPr>
    <w:r w:rsidRPr="00F8068A">
      <w:rPr>
        <w:rFonts w:ascii="Calibri" w:eastAsia="Calibri" w:hAnsi="Calibri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6AC9F0" wp14:editId="06D1E2C5">
              <wp:simplePos x="0" y="0"/>
              <wp:positionH relativeFrom="column">
                <wp:posOffset>10236</wp:posOffset>
              </wp:positionH>
              <wp:positionV relativeFrom="page">
                <wp:posOffset>1030406</wp:posOffset>
              </wp:positionV>
              <wp:extent cx="1194179" cy="286603"/>
              <wp:effectExtent l="0" t="0" r="25400" b="1841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4179" cy="286603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F664947" w14:textId="77777777" w:rsidR="00F8068A" w:rsidRDefault="00F8068A" w:rsidP="00F8068A">
                          <w:r>
                            <w:t>Original 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6AC9F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.8pt;margin-top:81.15pt;width:94.05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" fillcolor="#00b0f0" strokeweight=".5pt">
              <v:textbox>
                <w:txbxContent>
                  <w:p w14:paraId="1F664947" w14:textId="77777777" w:rsidR="00F8068A" w:rsidRDefault="00F8068A" w:rsidP="00F8068A">
                    <w:r>
                      <w:t>Original research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182EAE97" w14:textId="77777777" w:rsidR="00F8068A" w:rsidRPr="00F8068A" w:rsidRDefault="00F8068A" w:rsidP="00F8068A">
    <w:pPr>
      <w:tabs>
        <w:tab w:val="center" w:pos="4680"/>
        <w:tab w:val="right" w:pos="9360"/>
      </w:tabs>
      <w:spacing w:after="0" w:line="240" w:lineRule="auto"/>
      <w:jc w:val="both"/>
      <w:rPr>
        <w:rFonts w:ascii="Calibri" w:eastAsia="Calibri" w:hAnsi="Calibri" w:cs="Arial"/>
      </w:rPr>
    </w:pPr>
  </w:p>
  <w:p w14:paraId="0AAAD3D4" w14:textId="77777777" w:rsidR="00F8068A" w:rsidRDefault="00F806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6D1D"/>
    <w:multiLevelType w:val="multilevel"/>
    <w:tmpl w:val="F1142052"/>
    <w:lvl w:ilvl="0">
      <w:start w:val="1"/>
      <w:numFmt w:val="decimal"/>
      <w:lvlText w:val="%1."/>
      <w:lvlJc w:val="left"/>
      <w:pPr>
        <w:ind w:left="346" w:hanging="207"/>
        <w:jc w:val="right"/>
      </w:pPr>
      <w:rPr>
        <w:rFonts w:ascii="Palatino Linotype" w:eastAsia="Palatino Linotype" w:hAnsi="Palatino Linotype" w:cs="Palatino Linotype" w:hint="default"/>
        <w:b/>
        <w:bCs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3103" w:hanging="356"/>
      </w:pPr>
      <w:rPr>
        <w:rFonts w:ascii="Palatino Linotype" w:eastAsia="Palatino Linotype" w:hAnsi="Palatino Linotype" w:cs="Palatino Linotype" w:hint="default"/>
        <w:b/>
        <w:bCs/>
        <w:spacing w:val="-5"/>
        <w:w w:val="100"/>
        <w:sz w:val="20"/>
        <w:szCs w:val="2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3256" w:hanging="509"/>
      </w:pPr>
      <w:rPr>
        <w:rFonts w:hint="default"/>
        <w:spacing w:val="-5"/>
        <w:w w:val="100"/>
        <w:lang w:val="en-US" w:eastAsia="en-US" w:bidi="ar-SA"/>
      </w:rPr>
    </w:lvl>
    <w:lvl w:ilvl="3">
      <w:numFmt w:val="bullet"/>
      <w:lvlText w:val="•"/>
      <w:lvlJc w:val="left"/>
      <w:pPr>
        <w:ind w:left="3927" w:hanging="5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95" w:hanging="5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63" w:hanging="5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30" w:hanging="5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98" w:hanging="5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66" w:hanging="509"/>
      </w:pPr>
      <w:rPr>
        <w:rFonts w:hint="default"/>
        <w:lang w:val="en-US" w:eastAsia="en-US" w:bidi="ar-SA"/>
      </w:rPr>
    </w:lvl>
  </w:abstractNum>
  <w:num w:numId="1" w16cid:durableId="108718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xMbS0NDI0NzQ3MTBV0lEKTi0uzszPAykwqgUAkEvqVSwAAAA="/>
  </w:docVars>
  <w:rsids>
    <w:rsidRoot w:val="00E95C05"/>
    <w:rsid w:val="00011A3D"/>
    <w:rsid w:val="00050113"/>
    <w:rsid w:val="000514BE"/>
    <w:rsid w:val="00076ED7"/>
    <w:rsid w:val="00086C32"/>
    <w:rsid w:val="000A7674"/>
    <w:rsid w:val="000B06CA"/>
    <w:rsid w:val="000C788E"/>
    <w:rsid w:val="000D687D"/>
    <w:rsid w:val="000E4086"/>
    <w:rsid w:val="001468B7"/>
    <w:rsid w:val="00171845"/>
    <w:rsid w:val="00185668"/>
    <w:rsid w:val="001A0280"/>
    <w:rsid w:val="001D7715"/>
    <w:rsid w:val="001E09D9"/>
    <w:rsid w:val="001F6256"/>
    <w:rsid w:val="001F7306"/>
    <w:rsid w:val="00216F0A"/>
    <w:rsid w:val="00242B07"/>
    <w:rsid w:val="00260986"/>
    <w:rsid w:val="00270E91"/>
    <w:rsid w:val="00282E5D"/>
    <w:rsid w:val="002A7A86"/>
    <w:rsid w:val="002B2A57"/>
    <w:rsid w:val="002D6C9F"/>
    <w:rsid w:val="003033C2"/>
    <w:rsid w:val="0030417A"/>
    <w:rsid w:val="0030556D"/>
    <w:rsid w:val="003204B1"/>
    <w:rsid w:val="00324E6B"/>
    <w:rsid w:val="00343EEC"/>
    <w:rsid w:val="00354897"/>
    <w:rsid w:val="0036725D"/>
    <w:rsid w:val="003A6C13"/>
    <w:rsid w:val="003B5D73"/>
    <w:rsid w:val="003F7548"/>
    <w:rsid w:val="004123A2"/>
    <w:rsid w:val="004130C3"/>
    <w:rsid w:val="00427E9D"/>
    <w:rsid w:val="00432D95"/>
    <w:rsid w:val="00440BEA"/>
    <w:rsid w:val="00483DBB"/>
    <w:rsid w:val="004865BB"/>
    <w:rsid w:val="00496B84"/>
    <w:rsid w:val="004A5059"/>
    <w:rsid w:val="004B47A0"/>
    <w:rsid w:val="004C2DC9"/>
    <w:rsid w:val="004F5093"/>
    <w:rsid w:val="004F5F31"/>
    <w:rsid w:val="00505FA9"/>
    <w:rsid w:val="00511DB2"/>
    <w:rsid w:val="00530A60"/>
    <w:rsid w:val="005429FF"/>
    <w:rsid w:val="005615CE"/>
    <w:rsid w:val="00564C19"/>
    <w:rsid w:val="00573782"/>
    <w:rsid w:val="00576E84"/>
    <w:rsid w:val="00585B8B"/>
    <w:rsid w:val="00596589"/>
    <w:rsid w:val="005A7354"/>
    <w:rsid w:val="005B7419"/>
    <w:rsid w:val="005C54E4"/>
    <w:rsid w:val="005D4BA1"/>
    <w:rsid w:val="005E26CE"/>
    <w:rsid w:val="005F2262"/>
    <w:rsid w:val="005F25D8"/>
    <w:rsid w:val="005F2D7B"/>
    <w:rsid w:val="00645512"/>
    <w:rsid w:val="00655388"/>
    <w:rsid w:val="0065574F"/>
    <w:rsid w:val="006A25E8"/>
    <w:rsid w:val="006A4068"/>
    <w:rsid w:val="006B72A5"/>
    <w:rsid w:val="006F6FAF"/>
    <w:rsid w:val="00734650"/>
    <w:rsid w:val="00736F31"/>
    <w:rsid w:val="00747675"/>
    <w:rsid w:val="007575E7"/>
    <w:rsid w:val="00764639"/>
    <w:rsid w:val="00764D86"/>
    <w:rsid w:val="00765418"/>
    <w:rsid w:val="00772157"/>
    <w:rsid w:val="00795702"/>
    <w:rsid w:val="007A389B"/>
    <w:rsid w:val="007C29F3"/>
    <w:rsid w:val="007E41F1"/>
    <w:rsid w:val="007E49F9"/>
    <w:rsid w:val="0081564C"/>
    <w:rsid w:val="008207E2"/>
    <w:rsid w:val="008322FA"/>
    <w:rsid w:val="0084042C"/>
    <w:rsid w:val="00864653"/>
    <w:rsid w:val="00864B85"/>
    <w:rsid w:val="00875FE2"/>
    <w:rsid w:val="008967BE"/>
    <w:rsid w:val="008E6825"/>
    <w:rsid w:val="008F0C17"/>
    <w:rsid w:val="00903C0B"/>
    <w:rsid w:val="009112F9"/>
    <w:rsid w:val="00917EAC"/>
    <w:rsid w:val="0092134D"/>
    <w:rsid w:val="00990111"/>
    <w:rsid w:val="009979F3"/>
    <w:rsid w:val="009C06E7"/>
    <w:rsid w:val="00A033D8"/>
    <w:rsid w:val="00A04017"/>
    <w:rsid w:val="00A1569D"/>
    <w:rsid w:val="00A42B57"/>
    <w:rsid w:val="00A530C5"/>
    <w:rsid w:val="00A6083F"/>
    <w:rsid w:val="00A83A48"/>
    <w:rsid w:val="00A922DE"/>
    <w:rsid w:val="00A92F81"/>
    <w:rsid w:val="00AA2454"/>
    <w:rsid w:val="00AA769F"/>
    <w:rsid w:val="00AB08CD"/>
    <w:rsid w:val="00AC507D"/>
    <w:rsid w:val="00AE6A55"/>
    <w:rsid w:val="00AE73AB"/>
    <w:rsid w:val="00B13051"/>
    <w:rsid w:val="00B337B2"/>
    <w:rsid w:val="00B353D3"/>
    <w:rsid w:val="00B419D0"/>
    <w:rsid w:val="00B640AE"/>
    <w:rsid w:val="00B852D3"/>
    <w:rsid w:val="00B97255"/>
    <w:rsid w:val="00BA49AF"/>
    <w:rsid w:val="00BB5E31"/>
    <w:rsid w:val="00BC0452"/>
    <w:rsid w:val="00BC4787"/>
    <w:rsid w:val="00BD4637"/>
    <w:rsid w:val="00BD7033"/>
    <w:rsid w:val="00BD7CBB"/>
    <w:rsid w:val="00BF2703"/>
    <w:rsid w:val="00C0490D"/>
    <w:rsid w:val="00C2513E"/>
    <w:rsid w:val="00C42EE4"/>
    <w:rsid w:val="00C5628F"/>
    <w:rsid w:val="00C73DE6"/>
    <w:rsid w:val="00C77AB7"/>
    <w:rsid w:val="00C831F5"/>
    <w:rsid w:val="00C96829"/>
    <w:rsid w:val="00CA4C19"/>
    <w:rsid w:val="00CA5681"/>
    <w:rsid w:val="00CB4A11"/>
    <w:rsid w:val="00CB58AC"/>
    <w:rsid w:val="00CB5CEE"/>
    <w:rsid w:val="00CB6191"/>
    <w:rsid w:val="00CC5650"/>
    <w:rsid w:val="00CD0773"/>
    <w:rsid w:val="00CD101F"/>
    <w:rsid w:val="00CE76A5"/>
    <w:rsid w:val="00CF2E40"/>
    <w:rsid w:val="00D1168E"/>
    <w:rsid w:val="00D12496"/>
    <w:rsid w:val="00D26BDA"/>
    <w:rsid w:val="00D515CF"/>
    <w:rsid w:val="00D5384B"/>
    <w:rsid w:val="00D64F21"/>
    <w:rsid w:val="00D65D82"/>
    <w:rsid w:val="00D76116"/>
    <w:rsid w:val="00DA25E3"/>
    <w:rsid w:val="00DA638F"/>
    <w:rsid w:val="00DB4BF7"/>
    <w:rsid w:val="00DC7BE3"/>
    <w:rsid w:val="00DD0048"/>
    <w:rsid w:val="00DD2E62"/>
    <w:rsid w:val="00DD3CC5"/>
    <w:rsid w:val="00DD698E"/>
    <w:rsid w:val="00DE1320"/>
    <w:rsid w:val="00DE6DB2"/>
    <w:rsid w:val="00DE6FFD"/>
    <w:rsid w:val="00E00154"/>
    <w:rsid w:val="00E0316C"/>
    <w:rsid w:val="00E10065"/>
    <w:rsid w:val="00E1496C"/>
    <w:rsid w:val="00E30924"/>
    <w:rsid w:val="00E37A3F"/>
    <w:rsid w:val="00E45C85"/>
    <w:rsid w:val="00E47874"/>
    <w:rsid w:val="00E635E3"/>
    <w:rsid w:val="00E77371"/>
    <w:rsid w:val="00E82AF3"/>
    <w:rsid w:val="00E84F06"/>
    <w:rsid w:val="00E9001D"/>
    <w:rsid w:val="00E95649"/>
    <w:rsid w:val="00E95C05"/>
    <w:rsid w:val="00E97477"/>
    <w:rsid w:val="00EA5C2D"/>
    <w:rsid w:val="00EB0789"/>
    <w:rsid w:val="00EB0FE6"/>
    <w:rsid w:val="00EB24C6"/>
    <w:rsid w:val="00EB71A6"/>
    <w:rsid w:val="00EE297D"/>
    <w:rsid w:val="00EF2E98"/>
    <w:rsid w:val="00F00233"/>
    <w:rsid w:val="00F00C41"/>
    <w:rsid w:val="00F111FD"/>
    <w:rsid w:val="00F1287F"/>
    <w:rsid w:val="00F20C10"/>
    <w:rsid w:val="00F20D38"/>
    <w:rsid w:val="00F511EC"/>
    <w:rsid w:val="00F8068A"/>
    <w:rsid w:val="00FB0A13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7EEDA"/>
  <w15:chartTrackingRefBased/>
  <w15:docId w15:val="{98961A4E-3A6B-4ABE-829E-6A32BE14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639"/>
  </w:style>
  <w:style w:type="paragraph" w:styleId="Footer">
    <w:name w:val="footer"/>
    <w:basedOn w:val="Normal"/>
    <w:link w:val="FooterChar"/>
    <w:uiPriority w:val="99"/>
    <w:unhideWhenUsed/>
    <w:rsid w:val="00764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639"/>
  </w:style>
  <w:style w:type="character" w:styleId="LineNumber">
    <w:name w:val="line number"/>
    <w:basedOn w:val="DefaultParagraphFont"/>
    <w:uiPriority w:val="99"/>
    <w:semiHidden/>
    <w:unhideWhenUsed/>
    <w:rsid w:val="00E45C85"/>
  </w:style>
  <w:style w:type="character" w:styleId="Hyperlink">
    <w:name w:val="Hyperlink"/>
    <w:basedOn w:val="DefaultParagraphFont"/>
    <w:uiPriority w:val="99"/>
    <w:unhideWhenUsed/>
    <w:rsid w:val="001718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84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E4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E408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8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dAllah," TargetMode="External"/><Relationship Id="rId3" Type="http://schemas.openxmlformats.org/officeDocument/2006/relationships/settings" Target="settings.xml"/><Relationship Id="rId7" Type="http://schemas.openxmlformats.org/officeDocument/2006/relationships/hyperlink" Target="10.21608/AJGH.2022.151904.10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13</Pages>
  <Words>3471</Words>
  <Characters>19439</Characters>
  <Application>Microsoft Office Word</Application>
  <DocSecurity>0</DocSecurity>
  <Lines>511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Samia Hussein</dc:creator>
  <cp:keywords/>
  <dc:description/>
  <cp:lastModifiedBy>SYSalem</cp:lastModifiedBy>
  <cp:revision>54</cp:revision>
  <cp:lastPrinted>2022-10-08T11:22:00Z</cp:lastPrinted>
  <dcterms:created xsi:type="dcterms:W3CDTF">2022-10-03T10:16:00Z</dcterms:created>
  <dcterms:modified xsi:type="dcterms:W3CDTF">2022-10-08T11:24:00Z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274d972eb4db2a8e3294b8aabd7605b462dbf5e42dbecd8249979c1f7d4c592e</vt:lpwstr>
  </property>
</Properties>
</file>