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71CA" w14:textId="449F54A4" w:rsidR="00810A0A" w:rsidRPr="002258FA" w:rsidRDefault="00810A0A" w:rsidP="002258FA">
      <w:pPr>
        <w:pStyle w:val="NoSpacing"/>
        <w:jc w:val="center"/>
        <w:rPr>
          <w:b/>
          <w:bCs/>
        </w:rPr>
      </w:pPr>
      <w:r w:rsidRPr="002258FA">
        <w:rPr>
          <w:b/>
          <w:bCs/>
        </w:rPr>
        <w:t>Hepatocellular Carcinoma Post Direct Anti Hepatitis C Viral Agents</w:t>
      </w:r>
      <w:r w:rsidR="00447E7C" w:rsidRPr="002258FA">
        <w:rPr>
          <w:b/>
          <w:bCs/>
        </w:rPr>
        <w:t>;</w:t>
      </w:r>
      <w:r w:rsidRPr="002258FA">
        <w:rPr>
          <w:b/>
          <w:bCs/>
        </w:rPr>
        <w:t xml:space="preserve"> Clinical </w:t>
      </w:r>
      <w:r w:rsidR="00A22719" w:rsidRPr="002258FA">
        <w:rPr>
          <w:b/>
          <w:bCs/>
        </w:rPr>
        <w:t>Features</w:t>
      </w:r>
    </w:p>
    <w:p w14:paraId="76AEACD8" w14:textId="5E39022B" w:rsidR="00BA61F5" w:rsidRPr="001020E4" w:rsidRDefault="00BA61F5" w:rsidP="006419BA">
      <w:pPr>
        <w:pStyle w:val="ListParagraph"/>
        <w:ind w:left="630" w:firstLine="0"/>
        <w:rPr>
          <w:b/>
          <w:bCs/>
          <w:sz w:val="24"/>
          <w:szCs w:val="24"/>
        </w:rPr>
      </w:pPr>
      <w:r w:rsidRPr="001020E4">
        <w:rPr>
          <w:sz w:val="24"/>
          <w:szCs w:val="24"/>
        </w:rPr>
        <w:t>Nabila Hassan Ahmed</w:t>
      </w:r>
      <w:r w:rsidRPr="001020E4">
        <w:rPr>
          <w:sz w:val="24"/>
          <w:szCs w:val="24"/>
          <w:vertAlign w:val="superscript"/>
        </w:rPr>
        <w:t>1</w:t>
      </w:r>
      <w:r w:rsidRPr="001020E4">
        <w:rPr>
          <w:sz w:val="24"/>
          <w:szCs w:val="24"/>
        </w:rPr>
        <w:t>,</w:t>
      </w:r>
      <w:r w:rsidRPr="001020E4">
        <w:rPr>
          <w:b/>
          <w:bCs/>
          <w:sz w:val="24"/>
          <w:szCs w:val="24"/>
        </w:rPr>
        <w:t xml:space="preserve"> </w:t>
      </w:r>
      <w:r w:rsidRPr="001020E4">
        <w:rPr>
          <w:sz w:val="24"/>
          <w:szCs w:val="24"/>
        </w:rPr>
        <w:t>Ahmed Embaby</w:t>
      </w:r>
      <w:r w:rsidRPr="001020E4">
        <w:rPr>
          <w:sz w:val="24"/>
          <w:szCs w:val="24"/>
          <w:vertAlign w:val="superscript"/>
        </w:rPr>
        <w:t>2</w:t>
      </w:r>
      <w:r w:rsidRPr="001020E4">
        <w:rPr>
          <w:b/>
          <w:bCs/>
          <w:sz w:val="24"/>
          <w:szCs w:val="24"/>
        </w:rPr>
        <w:t>,</w:t>
      </w:r>
      <w:r w:rsidRPr="001020E4">
        <w:rPr>
          <w:sz w:val="24"/>
          <w:szCs w:val="24"/>
        </w:rPr>
        <w:t xml:space="preserve"> Amira Elwan</w:t>
      </w:r>
      <w:r w:rsidRPr="001020E4">
        <w:rPr>
          <w:sz w:val="24"/>
          <w:szCs w:val="24"/>
          <w:vertAlign w:val="superscript"/>
        </w:rPr>
        <w:t>3</w:t>
      </w:r>
      <w:r w:rsidRPr="001020E4">
        <w:rPr>
          <w:b/>
          <w:bCs/>
          <w:sz w:val="24"/>
          <w:szCs w:val="24"/>
        </w:rPr>
        <w:t xml:space="preserve">, </w:t>
      </w:r>
      <w:r w:rsidRPr="001020E4">
        <w:rPr>
          <w:sz w:val="24"/>
          <w:szCs w:val="24"/>
        </w:rPr>
        <w:t>Essam Adel</w:t>
      </w:r>
      <w:r w:rsidRPr="001020E4">
        <w:rPr>
          <w:b/>
          <w:bCs/>
          <w:sz w:val="24"/>
          <w:szCs w:val="24"/>
        </w:rPr>
        <w:t xml:space="preserve"> </w:t>
      </w:r>
      <w:r w:rsidRPr="001020E4">
        <w:rPr>
          <w:sz w:val="24"/>
          <w:szCs w:val="24"/>
        </w:rPr>
        <w:t>Abdelrahman</w:t>
      </w:r>
      <w:r w:rsidRPr="001020E4">
        <w:rPr>
          <w:sz w:val="24"/>
          <w:szCs w:val="24"/>
          <w:vertAlign w:val="superscript"/>
        </w:rPr>
        <w:t>2</w:t>
      </w:r>
      <w:r w:rsidRPr="001020E4">
        <w:rPr>
          <w:b/>
          <w:bCs/>
          <w:sz w:val="24"/>
          <w:szCs w:val="24"/>
        </w:rPr>
        <w:t>,</w:t>
      </w:r>
      <w:r w:rsidRPr="001020E4">
        <w:rPr>
          <w:sz w:val="24"/>
          <w:szCs w:val="24"/>
        </w:rPr>
        <w:t xml:space="preserve"> Ahmed S Mohamed</w:t>
      </w:r>
      <w:r w:rsidRPr="001020E4">
        <w:rPr>
          <w:sz w:val="24"/>
          <w:szCs w:val="24"/>
          <w:vertAlign w:val="superscript"/>
        </w:rPr>
        <w:t>1</w:t>
      </w:r>
    </w:p>
    <w:p w14:paraId="2C9F0108" w14:textId="0308263E" w:rsidR="00BA61F5" w:rsidRPr="001020E4" w:rsidRDefault="00BA61F5" w:rsidP="00BA61F5">
      <w:pPr>
        <w:pStyle w:val="NoSpacing"/>
        <w:rPr>
          <w:sz w:val="24"/>
          <w:szCs w:val="24"/>
        </w:rPr>
      </w:pPr>
      <w:r w:rsidRPr="001020E4">
        <w:rPr>
          <w:sz w:val="24"/>
          <w:szCs w:val="24"/>
          <w:vertAlign w:val="superscript"/>
        </w:rPr>
        <w:t>1</w:t>
      </w:r>
      <w:r w:rsidRPr="001020E4">
        <w:rPr>
          <w:sz w:val="24"/>
          <w:szCs w:val="24"/>
        </w:rPr>
        <w:t>Tropical Department, Faculty of Medicine, Zagazig University, Egypt</w:t>
      </w:r>
      <w:r w:rsidR="008F68AC" w:rsidRPr="001020E4">
        <w:rPr>
          <w:sz w:val="24"/>
          <w:szCs w:val="24"/>
        </w:rPr>
        <w:t>.</w:t>
      </w:r>
    </w:p>
    <w:p w14:paraId="48693FB8" w14:textId="434C6578" w:rsidR="00BA61F5" w:rsidRPr="001020E4" w:rsidRDefault="00BA61F5" w:rsidP="00BA61F5">
      <w:pPr>
        <w:pStyle w:val="NoSpacing"/>
        <w:rPr>
          <w:sz w:val="24"/>
          <w:szCs w:val="24"/>
        </w:rPr>
      </w:pPr>
      <w:r w:rsidRPr="001020E4">
        <w:rPr>
          <w:sz w:val="24"/>
          <w:szCs w:val="24"/>
          <w:vertAlign w:val="superscript"/>
        </w:rPr>
        <w:t>2</w:t>
      </w:r>
      <w:r w:rsidRPr="001020E4">
        <w:rPr>
          <w:sz w:val="24"/>
          <w:szCs w:val="24"/>
        </w:rPr>
        <w:t>Internal Medicine Department, Faculty of Medicine, Zagazig University, Zagazig, Egypt.</w:t>
      </w:r>
    </w:p>
    <w:p w14:paraId="1712121B" w14:textId="17F1A812" w:rsidR="00BA61F5" w:rsidRPr="001020E4" w:rsidRDefault="00BA61F5" w:rsidP="008F68AC">
      <w:pPr>
        <w:pStyle w:val="NoSpacing"/>
        <w:rPr>
          <w:sz w:val="24"/>
          <w:szCs w:val="24"/>
        </w:rPr>
      </w:pPr>
      <w:r w:rsidRPr="001020E4">
        <w:rPr>
          <w:sz w:val="24"/>
          <w:szCs w:val="24"/>
          <w:vertAlign w:val="superscript"/>
        </w:rPr>
        <w:t>3</w:t>
      </w:r>
      <w:r w:rsidRPr="001020E4">
        <w:rPr>
          <w:sz w:val="24"/>
          <w:szCs w:val="24"/>
        </w:rPr>
        <w:t>Clinical Oncology Department, Faculty of Medicine, Zagazig University</w:t>
      </w:r>
      <w:r w:rsidR="00FA0A4A">
        <w:rPr>
          <w:sz w:val="24"/>
          <w:szCs w:val="24"/>
        </w:rPr>
        <w:t>.</w:t>
      </w:r>
    </w:p>
    <w:p w14:paraId="15E9D2A5" w14:textId="77777777" w:rsidR="008F68AC" w:rsidRPr="001020E4" w:rsidRDefault="008F68AC" w:rsidP="00082EB7">
      <w:pPr>
        <w:pStyle w:val="NoSpacing"/>
        <w:jc w:val="both"/>
        <w:rPr>
          <w:b/>
          <w:bCs/>
          <w:sz w:val="24"/>
          <w:szCs w:val="24"/>
        </w:rPr>
      </w:pPr>
      <w:r w:rsidRPr="001020E4">
        <w:rPr>
          <w:b/>
          <w:bCs/>
          <w:sz w:val="24"/>
          <w:szCs w:val="24"/>
        </w:rPr>
        <w:t xml:space="preserve">Corresponding author: </w:t>
      </w:r>
    </w:p>
    <w:p w14:paraId="6F5C028D" w14:textId="70347D37" w:rsidR="00BA61F5" w:rsidRPr="001020E4" w:rsidRDefault="008F68AC" w:rsidP="00082EB7">
      <w:pPr>
        <w:pStyle w:val="NoSpacing"/>
        <w:jc w:val="both"/>
        <w:rPr>
          <w:sz w:val="24"/>
          <w:szCs w:val="24"/>
        </w:rPr>
      </w:pPr>
      <w:r w:rsidRPr="001020E4">
        <w:rPr>
          <w:sz w:val="24"/>
          <w:szCs w:val="24"/>
        </w:rPr>
        <w:t>Dr. Nabila Hassan</w:t>
      </w:r>
      <w:r w:rsidR="002B1AB6" w:rsidRPr="001020E4">
        <w:rPr>
          <w:sz w:val="24"/>
          <w:szCs w:val="24"/>
        </w:rPr>
        <w:t xml:space="preserve"> Ahmed</w:t>
      </w:r>
      <w:r w:rsidRPr="001020E4">
        <w:rPr>
          <w:sz w:val="24"/>
          <w:szCs w:val="24"/>
        </w:rPr>
        <w:t>.</w:t>
      </w:r>
    </w:p>
    <w:p w14:paraId="5E216462" w14:textId="3C9C1F56" w:rsidR="00BA61F5" w:rsidRPr="001020E4" w:rsidRDefault="008F68AC" w:rsidP="00082EB7">
      <w:pPr>
        <w:pStyle w:val="NoSpacing"/>
        <w:jc w:val="both"/>
        <w:rPr>
          <w:sz w:val="24"/>
          <w:szCs w:val="24"/>
        </w:rPr>
      </w:pPr>
      <w:r w:rsidRPr="001020E4">
        <w:rPr>
          <w:sz w:val="24"/>
          <w:szCs w:val="24"/>
        </w:rPr>
        <w:t>Mail:</w:t>
      </w:r>
      <w:hyperlink r:id="rId8" w:history="1">
        <w:r w:rsidRPr="001020E4">
          <w:rPr>
            <w:rStyle w:val="Hyperlink"/>
            <w:sz w:val="24"/>
            <w:szCs w:val="24"/>
          </w:rPr>
          <w:t>nabilaahassanahmed@gmail.com</w:t>
        </w:r>
      </w:hyperlink>
      <w:r w:rsidR="0072639A" w:rsidRPr="001020E4">
        <w:rPr>
          <w:sz w:val="24"/>
          <w:szCs w:val="24"/>
        </w:rPr>
        <w:t>.</w:t>
      </w:r>
    </w:p>
    <w:p w14:paraId="54674067" w14:textId="38F83C0D" w:rsidR="008F68AC" w:rsidRPr="001020E4" w:rsidRDefault="008F68AC" w:rsidP="00082EB7">
      <w:pPr>
        <w:pStyle w:val="NoSpacing"/>
        <w:jc w:val="both"/>
        <w:rPr>
          <w:sz w:val="24"/>
          <w:szCs w:val="24"/>
        </w:rPr>
      </w:pPr>
      <w:r w:rsidRPr="001020E4">
        <w:rPr>
          <w:sz w:val="24"/>
          <w:szCs w:val="24"/>
        </w:rPr>
        <w:t>Tel no: +201224892292</w:t>
      </w:r>
      <w:r w:rsidR="0072639A" w:rsidRPr="001020E4">
        <w:rPr>
          <w:sz w:val="24"/>
          <w:szCs w:val="24"/>
        </w:rPr>
        <w:t>.</w:t>
      </w:r>
    </w:p>
    <w:p w14:paraId="1BFCD019" w14:textId="4DF73F7E" w:rsidR="00B812E2" w:rsidRPr="00B812E2" w:rsidRDefault="00B812E2" w:rsidP="00B812E2">
      <w:pPr>
        <w:spacing w:after="160" w:line="259" w:lineRule="auto"/>
        <w:ind w:firstLine="0"/>
        <w:rPr>
          <w:rFonts w:ascii="Times New Roman" w:eastAsia="Times New Roman" w:hAnsi="Times New Roman"/>
          <w:b/>
          <w:bCs/>
          <w:sz w:val="24"/>
          <w:szCs w:val="24"/>
          <w:lang w:bidi="ar-EG"/>
        </w:rPr>
      </w:pPr>
      <w:r w:rsidRPr="00B812E2">
        <w:rPr>
          <w:rFonts w:ascii="Times New Roman" w:eastAsia="Times New Roman" w:hAnsi="Times New Roman"/>
          <w:b/>
          <w:bCs/>
          <w:sz w:val="24"/>
          <w:szCs w:val="24"/>
          <w:lang w:bidi="ar-EG"/>
        </w:rPr>
        <w:t xml:space="preserve">DOI: </w:t>
      </w:r>
      <w:hyperlink r:id="rId9" w:history="1">
        <w:r w:rsidR="00FA4018">
          <w:rPr>
            <w:rFonts w:ascii="Times New Roman" w:eastAsia="Times New Roman" w:hAnsi="Times New Roman"/>
            <w:b/>
            <w:bCs/>
            <w:color w:val="0563C1"/>
            <w:sz w:val="24"/>
            <w:szCs w:val="24"/>
            <w:u w:val="single"/>
            <w:lang w:bidi="ar-EG"/>
          </w:rPr>
          <w:t>10.21608/ajgh.2022.177155.1021</w:t>
        </w:r>
      </w:hyperlink>
      <w:r w:rsidRPr="00B812E2">
        <w:rPr>
          <w:rFonts w:ascii="Times New Roman" w:eastAsia="Times New Roman" w:hAnsi="Times New Roman"/>
          <w:b/>
          <w:bCs/>
          <w:sz w:val="24"/>
          <w:szCs w:val="24"/>
          <w:lang w:bidi="ar-EG"/>
        </w:rPr>
        <w:t>.</w:t>
      </w:r>
    </w:p>
    <w:p w14:paraId="4CC81EBB" w14:textId="77777777"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 xml:space="preserve">Type of manuscript: </w:t>
      </w:r>
      <w:r w:rsidRPr="00B812E2">
        <w:rPr>
          <w:rFonts w:ascii="Times New Roman" w:eastAsia="Times New Roman" w:hAnsi="Times New Roman"/>
          <w:sz w:val="22"/>
          <w:szCs w:val="22"/>
          <w:lang w:bidi="ar-EG"/>
        </w:rPr>
        <w:t>original research.</w:t>
      </w:r>
    </w:p>
    <w:p w14:paraId="4007CCA2" w14:textId="0B92E9D4"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Date of submission:</w:t>
      </w:r>
      <w:r w:rsidRPr="00B812E2">
        <w:rPr>
          <w:rFonts w:ascii="Times New Roman" w:eastAsia="Times New Roman" w:hAnsi="Times New Roman"/>
          <w:sz w:val="22"/>
          <w:szCs w:val="22"/>
          <w:lang w:bidi="ar-EG"/>
        </w:rPr>
        <w:t xml:space="preserve"> 2</w:t>
      </w:r>
      <w:r w:rsidR="00FA4018">
        <w:rPr>
          <w:rFonts w:ascii="Times New Roman" w:eastAsia="Times New Roman" w:hAnsi="Times New Roman"/>
          <w:sz w:val="22"/>
          <w:szCs w:val="22"/>
          <w:lang w:bidi="ar-EG"/>
        </w:rPr>
        <w:t>7</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November-2022</w:t>
      </w:r>
      <w:r w:rsidRPr="00B812E2">
        <w:rPr>
          <w:rFonts w:ascii="Times New Roman" w:eastAsia="Times New Roman" w:hAnsi="Times New Roman"/>
          <w:sz w:val="22"/>
          <w:szCs w:val="22"/>
          <w:lang w:bidi="ar-EG"/>
        </w:rPr>
        <w:t>.</w:t>
      </w:r>
    </w:p>
    <w:p w14:paraId="06424131" w14:textId="1802C913" w:rsidR="00B812E2" w:rsidRPr="00B812E2" w:rsidRDefault="00B812E2" w:rsidP="00B812E2">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Revised:</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 xml:space="preserve">09 </w:t>
      </w:r>
      <w:bookmarkStart w:id="0" w:name="_Hlk122285896"/>
      <w:r w:rsidR="00FA4018">
        <w:rPr>
          <w:rFonts w:ascii="Times New Roman" w:eastAsia="Times New Roman" w:hAnsi="Times New Roman"/>
          <w:sz w:val="22"/>
          <w:szCs w:val="22"/>
          <w:lang w:bidi="ar-EG"/>
        </w:rPr>
        <w:t>December</w:t>
      </w:r>
      <w:bookmarkEnd w:id="0"/>
      <w:r w:rsidR="00FA4018">
        <w:rPr>
          <w:rFonts w:ascii="Times New Roman" w:eastAsia="Times New Roman" w:hAnsi="Times New Roman"/>
          <w:sz w:val="22"/>
          <w:szCs w:val="22"/>
          <w:lang w:bidi="ar-EG"/>
        </w:rPr>
        <w:t xml:space="preserve"> 2022</w:t>
      </w:r>
      <w:r w:rsidRPr="00B812E2">
        <w:rPr>
          <w:rFonts w:ascii="Times New Roman" w:eastAsia="Times New Roman" w:hAnsi="Times New Roman"/>
          <w:sz w:val="22"/>
          <w:szCs w:val="22"/>
          <w:lang w:bidi="ar-EG"/>
        </w:rPr>
        <w:t>.</w:t>
      </w:r>
    </w:p>
    <w:p w14:paraId="36CB9C37" w14:textId="5B085F1E" w:rsidR="00B812E2" w:rsidRPr="00B812E2" w:rsidRDefault="00B812E2" w:rsidP="00FA4018">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Accepted:</w:t>
      </w:r>
      <w:r w:rsidRPr="00B812E2">
        <w:rPr>
          <w:rFonts w:ascii="Times New Roman" w:eastAsia="Times New Roman" w:hAnsi="Times New Roman"/>
          <w:sz w:val="22"/>
          <w:szCs w:val="22"/>
          <w:lang w:bidi="ar-EG"/>
        </w:rPr>
        <w:t xml:space="preserve"> </w:t>
      </w:r>
      <w:r w:rsidR="00FA4018">
        <w:rPr>
          <w:rFonts w:ascii="Times New Roman" w:eastAsia="Times New Roman" w:hAnsi="Times New Roman"/>
          <w:sz w:val="22"/>
          <w:szCs w:val="22"/>
          <w:lang w:bidi="ar-EG"/>
        </w:rPr>
        <w:t>11</w:t>
      </w:r>
      <w:r w:rsidRPr="00B812E2">
        <w:rPr>
          <w:rFonts w:ascii="Times New Roman" w:eastAsia="Times New Roman" w:hAnsi="Times New Roman"/>
          <w:sz w:val="22"/>
          <w:szCs w:val="22"/>
          <w:lang w:bidi="ar-EG"/>
        </w:rPr>
        <w:t>-</w:t>
      </w:r>
      <w:r w:rsidR="00FA4018" w:rsidRPr="00FA4018">
        <w:rPr>
          <w:rFonts w:ascii="Times New Roman" w:eastAsia="Times New Roman" w:hAnsi="Times New Roman"/>
          <w:sz w:val="22"/>
          <w:szCs w:val="22"/>
          <w:lang w:bidi="ar-EG"/>
        </w:rPr>
        <w:t xml:space="preserve"> </w:t>
      </w:r>
      <w:r w:rsidR="00FA4018" w:rsidRPr="00FA4018">
        <w:rPr>
          <w:rFonts w:ascii="Times New Roman" w:eastAsia="Times New Roman" w:hAnsi="Times New Roman"/>
          <w:sz w:val="22"/>
          <w:szCs w:val="22"/>
          <w:lang w:bidi="ar-EG"/>
        </w:rPr>
        <w:t>December</w:t>
      </w:r>
      <w:r w:rsidR="00FA4018" w:rsidRPr="00FA4018">
        <w:rPr>
          <w:rFonts w:ascii="Times New Roman" w:eastAsia="Times New Roman" w:hAnsi="Times New Roman"/>
          <w:sz w:val="22"/>
          <w:szCs w:val="22"/>
          <w:lang w:bidi="ar-EG"/>
        </w:rPr>
        <w:t xml:space="preserve"> </w:t>
      </w:r>
      <w:r w:rsidRPr="00B812E2">
        <w:rPr>
          <w:rFonts w:ascii="Times New Roman" w:eastAsia="Times New Roman" w:hAnsi="Times New Roman"/>
          <w:sz w:val="22"/>
          <w:szCs w:val="22"/>
          <w:lang w:bidi="ar-EG"/>
        </w:rPr>
        <w:t>-2022.</w:t>
      </w:r>
    </w:p>
    <w:p w14:paraId="3C34B249" w14:textId="502B26E7" w:rsidR="00B812E2" w:rsidRPr="00B812E2" w:rsidRDefault="00B812E2" w:rsidP="00FA4018">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 xml:space="preserve">First online: </w:t>
      </w:r>
      <w:r w:rsidR="00FA4018">
        <w:rPr>
          <w:rFonts w:ascii="Times New Roman" w:eastAsia="Times New Roman" w:hAnsi="Times New Roman"/>
          <w:sz w:val="22"/>
          <w:szCs w:val="22"/>
          <w:lang w:bidi="ar-EG"/>
        </w:rPr>
        <w:t>1</w:t>
      </w:r>
      <w:r w:rsidRPr="00B812E2">
        <w:rPr>
          <w:rFonts w:ascii="Times New Roman" w:eastAsia="Times New Roman" w:hAnsi="Times New Roman"/>
          <w:sz w:val="22"/>
          <w:szCs w:val="22"/>
          <w:lang w:bidi="ar-EG"/>
        </w:rPr>
        <w:t>8-</w:t>
      </w:r>
      <w:r w:rsidR="00FA4018" w:rsidRPr="00FA4018">
        <w:rPr>
          <w:rFonts w:ascii="Times New Roman" w:eastAsia="Times New Roman" w:hAnsi="Times New Roman"/>
          <w:sz w:val="22"/>
          <w:szCs w:val="22"/>
          <w:lang w:bidi="ar-EG"/>
        </w:rPr>
        <w:t xml:space="preserve"> </w:t>
      </w:r>
      <w:r w:rsidR="00FA4018" w:rsidRPr="00FA4018">
        <w:rPr>
          <w:rFonts w:ascii="Times New Roman" w:eastAsia="Times New Roman" w:hAnsi="Times New Roman"/>
          <w:sz w:val="22"/>
          <w:szCs w:val="22"/>
          <w:lang w:bidi="ar-EG"/>
        </w:rPr>
        <w:t>December</w:t>
      </w:r>
      <w:r w:rsidR="00FA4018" w:rsidRPr="00FA4018">
        <w:rPr>
          <w:rFonts w:ascii="Times New Roman" w:eastAsia="Times New Roman" w:hAnsi="Times New Roman"/>
          <w:sz w:val="22"/>
          <w:szCs w:val="22"/>
          <w:lang w:bidi="ar-EG"/>
        </w:rPr>
        <w:t xml:space="preserve"> </w:t>
      </w:r>
      <w:r w:rsidRPr="00B812E2">
        <w:rPr>
          <w:rFonts w:ascii="Times New Roman" w:eastAsia="Times New Roman" w:hAnsi="Times New Roman"/>
          <w:sz w:val="22"/>
          <w:szCs w:val="22"/>
          <w:lang w:bidi="ar-EG"/>
        </w:rPr>
        <w:t>-2022.</w:t>
      </w:r>
    </w:p>
    <w:p w14:paraId="26249C50" w14:textId="77777777" w:rsidR="00B812E2" w:rsidRDefault="00B812E2" w:rsidP="00082EB7">
      <w:pPr>
        <w:pStyle w:val="NoSpacing"/>
        <w:jc w:val="both"/>
      </w:pPr>
    </w:p>
    <w:p w14:paraId="362B7588" w14:textId="77777777" w:rsidR="008F68AC" w:rsidRDefault="008F68AC" w:rsidP="00082EB7">
      <w:pPr>
        <w:pStyle w:val="NoSpacing"/>
        <w:jc w:val="both"/>
        <w:sectPr w:rsidR="008F68AC" w:rsidSect="00B812E2">
          <w:headerReference w:type="default" r:id="rId10"/>
          <w:footerReference w:type="default" r:id="rId11"/>
          <w:pgSz w:w="12240" w:h="15840"/>
          <w:pgMar w:top="1440" w:right="1800" w:bottom="1440" w:left="1800" w:header="708" w:footer="708" w:gutter="0"/>
          <w:pgNumType w:start="5"/>
          <w:cols w:space="708"/>
          <w:docGrid w:linePitch="360"/>
        </w:sectPr>
      </w:pPr>
    </w:p>
    <w:p w14:paraId="2B3E2EFF" w14:textId="37DAC0C0" w:rsidR="004C64DC" w:rsidRPr="00761549" w:rsidRDefault="004C64DC" w:rsidP="00082EB7">
      <w:pPr>
        <w:pStyle w:val="NoSpacing"/>
        <w:jc w:val="both"/>
        <w:rPr>
          <w:b/>
          <w:bCs/>
          <w:sz w:val="24"/>
          <w:szCs w:val="24"/>
        </w:rPr>
      </w:pPr>
      <w:r w:rsidRPr="00761549">
        <w:rPr>
          <w:b/>
          <w:bCs/>
          <w:sz w:val="24"/>
          <w:szCs w:val="24"/>
        </w:rPr>
        <w:lastRenderedPageBreak/>
        <w:t>Abstract:</w:t>
      </w:r>
    </w:p>
    <w:p w14:paraId="0B9DB399" w14:textId="77777777" w:rsidR="004C64DC" w:rsidRPr="00761549" w:rsidRDefault="004C64DC" w:rsidP="00082EB7">
      <w:pPr>
        <w:pStyle w:val="NoSpacing"/>
        <w:jc w:val="both"/>
        <w:rPr>
          <w:rStyle w:val="fontstyle01"/>
          <w:rFonts w:asciiTheme="majorHAnsi" w:hAnsiTheme="majorHAnsi"/>
          <w:b/>
          <w:bCs/>
          <w:color w:val="auto"/>
          <w:sz w:val="24"/>
          <w:szCs w:val="24"/>
        </w:rPr>
      </w:pPr>
      <w:r w:rsidRPr="00761549">
        <w:rPr>
          <w:b/>
          <w:bCs/>
          <w:sz w:val="24"/>
          <w:szCs w:val="24"/>
        </w:rPr>
        <w:t>Background:</w:t>
      </w:r>
    </w:p>
    <w:p w14:paraId="3BFFA895" w14:textId="438E1498" w:rsidR="004C64DC" w:rsidRPr="001020E4" w:rsidRDefault="004C64DC" w:rsidP="00E26957">
      <w:pPr>
        <w:pStyle w:val="NoSpacing"/>
        <w:jc w:val="both"/>
        <w:rPr>
          <w:rStyle w:val="fontstyle01"/>
          <w:rFonts w:asciiTheme="minorHAnsi" w:hAnsiTheme="minorHAnsi" w:cstheme="minorHAnsi"/>
          <w:color w:val="auto"/>
          <w:sz w:val="24"/>
          <w:szCs w:val="24"/>
        </w:rPr>
      </w:pPr>
      <w:r w:rsidRPr="001020E4">
        <w:rPr>
          <w:rStyle w:val="fontstyle01"/>
          <w:rFonts w:asciiTheme="minorHAnsi" w:hAnsiTheme="minorHAnsi" w:cstheme="minorHAnsi"/>
          <w:color w:val="auto"/>
          <w:sz w:val="24"/>
          <w:szCs w:val="24"/>
        </w:rPr>
        <w:t xml:space="preserve">Direct Anti Hepatitis C Viral Agents (DAAs) </w:t>
      </w:r>
      <w:r w:rsidR="005F300B" w:rsidRPr="001020E4">
        <w:rPr>
          <w:rStyle w:val="fontstyle01"/>
          <w:rFonts w:asciiTheme="minorHAnsi" w:hAnsiTheme="minorHAnsi" w:cstheme="minorHAnsi"/>
          <w:color w:val="auto"/>
          <w:sz w:val="24"/>
          <w:szCs w:val="24"/>
        </w:rPr>
        <w:t>were</w:t>
      </w:r>
      <w:r w:rsidRPr="001020E4">
        <w:rPr>
          <w:rStyle w:val="fontstyle01"/>
          <w:rFonts w:asciiTheme="minorHAnsi" w:hAnsiTheme="minorHAnsi" w:cstheme="minorHAnsi"/>
          <w:color w:val="auto"/>
          <w:sz w:val="24"/>
          <w:szCs w:val="24"/>
        </w:rPr>
        <w:t xml:space="preserve"> introduced for </w:t>
      </w:r>
      <w:r w:rsidR="00E26957" w:rsidRPr="001020E4">
        <w:rPr>
          <w:rStyle w:val="fontstyle01"/>
          <w:rFonts w:asciiTheme="minorHAnsi" w:hAnsiTheme="minorHAnsi" w:cstheme="minorHAnsi"/>
          <w:color w:val="auto"/>
          <w:sz w:val="24"/>
          <w:szCs w:val="24"/>
        </w:rPr>
        <w:t>Hepatitis C Virus (HCV) infection</w:t>
      </w:r>
      <w:r w:rsidRPr="001020E4">
        <w:rPr>
          <w:rStyle w:val="fontstyle01"/>
          <w:rFonts w:asciiTheme="minorHAnsi" w:hAnsiTheme="minorHAnsi" w:cstheme="minorHAnsi"/>
          <w:color w:val="auto"/>
          <w:sz w:val="24"/>
          <w:szCs w:val="24"/>
        </w:rPr>
        <w:t xml:space="preserve"> management, which resulted in high </w:t>
      </w:r>
      <w:r w:rsidR="00E26957" w:rsidRPr="001020E4">
        <w:rPr>
          <w:rStyle w:val="fontstyle01"/>
          <w:rFonts w:asciiTheme="minorHAnsi" w:hAnsiTheme="minorHAnsi" w:cstheme="minorHAnsi"/>
          <w:color w:val="auto"/>
          <w:sz w:val="24"/>
          <w:szCs w:val="24"/>
        </w:rPr>
        <w:t xml:space="preserve">sustained virological response (SVR) </w:t>
      </w:r>
      <w:r w:rsidRPr="001020E4">
        <w:rPr>
          <w:rStyle w:val="fontstyle01"/>
          <w:rFonts w:asciiTheme="minorHAnsi" w:hAnsiTheme="minorHAnsi" w:cstheme="minorHAnsi"/>
          <w:color w:val="auto"/>
          <w:sz w:val="24"/>
          <w:szCs w:val="24"/>
        </w:rPr>
        <w:t xml:space="preserve">in many countries and </w:t>
      </w:r>
      <w:r w:rsidR="005F300B" w:rsidRPr="001020E4">
        <w:rPr>
          <w:rStyle w:val="fontstyle01"/>
          <w:rFonts w:asciiTheme="minorHAnsi" w:hAnsiTheme="minorHAnsi" w:cstheme="minorHAnsi"/>
          <w:color w:val="auto"/>
          <w:sz w:val="24"/>
          <w:szCs w:val="24"/>
        </w:rPr>
        <w:t xml:space="preserve">a </w:t>
      </w:r>
      <w:r w:rsidRPr="001020E4">
        <w:rPr>
          <w:rStyle w:val="fontstyle01"/>
          <w:rFonts w:asciiTheme="minorHAnsi" w:hAnsiTheme="minorHAnsi" w:cstheme="minorHAnsi"/>
          <w:color w:val="auto"/>
          <w:sz w:val="24"/>
          <w:szCs w:val="24"/>
        </w:rPr>
        <w:t xml:space="preserve">low failure rate. </w:t>
      </w:r>
      <w:r w:rsidR="00E26957" w:rsidRPr="001020E4">
        <w:rPr>
          <w:rStyle w:val="fontstyle01"/>
          <w:rFonts w:asciiTheme="minorHAnsi" w:hAnsiTheme="minorHAnsi" w:cstheme="minorHAnsi"/>
          <w:color w:val="auto"/>
          <w:sz w:val="24"/>
          <w:szCs w:val="24"/>
        </w:rPr>
        <w:t>H</w:t>
      </w:r>
      <w:r w:rsidR="009C5250" w:rsidRPr="001020E4">
        <w:rPr>
          <w:rStyle w:val="fontstyle01"/>
          <w:rFonts w:asciiTheme="minorHAnsi" w:hAnsiTheme="minorHAnsi" w:cstheme="minorHAnsi"/>
          <w:color w:val="auto"/>
          <w:sz w:val="24"/>
          <w:szCs w:val="24"/>
        </w:rPr>
        <w:t>owever, h</w:t>
      </w:r>
      <w:r w:rsidR="00E26957" w:rsidRPr="001020E4">
        <w:rPr>
          <w:rStyle w:val="fontstyle01"/>
          <w:rFonts w:asciiTheme="minorHAnsi" w:hAnsiTheme="minorHAnsi" w:cstheme="minorHAnsi"/>
          <w:color w:val="auto"/>
          <w:sz w:val="24"/>
          <w:szCs w:val="24"/>
        </w:rPr>
        <w:t>epatocellular carcinoma (</w:t>
      </w:r>
      <w:r w:rsidRPr="001020E4">
        <w:rPr>
          <w:rStyle w:val="fontstyle01"/>
          <w:rFonts w:asciiTheme="minorHAnsi" w:hAnsiTheme="minorHAnsi" w:cstheme="minorHAnsi"/>
          <w:color w:val="auto"/>
          <w:sz w:val="24"/>
          <w:szCs w:val="24"/>
        </w:rPr>
        <w:t>HCC</w:t>
      </w:r>
      <w:r w:rsidR="00E26957"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post DAAs therapy is controversial; few studies related aggressive pattern</w:t>
      </w:r>
      <w:r w:rsidRPr="001020E4">
        <w:rPr>
          <w:rFonts w:asciiTheme="minorHAnsi" w:hAnsiTheme="minorHAnsi" w:cstheme="minorHAnsi"/>
          <w:sz w:val="24"/>
          <w:szCs w:val="24"/>
        </w:rPr>
        <w:t xml:space="preserve"> </w:t>
      </w:r>
      <w:r w:rsidRPr="001020E4">
        <w:rPr>
          <w:rStyle w:val="fontstyle01"/>
          <w:rFonts w:asciiTheme="minorHAnsi" w:hAnsiTheme="minorHAnsi" w:cstheme="minorHAnsi"/>
          <w:color w:val="auto"/>
          <w:sz w:val="24"/>
          <w:szCs w:val="24"/>
        </w:rPr>
        <w:t>HCC to</w:t>
      </w:r>
      <w:r w:rsidRPr="001020E4">
        <w:rPr>
          <w:rFonts w:asciiTheme="minorHAnsi" w:hAnsiTheme="minorHAnsi" w:cstheme="minorHAnsi"/>
          <w:sz w:val="24"/>
          <w:szCs w:val="24"/>
        </w:rPr>
        <w:t xml:space="preserve"> </w:t>
      </w:r>
      <w:r w:rsidRPr="001020E4">
        <w:rPr>
          <w:rStyle w:val="fontstyle01"/>
          <w:rFonts w:asciiTheme="minorHAnsi" w:hAnsiTheme="minorHAnsi" w:cstheme="minorHAnsi"/>
          <w:color w:val="auto"/>
          <w:sz w:val="24"/>
          <w:szCs w:val="24"/>
        </w:rPr>
        <w:t>DAAs.</w:t>
      </w:r>
      <w:r w:rsidRPr="001020E4">
        <w:rPr>
          <w:rFonts w:asciiTheme="minorHAnsi" w:hAnsiTheme="minorHAnsi" w:cstheme="minorHAnsi"/>
          <w:sz w:val="24"/>
          <w:szCs w:val="24"/>
        </w:rPr>
        <w:t xml:space="preserve"> </w:t>
      </w:r>
      <w:r w:rsidR="009C5250" w:rsidRPr="001020E4">
        <w:rPr>
          <w:rStyle w:val="fontstyle01"/>
          <w:rFonts w:asciiTheme="minorHAnsi" w:hAnsiTheme="minorHAnsi" w:cstheme="minorHAnsi"/>
          <w:color w:val="auto"/>
          <w:sz w:val="24"/>
          <w:szCs w:val="24"/>
        </w:rPr>
        <w:t>Therefore, w</w:t>
      </w:r>
      <w:r w:rsidRPr="001020E4">
        <w:rPr>
          <w:rStyle w:val="fontstyle01"/>
          <w:rFonts w:asciiTheme="minorHAnsi" w:hAnsiTheme="minorHAnsi" w:cstheme="minorHAnsi"/>
          <w:color w:val="auto"/>
          <w:sz w:val="24"/>
          <w:szCs w:val="24"/>
        </w:rPr>
        <w:t xml:space="preserve">e aimed to study the hepatocellular carcinoma relation to direct </w:t>
      </w:r>
      <w:r w:rsidR="005F300B" w:rsidRPr="001020E4">
        <w:rPr>
          <w:rStyle w:val="fontstyle01"/>
          <w:rFonts w:asciiTheme="minorHAnsi" w:hAnsiTheme="minorHAnsi" w:cstheme="minorHAnsi"/>
          <w:color w:val="auto"/>
          <w:sz w:val="24"/>
          <w:szCs w:val="24"/>
        </w:rPr>
        <w:t>anti-hepatitis</w:t>
      </w:r>
      <w:r w:rsidRPr="001020E4">
        <w:rPr>
          <w:rStyle w:val="fontstyle01"/>
          <w:rFonts w:asciiTheme="minorHAnsi" w:hAnsiTheme="minorHAnsi" w:cstheme="minorHAnsi"/>
          <w:color w:val="auto"/>
          <w:sz w:val="24"/>
          <w:szCs w:val="24"/>
        </w:rPr>
        <w:t xml:space="preserve"> C viral drugs.</w:t>
      </w:r>
    </w:p>
    <w:p w14:paraId="59F33837" w14:textId="6DA996B6" w:rsidR="00AB0EC6" w:rsidRPr="001020E4" w:rsidRDefault="004C64DC" w:rsidP="00AB0EC6">
      <w:pPr>
        <w:pStyle w:val="NoSpacing"/>
        <w:jc w:val="both"/>
        <w:rPr>
          <w:rFonts w:asciiTheme="minorHAnsi" w:hAnsiTheme="minorHAnsi" w:cstheme="minorHAnsi"/>
          <w:sz w:val="24"/>
          <w:szCs w:val="24"/>
        </w:rPr>
      </w:pPr>
      <w:r w:rsidRPr="001020E4">
        <w:rPr>
          <w:rFonts w:asciiTheme="minorHAnsi" w:hAnsiTheme="minorHAnsi" w:cstheme="minorHAnsi"/>
          <w:sz w:val="24"/>
          <w:szCs w:val="24"/>
        </w:rPr>
        <w:t xml:space="preserve">Patients and Methods: This observational case-control study included 67 adult </w:t>
      </w:r>
      <w:r w:rsidR="005F300B" w:rsidRPr="001020E4">
        <w:rPr>
          <w:rFonts w:asciiTheme="minorHAnsi" w:hAnsiTheme="minorHAnsi" w:cstheme="minorHAnsi"/>
          <w:sz w:val="24"/>
          <w:szCs w:val="24"/>
        </w:rPr>
        <w:t>Egyptian</w:t>
      </w:r>
      <w:r w:rsidRPr="001020E4">
        <w:rPr>
          <w:rFonts w:asciiTheme="minorHAnsi" w:hAnsiTheme="minorHAnsi" w:cstheme="minorHAnsi"/>
          <w:sz w:val="24"/>
          <w:szCs w:val="24"/>
        </w:rPr>
        <w:t xml:space="preserve"> HCC patients associated </w:t>
      </w:r>
      <w:r w:rsidR="005F300B" w:rsidRPr="001020E4">
        <w:rPr>
          <w:rFonts w:asciiTheme="minorHAnsi" w:hAnsiTheme="minorHAnsi" w:cstheme="minorHAnsi"/>
          <w:sz w:val="24"/>
          <w:szCs w:val="24"/>
        </w:rPr>
        <w:t xml:space="preserve">with </w:t>
      </w:r>
      <w:r w:rsidRPr="001020E4">
        <w:rPr>
          <w:rFonts w:asciiTheme="minorHAnsi" w:hAnsiTheme="minorHAnsi" w:cstheme="minorHAnsi"/>
          <w:sz w:val="24"/>
          <w:szCs w:val="24"/>
        </w:rPr>
        <w:t>HCV diagnosed at the Zagazig University Hospitals, who were divided into two groups according to DAAs treatment.</w:t>
      </w:r>
    </w:p>
    <w:p w14:paraId="62C078E2" w14:textId="77777777" w:rsidR="00AB0EC6" w:rsidRPr="00761549" w:rsidRDefault="004C64DC" w:rsidP="00AB0EC6">
      <w:pPr>
        <w:pStyle w:val="NoSpacing"/>
        <w:jc w:val="both"/>
        <w:rPr>
          <w:b/>
          <w:bCs/>
          <w:sz w:val="24"/>
          <w:szCs w:val="24"/>
        </w:rPr>
      </w:pPr>
      <w:r w:rsidRPr="00761549">
        <w:rPr>
          <w:b/>
          <w:bCs/>
          <w:sz w:val="24"/>
          <w:szCs w:val="24"/>
        </w:rPr>
        <w:t>Results:</w:t>
      </w:r>
      <w:r w:rsidR="00AB0EC6" w:rsidRPr="00761549">
        <w:rPr>
          <w:b/>
          <w:bCs/>
          <w:sz w:val="24"/>
          <w:szCs w:val="24"/>
        </w:rPr>
        <w:t xml:space="preserve"> </w:t>
      </w:r>
    </w:p>
    <w:p w14:paraId="0CEA6D51" w14:textId="038C1C33" w:rsidR="004C64DC" w:rsidRPr="001020E4" w:rsidRDefault="004C64DC" w:rsidP="00834507">
      <w:pPr>
        <w:pStyle w:val="NoSpacing"/>
        <w:jc w:val="both"/>
        <w:rPr>
          <w:rStyle w:val="fontstyle01"/>
          <w:rFonts w:asciiTheme="minorHAnsi" w:hAnsiTheme="minorHAnsi" w:cstheme="minorHAnsi"/>
          <w:color w:val="auto"/>
          <w:sz w:val="24"/>
          <w:szCs w:val="24"/>
        </w:rPr>
      </w:pPr>
      <w:r w:rsidRPr="001020E4">
        <w:rPr>
          <w:rStyle w:val="fontstyle01"/>
          <w:rFonts w:asciiTheme="minorHAnsi" w:hAnsiTheme="minorHAnsi" w:cstheme="minorHAnsi"/>
          <w:color w:val="auto"/>
          <w:sz w:val="24"/>
          <w:szCs w:val="24"/>
        </w:rPr>
        <w:t>HCC is more common in male patients (77.6%)</w:t>
      </w:r>
      <w:r w:rsidR="00834507" w:rsidRPr="001020E4">
        <w:rPr>
          <w:rStyle w:val="fontstyle01"/>
          <w:rFonts w:asciiTheme="minorHAnsi" w:hAnsiTheme="minorHAnsi" w:cstheme="minorHAnsi"/>
          <w:color w:val="auto"/>
          <w:sz w:val="24"/>
          <w:szCs w:val="24"/>
        </w:rPr>
        <w:t xml:space="preserve"> of all studied cases</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and those </w:t>
      </w:r>
      <w:r w:rsidR="005F300B" w:rsidRPr="001020E4">
        <w:rPr>
          <w:rStyle w:val="fontstyle01"/>
          <w:rFonts w:asciiTheme="minorHAnsi" w:hAnsiTheme="minorHAnsi" w:cstheme="minorHAnsi"/>
          <w:color w:val="auto"/>
          <w:sz w:val="24"/>
          <w:szCs w:val="24"/>
        </w:rPr>
        <w:t xml:space="preserve">are </w:t>
      </w:r>
      <w:r w:rsidRPr="001020E4">
        <w:rPr>
          <w:rStyle w:val="fontstyle01"/>
          <w:rFonts w:asciiTheme="minorHAnsi" w:hAnsiTheme="minorHAnsi" w:cstheme="minorHAnsi"/>
          <w:color w:val="auto"/>
          <w:sz w:val="24"/>
          <w:szCs w:val="24"/>
        </w:rPr>
        <w:t xml:space="preserve">treated by DAAs (62.7%). The median age of HCC post DAA was 63(48-83), while 58 (45-75) in HCC patients without DAA, with no significant difference p= 0.053. HCC presented in </w:t>
      </w:r>
      <w:r w:rsidR="00082EB7" w:rsidRPr="001020E4">
        <w:rPr>
          <w:rStyle w:val="fontstyle01"/>
          <w:rFonts w:asciiTheme="minorHAnsi" w:hAnsiTheme="minorHAnsi" w:cstheme="minorHAnsi"/>
          <w:color w:val="auto"/>
          <w:sz w:val="24"/>
          <w:szCs w:val="24"/>
        </w:rPr>
        <w:t xml:space="preserve">the </w:t>
      </w:r>
      <w:r w:rsidR="005F300B" w:rsidRPr="001020E4">
        <w:rPr>
          <w:rStyle w:val="fontstyle01"/>
          <w:rFonts w:asciiTheme="minorHAnsi" w:hAnsiTheme="minorHAnsi" w:cstheme="minorHAnsi"/>
          <w:color w:val="auto"/>
          <w:sz w:val="24"/>
          <w:szCs w:val="24"/>
        </w:rPr>
        <w:t>non-DAAs</w:t>
      </w:r>
      <w:r w:rsidR="00082EB7" w:rsidRPr="001020E4">
        <w:rPr>
          <w:rStyle w:val="fontstyle01"/>
          <w:rFonts w:asciiTheme="minorHAnsi" w:hAnsiTheme="minorHAnsi" w:cstheme="minorHAnsi"/>
          <w:color w:val="auto"/>
          <w:sz w:val="24"/>
          <w:szCs w:val="24"/>
        </w:rPr>
        <w:t xml:space="preserve"> treated</w:t>
      </w:r>
      <w:r w:rsidRPr="001020E4">
        <w:rPr>
          <w:rStyle w:val="fontstyle01"/>
          <w:rFonts w:asciiTheme="minorHAnsi" w:hAnsiTheme="minorHAnsi" w:cstheme="minorHAnsi"/>
          <w:color w:val="auto"/>
          <w:sz w:val="24"/>
          <w:szCs w:val="24"/>
        </w:rPr>
        <w:t xml:space="preserve"> group</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mainly decompensating </w:t>
      </w:r>
      <w:r w:rsidR="00834507" w:rsidRPr="001020E4">
        <w:rPr>
          <w:rStyle w:val="fontstyle01"/>
          <w:rFonts w:asciiTheme="minorHAnsi" w:hAnsiTheme="minorHAnsi" w:cstheme="minorHAnsi"/>
          <w:color w:val="auto"/>
          <w:sz w:val="24"/>
          <w:szCs w:val="24"/>
        </w:rPr>
        <w:t>by</w:t>
      </w:r>
      <w:r w:rsidRPr="001020E4">
        <w:rPr>
          <w:rStyle w:val="fontstyle01"/>
          <w:rFonts w:asciiTheme="minorHAnsi" w:hAnsiTheme="minorHAnsi" w:cstheme="minorHAnsi"/>
          <w:color w:val="auto"/>
          <w:sz w:val="24"/>
          <w:szCs w:val="24"/>
        </w:rPr>
        <w:t xml:space="preserve"> hematemesis (HM) (32%)</w:t>
      </w:r>
      <w:r w:rsidR="009C5250"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w:t>
      </w:r>
      <w:r w:rsidR="009C5250" w:rsidRPr="001020E4">
        <w:rPr>
          <w:rStyle w:val="fontstyle01"/>
          <w:rFonts w:asciiTheme="minorHAnsi" w:hAnsiTheme="minorHAnsi" w:cstheme="minorHAnsi"/>
          <w:color w:val="auto"/>
          <w:sz w:val="24"/>
          <w:szCs w:val="24"/>
        </w:rPr>
        <w:t>W</w:t>
      </w:r>
      <w:r w:rsidRPr="001020E4">
        <w:rPr>
          <w:rStyle w:val="fontstyle01"/>
          <w:rFonts w:asciiTheme="minorHAnsi" w:hAnsiTheme="minorHAnsi" w:cstheme="minorHAnsi"/>
          <w:color w:val="auto"/>
          <w:sz w:val="24"/>
          <w:szCs w:val="24"/>
        </w:rPr>
        <w:t xml:space="preserve">hile in </w:t>
      </w:r>
      <w:r w:rsidR="005F300B" w:rsidRPr="001020E4">
        <w:rPr>
          <w:rStyle w:val="fontstyle01"/>
          <w:rFonts w:asciiTheme="minorHAnsi" w:hAnsiTheme="minorHAnsi" w:cstheme="minorHAnsi"/>
          <w:color w:val="auto"/>
          <w:sz w:val="24"/>
          <w:szCs w:val="24"/>
        </w:rPr>
        <w:t>the post-DAAs</w:t>
      </w:r>
      <w:r w:rsidRPr="001020E4">
        <w:rPr>
          <w:rStyle w:val="fontstyle01"/>
          <w:rFonts w:asciiTheme="minorHAnsi" w:hAnsiTheme="minorHAnsi" w:cstheme="minorHAnsi"/>
          <w:color w:val="auto"/>
          <w:sz w:val="24"/>
          <w:szCs w:val="24"/>
        </w:rPr>
        <w:t xml:space="preserve"> group, HCC </w:t>
      </w:r>
      <w:r w:rsidR="005F300B" w:rsidRPr="001020E4">
        <w:rPr>
          <w:rStyle w:val="fontstyle01"/>
          <w:rFonts w:asciiTheme="minorHAnsi" w:hAnsiTheme="minorHAnsi" w:cstheme="minorHAnsi"/>
          <w:color w:val="auto"/>
          <w:sz w:val="24"/>
          <w:szCs w:val="24"/>
        </w:rPr>
        <w:t xml:space="preserve">was </w:t>
      </w:r>
      <w:r w:rsidRPr="001020E4">
        <w:rPr>
          <w:rStyle w:val="fontstyle01"/>
          <w:rFonts w:asciiTheme="minorHAnsi" w:hAnsiTheme="minorHAnsi" w:cstheme="minorHAnsi"/>
          <w:color w:val="auto"/>
          <w:sz w:val="24"/>
          <w:szCs w:val="24"/>
        </w:rPr>
        <w:t>significant</w:t>
      </w:r>
      <w:r w:rsidR="00082EB7" w:rsidRPr="001020E4">
        <w:rPr>
          <w:rStyle w:val="fontstyle01"/>
          <w:rFonts w:asciiTheme="minorHAnsi" w:hAnsiTheme="minorHAnsi" w:cstheme="minorHAnsi"/>
          <w:color w:val="auto"/>
          <w:sz w:val="24"/>
          <w:szCs w:val="24"/>
        </w:rPr>
        <w:t>ly</w:t>
      </w:r>
      <w:r w:rsidRPr="001020E4">
        <w:rPr>
          <w:rStyle w:val="fontstyle01"/>
          <w:rFonts w:asciiTheme="minorHAnsi" w:hAnsiTheme="minorHAnsi" w:cstheme="minorHAnsi"/>
          <w:color w:val="auto"/>
          <w:sz w:val="24"/>
          <w:szCs w:val="24"/>
        </w:rPr>
        <w:t xml:space="preserve"> diagnosed mainly by abdominal pain </w:t>
      </w:r>
      <w:r w:rsidR="009C5250" w:rsidRPr="001020E4">
        <w:rPr>
          <w:rStyle w:val="fontstyle01"/>
          <w:rFonts w:asciiTheme="minorHAnsi" w:hAnsiTheme="minorHAnsi" w:cstheme="minorHAnsi"/>
          <w:color w:val="auto"/>
          <w:sz w:val="24"/>
          <w:szCs w:val="24"/>
        </w:rPr>
        <w:t xml:space="preserve">at </w:t>
      </w:r>
      <w:r w:rsidRPr="001020E4">
        <w:rPr>
          <w:rStyle w:val="fontstyle01"/>
          <w:rFonts w:asciiTheme="minorHAnsi" w:hAnsiTheme="minorHAnsi" w:cstheme="minorHAnsi"/>
          <w:color w:val="auto"/>
          <w:sz w:val="24"/>
          <w:szCs w:val="24"/>
        </w:rPr>
        <w:t xml:space="preserve">31%. There is </w:t>
      </w:r>
      <w:r w:rsidR="00082EB7" w:rsidRPr="001020E4">
        <w:rPr>
          <w:rStyle w:val="fontstyle01"/>
          <w:rFonts w:asciiTheme="minorHAnsi" w:hAnsiTheme="minorHAnsi" w:cstheme="minorHAnsi"/>
          <w:color w:val="auto"/>
          <w:sz w:val="24"/>
          <w:szCs w:val="24"/>
        </w:rPr>
        <w:t xml:space="preserve">no significant </w:t>
      </w:r>
      <w:r w:rsidRPr="001020E4">
        <w:rPr>
          <w:rStyle w:val="fontstyle01"/>
          <w:rFonts w:asciiTheme="minorHAnsi" w:hAnsiTheme="minorHAnsi" w:cstheme="minorHAnsi"/>
          <w:color w:val="auto"/>
          <w:sz w:val="24"/>
          <w:szCs w:val="24"/>
        </w:rPr>
        <w:t>difference as regards the liver status with frequent liver cirrhosis in both groups</w:t>
      </w:r>
      <w:r w:rsidR="005F300B" w:rsidRPr="001020E4">
        <w:rPr>
          <w:rStyle w:val="fontstyle01"/>
          <w:rFonts w:asciiTheme="minorHAnsi" w:hAnsiTheme="minorHAnsi" w:cstheme="minorHAnsi"/>
          <w:color w:val="auto"/>
          <w:sz w:val="24"/>
          <w:szCs w:val="24"/>
        </w:rPr>
        <w:t>,</w:t>
      </w:r>
      <w:r w:rsidRPr="001020E4">
        <w:rPr>
          <w:rStyle w:val="fontstyle01"/>
          <w:rFonts w:asciiTheme="minorHAnsi" w:hAnsiTheme="minorHAnsi" w:cstheme="minorHAnsi"/>
          <w:color w:val="auto"/>
          <w:sz w:val="24"/>
          <w:szCs w:val="24"/>
        </w:rPr>
        <w:t xml:space="preserve"> 14(56%) and 32(76.2%). </w:t>
      </w:r>
      <w:r w:rsidR="005F300B" w:rsidRPr="001020E4">
        <w:rPr>
          <w:rStyle w:val="fontstyle01"/>
          <w:rFonts w:asciiTheme="minorHAnsi" w:hAnsiTheme="minorHAnsi" w:cstheme="minorHAnsi"/>
          <w:color w:val="auto"/>
          <w:sz w:val="24"/>
          <w:szCs w:val="24"/>
        </w:rPr>
        <w:t>Liver</w:t>
      </w:r>
      <w:r w:rsidRPr="001020E4">
        <w:rPr>
          <w:rStyle w:val="fontstyle01"/>
          <w:rFonts w:asciiTheme="minorHAnsi" w:hAnsiTheme="minorHAnsi" w:cstheme="minorHAnsi"/>
          <w:color w:val="auto"/>
          <w:sz w:val="24"/>
          <w:szCs w:val="24"/>
        </w:rPr>
        <w:t xml:space="preserve"> cirrhosis (</w:t>
      </w:r>
      <w:r w:rsidR="005F300B" w:rsidRPr="001020E4">
        <w:rPr>
          <w:rStyle w:val="fontstyle01"/>
          <w:rFonts w:asciiTheme="minorHAnsi" w:hAnsiTheme="minorHAnsi" w:cstheme="minorHAnsi"/>
          <w:color w:val="auto"/>
          <w:sz w:val="24"/>
          <w:szCs w:val="24"/>
        </w:rPr>
        <w:t>p-value</w:t>
      </w:r>
      <w:r w:rsidRPr="001020E4">
        <w:rPr>
          <w:rStyle w:val="fontstyle01"/>
          <w:rFonts w:asciiTheme="minorHAnsi" w:hAnsiTheme="minorHAnsi" w:cstheme="minorHAnsi"/>
          <w:color w:val="auto"/>
          <w:sz w:val="24"/>
          <w:szCs w:val="24"/>
        </w:rPr>
        <w:t xml:space="preserve"> 0.04) and advanced Child-Pugh classification (</w:t>
      </w:r>
      <w:r w:rsidR="005F300B" w:rsidRPr="001020E4">
        <w:rPr>
          <w:rStyle w:val="fontstyle01"/>
          <w:rFonts w:asciiTheme="minorHAnsi" w:hAnsiTheme="minorHAnsi" w:cstheme="minorHAnsi"/>
          <w:color w:val="auto"/>
          <w:sz w:val="24"/>
          <w:szCs w:val="24"/>
        </w:rPr>
        <w:t>p-value</w:t>
      </w:r>
      <w:r w:rsidRPr="001020E4">
        <w:rPr>
          <w:rStyle w:val="fontstyle01"/>
          <w:rFonts w:asciiTheme="minorHAnsi" w:hAnsiTheme="minorHAnsi" w:cstheme="minorHAnsi"/>
          <w:color w:val="auto"/>
          <w:sz w:val="24"/>
          <w:szCs w:val="24"/>
        </w:rPr>
        <w:t xml:space="preserve"> 0.009) are </w:t>
      </w:r>
      <w:r w:rsidR="005F300B" w:rsidRPr="001020E4">
        <w:rPr>
          <w:rStyle w:val="fontstyle01"/>
          <w:rFonts w:asciiTheme="minorHAnsi" w:hAnsiTheme="minorHAnsi" w:cstheme="minorHAnsi"/>
          <w:color w:val="auto"/>
          <w:sz w:val="24"/>
          <w:szCs w:val="24"/>
        </w:rPr>
        <w:t>predictors</w:t>
      </w:r>
      <w:r w:rsidRPr="001020E4">
        <w:rPr>
          <w:rStyle w:val="fontstyle01"/>
          <w:rFonts w:asciiTheme="minorHAnsi" w:hAnsiTheme="minorHAnsi" w:cstheme="minorHAnsi"/>
          <w:color w:val="auto"/>
          <w:sz w:val="24"/>
          <w:szCs w:val="24"/>
        </w:rPr>
        <w:t xml:space="preserve"> of DAAs-related HCC.</w:t>
      </w:r>
    </w:p>
    <w:p w14:paraId="18706F88" w14:textId="6204DE36" w:rsidR="007E6A40" w:rsidRPr="002258FA" w:rsidRDefault="004C64DC" w:rsidP="00AF3D36">
      <w:pPr>
        <w:pStyle w:val="NoSpacing"/>
        <w:jc w:val="both"/>
        <w:rPr>
          <w:rFonts w:asciiTheme="majorBidi" w:hAnsiTheme="majorBidi"/>
        </w:rPr>
      </w:pPr>
      <w:r w:rsidRPr="00761549">
        <w:rPr>
          <w:b/>
          <w:bCs/>
          <w:sz w:val="24"/>
          <w:szCs w:val="24"/>
        </w:rPr>
        <w:t>Conclusion:</w:t>
      </w:r>
      <w:r w:rsidR="00AB0EC6">
        <w:t xml:space="preserve"> </w:t>
      </w:r>
      <w:r w:rsidRPr="001020E4">
        <w:rPr>
          <w:rFonts w:asciiTheme="majorBidi" w:hAnsiTheme="majorBidi"/>
          <w:sz w:val="24"/>
          <w:szCs w:val="24"/>
        </w:rPr>
        <w:t>DAAs therapy of HCV added no additional risk for hepatocellular carcinoma</w:t>
      </w:r>
      <w:r w:rsidRPr="002258FA">
        <w:rPr>
          <w:rFonts w:asciiTheme="majorBidi" w:hAnsiTheme="majorBidi"/>
        </w:rPr>
        <w:t>.</w:t>
      </w:r>
    </w:p>
    <w:p w14:paraId="61B2E2CA" w14:textId="1AD91AC6" w:rsidR="004C64DC" w:rsidRPr="001020E4" w:rsidRDefault="00034A03" w:rsidP="000348FD">
      <w:pPr>
        <w:pStyle w:val="NoSpacing"/>
        <w:jc w:val="both"/>
        <w:rPr>
          <w:sz w:val="24"/>
          <w:szCs w:val="24"/>
        </w:rPr>
      </w:pPr>
      <w:r w:rsidRPr="00761549">
        <w:rPr>
          <w:b/>
          <w:bCs/>
          <w:i/>
          <w:iCs/>
          <w:sz w:val="24"/>
          <w:szCs w:val="24"/>
        </w:rPr>
        <w:t>Keywords</w:t>
      </w:r>
      <w:r w:rsidR="000348FD" w:rsidRPr="00761549">
        <w:rPr>
          <w:b/>
          <w:bCs/>
          <w:i/>
          <w:iCs/>
          <w:sz w:val="24"/>
          <w:szCs w:val="24"/>
        </w:rPr>
        <w:t>:</w:t>
      </w:r>
      <w:r w:rsidR="000348FD">
        <w:t xml:space="preserve"> </w:t>
      </w:r>
      <w:bookmarkStart w:id="1" w:name="_Hlk122285889"/>
      <w:r w:rsidRPr="001020E4">
        <w:rPr>
          <w:sz w:val="24"/>
          <w:szCs w:val="24"/>
        </w:rPr>
        <w:t>Liver cirrhosis; HCV; Direct Antiviral Drugs; hepatocellular carcinoma; focal lesion</w:t>
      </w:r>
      <w:r w:rsidR="00517BD8" w:rsidRPr="001020E4">
        <w:rPr>
          <w:sz w:val="24"/>
          <w:szCs w:val="24"/>
        </w:rPr>
        <w:t>.</w:t>
      </w:r>
    </w:p>
    <w:bookmarkEnd w:id="1"/>
    <w:p w14:paraId="48616671" w14:textId="77777777" w:rsidR="00E76AA3" w:rsidRPr="00761549" w:rsidRDefault="00496B0A" w:rsidP="00834507">
      <w:pPr>
        <w:spacing w:after="0" w:line="480" w:lineRule="auto"/>
        <w:ind w:firstLine="0"/>
        <w:jc w:val="both"/>
        <w:rPr>
          <w:rFonts w:asciiTheme="majorBidi" w:hAnsiTheme="majorBidi"/>
          <w:b/>
          <w:bCs/>
          <w:sz w:val="24"/>
          <w:szCs w:val="24"/>
        </w:rPr>
      </w:pPr>
      <w:r w:rsidRPr="00761549">
        <w:rPr>
          <w:b/>
          <w:bCs/>
          <w:sz w:val="24"/>
          <w:szCs w:val="24"/>
        </w:rPr>
        <w:t>Introduction</w:t>
      </w:r>
    </w:p>
    <w:p w14:paraId="5BA3E354" w14:textId="3C393DF5" w:rsidR="00496B0A" w:rsidRPr="001020E4" w:rsidRDefault="00496B0A" w:rsidP="00AF3D36">
      <w:pPr>
        <w:pStyle w:val="NoSpacing"/>
        <w:jc w:val="both"/>
        <w:rPr>
          <w:rFonts w:asciiTheme="majorBidi" w:hAnsiTheme="majorBidi"/>
          <w:sz w:val="24"/>
          <w:szCs w:val="24"/>
        </w:rPr>
      </w:pPr>
      <w:r w:rsidRPr="001020E4">
        <w:rPr>
          <w:rFonts w:asciiTheme="majorBidi" w:hAnsiTheme="majorBidi"/>
          <w:sz w:val="24"/>
          <w:szCs w:val="24"/>
        </w:rPr>
        <w:t xml:space="preserve">Hepatitis C Virus (HCV) infection </w:t>
      </w:r>
      <w:r w:rsidR="000254DF" w:rsidRPr="001020E4">
        <w:rPr>
          <w:rFonts w:asciiTheme="majorBidi" w:hAnsiTheme="majorBidi"/>
          <w:sz w:val="24"/>
          <w:szCs w:val="24"/>
        </w:rPr>
        <w:t>is</w:t>
      </w:r>
      <w:r w:rsidRPr="001020E4">
        <w:rPr>
          <w:rFonts w:asciiTheme="majorBidi" w:hAnsiTheme="majorBidi"/>
          <w:sz w:val="24"/>
          <w:szCs w:val="24"/>
        </w:rPr>
        <w:t xml:space="preserve"> a </w:t>
      </w:r>
      <w:r w:rsidR="005F300B" w:rsidRPr="001020E4">
        <w:rPr>
          <w:rFonts w:asciiTheme="majorBidi" w:hAnsiTheme="majorBidi"/>
          <w:sz w:val="24"/>
          <w:szCs w:val="24"/>
        </w:rPr>
        <w:t>significant</w:t>
      </w:r>
      <w:r w:rsidRPr="001020E4">
        <w:rPr>
          <w:rFonts w:asciiTheme="majorBidi" w:hAnsiTheme="majorBidi"/>
          <w:sz w:val="24"/>
          <w:szCs w:val="24"/>
        </w:rPr>
        <w:t xml:space="preserve"> health problem in different countries. In Egypt, HCV infection is the most known cause of chronic liver diseases and Hepatocellular carcinoma (HCC) cases</w:t>
      </w:r>
      <w:r w:rsidR="003313FF" w:rsidRPr="001020E4">
        <w:rPr>
          <w:rFonts w:asciiTheme="majorBidi" w:hAnsiTheme="majorBidi"/>
          <w:sz w:val="24"/>
          <w:szCs w:val="24"/>
        </w:rPr>
        <w:t xml:space="preserve"> [1]</w:t>
      </w:r>
      <w:r w:rsidRPr="001020E4">
        <w:rPr>
          <w:rFonts w:asciiTheme="majorBidi" w:hAnsiTheme="majorBidi"/>
          <w:sz w:val="24"/>
          <w:szCs w:val="24"/>
        </w:rPr>
        <w:t xml:space="preserve">. The mechanism and the pathogenesis of how HCV </w:t>
      </w:r>
      <w:r w:rsidR="005F300B" w:rsidRPr="001020E4">
        <w:rPr>
          <w:rFonts w:asciiTheme="majorBidi" w:hAnsiTheme="majorBidi"/>
          <w:sz w:val="24"/>
          <w:szCs w:val="24"/>
        </w:rPr>
        <w:t>causes</w:t>
      </w:r>
      <w:r w:rsidRPr="001020E4">
        <w:rPr>
          <w:rFonts w:asciiTheme="majorBidi" w:hAnsiTheme="majorBidi"/>
          <w:sz w:val="24"/>
          <w:szCs w:val="24"/>
        </w:rPr>
        <w:t xml:space="preserve"> HCC are complex and not completely understood </w:t>
      </w:r>
      <w:r w:rsidR="0076525E" w:rsidRPr="001020E4">
        <w:rPr>
          <w:rFonts w:asciiTheme="majorBidi" w:hAnsiTheme="majorBidi"/>
          <w:sz w:val="24"/>
          <w:szCs w:val="24"/>
        </w:rPr>
        <w:t xml:space="preserve">[2]. </w:t>
      </w:r>
      <w:r w:rsidRPr="001020E4">
        <w:rPr>
          <w:rFonts w:asciiTheme="majorBidi" w:hAnsiTheme="majorBidi"/>
          <w:sz w:val="24"/>
          <w:szCs w:val="24"/>
        </w:rPr>
        <w:t>HCC</w:t>
      </w:r>
      <w:r w:rsidR="005F300B" w:rsidRPr="001020E4">
        <w:rPr>
          <w:rFonts w:asciiTheme="majorBidi" w:hAnsiTheme="majorBidi"/>
          <w:sz w:val="24"/>
          <w:szCs w:val="24"/>
        </w:rPr>
        <w:t>, a leading cause of death worldwide,</w:t>
      </w:r>
      <w:r w:rsidR="000254DF" w:rsidRPr="001020E4">
        <w:rPr>
          <w:sz w:val="24"/>
          <w:szCs w:val="24"/>
        </w:rPr>
        <w:t xml:space="preserve"> </w:t>
      </w:r>
      <w:r w:rsidR="000254DF" w:rsidRPr="001020E4">
        <w:rPr>
          <w:rFonts w:asciiTheme="majorBidi" w:hAnsiTheme="majorBidi"/>
          <w:sz w:val="24"/>
          <w:szCs w:val="24"/>
        </w:rPr>
        <w:t xml:space="preserve">ranks 6th among cancers globally </w:t>
      </w:r>
      <w:r w:rsidR="0076525E" w:rsidRPr="001020E4">
        <w:rPr>
          <w:rFonts w:asciiTheme="majorBidi" w:hAnsiTheme="majorBidi"/>
          <w:sz w:val="24"/>
          <w:szCs w:val="24"/>
        </w:rPr>
        <w:t>[3].</w:t>
      </w:r>
    </w:p>
    <w:p w14:paraId="3954E508" w14:textId="7B0AC6A7"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In the past</w:t>
      </w:r>
      <w:r w:rsidR="005F300B" w:rsidRPr="001020E4">
        <w:rPr>
          <w:rFonts w:asciiTheme="majorBidi" w:hAnsiTheme="majorBidi"/>
          <w:sz w:val="24"/>
          <w:szCs w:val="24"/>
        </w:rPr>
        <w:t>,</w:t>
      </w:r>
      <w:r w:rsidRPr="001020E4">
        <w:rPr>
          <w:rFonts w:asciiTheme="majorBidi" w:hAnsiTheme="majorBidi"/>
          <w:sz w:val="24"/>
          <w:szCs w:val="24"/>
        </w:rPr>
        <w:t xml:space="preserve"> </w:t>
      </w:r>
      <w:r w:rsidR="00CE0314" w:rsidRPr="001020E4">
        <w:rPr>
          <w:rFonts w:asciiTheme="majorBidi" w:hAnsiTheme="majorBidi"/>
          <w:sz w:val="24"/>
          <w:szCs w:val="24"/>
        </w:rPr>
        <w:t xml:space="preserve">Pegylated Interferon </w:t>
      </w:r>
      <w:r w:rsidRPr="001020E4">
        <w:rPr>
          <w:rFonts w:asciiTheme="majorBidi" w:hAnsiTheme="majorBidi"/>
          <w:sz w:val="24"/>
          <w:szCs w:val="24"/>
        </w:rPr>
        <w:t>and Ribavirin were used in the treatment of HCV, with several limitations of use, many complications</w:t>
      </w:r>
      <w:r w:rsidR="005F300B" w:rsidRPr="001020E4">
        <w:rPr>
          <w:rFonts w:asciiTheme="majorBidi" w:hAnsiTheme="majorBidi"/>
          <w:sz w:val="24"/>
          <w:szCs w:val="24"/>
        </w:rPr>
        <w:t>,</w:t>
      </w:r>
      <w:r w:rsidRPr="001020E4">
        <w:rPr>
          <w:rFonts w:asciiTheme="majorBidi" w:hAnsiTheme="majorBidi"/>
          <w:sz w:val="24"/>
          <w:szCs w:val="24"/>
        </w:rPr>
        <w:t xml:space="preserve"> and unsatisfactory SVR </w:t>
      </w:r>
      <w:r w:rsidR="00500D2D" w:rsidRPr="001020E4">
        <w:rPr>
          <w:rFonts w:asciiTheme="majorBidi" w:hAnsiTheme="majorBidi"/>
          <w:sz w:val="24"/>
          <w:szCs w:val="24"/>
        </w:rPr>
        <w:t xml:space="preserve">[4]. </w:t>
      </w:r>
      <w:r w:rsidR="005F300B" w:rsidRPr="001020E4">
        <w:rPr>
          <w:rFonts w:asciiTheme="majorBidi" w:hAnsiTheme="majorBidi"/>
          <w:sz w:val="24"/>
          <w:szCs w:val="24"/>
        </w:rPr>
        <w:t>A few</w:t>
      </w:r>
      <w:r w:rsidRPr="001020E4">
        <w:rPr>
          <w:rFonts w:asciiTheme="majorBidi" w:hAnsiTheme="majorBidi"/>
          <w:sz w:val="24"/>
          <w:szCs w:val="24"/>
        </w:rPr>
        <w:t xml:space="preserve"> years ago</w:t>
      </w:r>
      <w:r w:rsidR="005F300B" w:rsidRPr="001020E4">
        <w:rPr>
          <w:rFonts w:asciiTheme="majorBidi" w:hAnsiTheme="majorBidi"/>
          <w:sz w:val="24"/>
          <w:szCs w:val="24"/>
        </w:rPr>
        <w:t>,</w:t>
      </w:r>
      <w:r w:rsidRPr="001020E4">
        <w:rPr>
          <w:rFonts w:asciiTheme="majorBidi" w:hAnsiTheme="majorBidi"/>
          <w:sz w:val="24"/>
          <w:szCs w:val="24"/>
        </w:rPr>
        <w:t xml:space="preserve"> </w:t>
      </w:r>
      <w:r w:rsidR="00CE0314" w:rsidRPr="001020E4">
        <w:rPr>
          <w:rFonts w:asciiTheme="majorBidi" w:hAnsiTheme="majorBidi"/>
          <w:sz w:val="24"/>
          <w:szCs w:val="24"/>
        </w:rPr>
        <w:t>Direct Anti Hepatitis C Viral Agents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w:t>
      </w:r>
      <w:r w:rsidR="000254DF" w:rsidRPr="001020E4">
        <w:rPr>
          <w:rFonts w:asciiTheme="majorBidi" w:hAnsiTheme="majorBidi"/>
          <w:sz w:val="24"/>
          <w:szCs w:val="24"/>
        </w:rPr>
        <w:t xml:space="preserve">were </w:t>
      </w:r>
      <w:r w:rsidRPr="001020E4">
        <w:rPr>
          <w:rFonts w:asciiTheme="majorBidi" w:hAnsiTheme="majorBidi"/>
          <w:sz w:val="24"/>
          <w:szCs w:val="24"/>
        </w:rPr>
        <w:t xml:space="preserve">introduced for HCV infection management, which resulted in high </w:t>
      </w:r>
      <w:r w:rsidR="00CE0314" w:rsidRPr="001020E4">
        <w:rPr>
          <w:rFonts w:asciiTheme="majorBidi" w:hAnsiTheme="majorBidi"/>
          <w:sz w:val="24"/>
          <w:szCs w:val="24"/>
        </w:rPr>
        <w:t>sustained virological response (SVR)</w:t>
      </w:r>
      <w:r w:rsidRPr="001020E4">
        <w:rPr>
          <w:rFonts w:asciiTheme="majorBidi" w:hAnsiTheme="majorBidi"/>
          <w:sz w:val="24"/>
          <w:szCs w:val="24"/>
        </w:rPr>
        <w:t xml:space="preserve"> in many countries and </w:t>
      </w:r>
      <w:r w:rsidR="005F300B" w:rsidRPr="001020E4">
        <w:rPr>
          <w:rFonts w:asciiTheme="majorBidi" w:hAnsiTheme="majorBidi"/>
          <w:sz w:val="24"/>
          <w:szCs w:val="24"/>
        </w:rPr>
        <w:t xml:space="preserve">a </w:t>
      </w:r>
      <w:r w:rsidRPr="001020E4">
        <w:rPr>
          <w:rFonts w:asciiTheme="majorBidi" w:hAnsiTheme="majorBidi"/>
          <w:sz w:val="24"/>
          <w:szCs w:val="24"/>
        </w:rPr>
        <w:t xml:space="preserve">low rate of failure </w:t>
      </w:r>
      <w:r w:rsidR="00C26DB8" w:rsidRPr="001020E4">
        <w:rPr>
          <w:rFonts w:asciiTheme="majorBidi" w:hAnsiTheme="majorBidi"/>
          <w:sz w:val="24"/>
          <w:szCs w:val="24"/>
        </w:rPr>
        <w:t>[5].</w:t>
      </w:r>
    </w:p>
    <w:p w14:paraId="08E343BE" w14:textId="6773EF06"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 xml:space="preserve">HCC </w:t>
      </w:r>
      <w:r w:rsidR="005F300B" w:rsidRPr="001020E4">
        <w:rPr>
          <w:rFonts w:asciiTheme="majorBidi" w:hAnsiTheme="majorBidi"/>
          <w:sz w:val="24"/>
          <w:szCs w:val="24"/>
        </w:rPr>
        <w:t>post-DAAs</w:t>
      </w:r>
      <w:r w:rsidRPr="001020E4">
        <w:rPr>
          <w:rFonts w:asciiTheme="majorBidi" w:hAnsiTheme="majorBidi"/>
          <w:sz w:val="24"/>
          <w:szCs w:val="24"/>
        </w:rPr>
        <w:t xml:space="preserve"> therapy is controversial</w:t>
      </w:r>
      <w:r w:rsidR="005F300B" w:rsidRPr="001020E4">
        <w:rPr>
          <w:rFonts w:asciiTheme="majorBidi" w:hAnsiTheme="majorBidi"/>
          <w:sz w:val="24"/>
          <w:szCs w:val="24"/>
        </w:rPr>
        <w:t>. Although</w:t>
      </w:r>
      <w:r w:rsidRPr="001020E4">
        <w:rPr>
          <w:rFonts w:asciiTheme="majorBidi" w:hAnsiTheme="majorBidi"/>
          <w:sz w:val="24"/>
          <w:szCs w:val="24"/>
        </w:rPr>
        <w:t xml:space="preserve"> few studies related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to HCC</w:t>
      </w:r>
      <w:r w:rsidR="005F300B" w:rsidRPr="001020E4">
        <w:rPr>
          <w:rFonts w:asciiTheme="majorBidi" w:hAnsiTheme="majorBidi"/>
          <w:sz w:val="24"/>
          <w:szCs w:val="24"/>
        </w:rPr>
        <w:t>,</w:t>
      </w:r>
      <w:r w:rsidRPr="001020E4">
        <w:rPr>
          <w:rFonts w:asciiTheme="majorBidi" w:hAnsiTheme="majorBidi"/>
          <w:sz w:val="24"/>
          <w:szCs w:val="24"/>
        </w:rPr>
        <w:t xml:space="preserve"> </w:t>
      </w:r>
      <w:r w:rsidR="005F300B" w:rsidRPr="001020E4">
        <w:rPr>
          <w:rFonts w:asciiTheme="majorBidi" w:hAnsiTheme="majorBidi"/>
          <w:sz w:val="24"/>
          <w:szCs w:val="24"/>
        </w:rPr>
        <w:t>others</w:t>
      </w:r>
      <w:r w:rsidRPr="001020E4">
        <w:rPr>
          <w:rFonts w:asciiTheme="majorBidi" w:hAnsiTheme="majorBidi"/>
          <w:sz w:val="24"/>
          <w:szCs w:val="24"/>
        </w:rPr>
        <w:t xml:space="preserve"> </w:t>
      </w:r>
      <w:r w:rsidR="000254DF" w:rsidRPr="001020E4">
        <w:rPr>
          <w:rFonts w:asciiTheme="majorBidi" w:hAnsiTheme="majorBidi"/>
          <w:sz w:val="24"/>
          <w:szCs w:val="24"/>
        </w:rPr>
        <w:t>showed</w:t>
      </w:r>
      <w:r w:rsidRPr="001020E4">
        <w:rPr>
          <w:rFonts w:asciiTheme="majorBidi" w:hAnsiTheme="majorBidi"/>
          <w:sz w:val="24"/>
          <w:szCs w:val="24"/>
        </w:rPr>
        <w:t xml:space="preserve"> </w:t>
      </w:r>
      <w:r w:rsidR="005F300B" w:rsidRPr="001020E4">
        <w:rPr>
          <w:rFonts w:asciiTheme="majorBidi" w:hAnsiTheme="majorBidi"/>
          <w:sz w:val="24"/>
          <w:szCs w:val="24"/>
        </w:rPr>
        <w:t xml:space="preserve">an </w:t>
      </w:r>
      <w:r w:rsidRPr="001020E4">
        <w:rPr>
          <w:rFonts w:asciiTheme="majorBidi" w:hAnsiTheme="majorBidi"/>
          <w:sz w:val="24"/>
          <w:szCs w:val="24"/>
        </w:rPr>
        <w:t xml:space="preserve">aggressive pattern of HCC associated with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therapy </w:t>
      </w:r>
      <w:r w:rsidR="00C26DB8" w:rsidRPr="001020E4">
        <w:rPr>
          <w:rFonts w:asciiTheme="majorBidi" w:hAnsiTheme="majorBidi"/>
          <w:sz w:val="24"/>
          <w:szCs w:val="24"/>
        </w:rPr>
        <w:t>[6].</w:t>
      </w:r>
    </w:p>
    <w:p w14:paraId="11AA8FB7" w14:textId="65A5AAD8" w:rsidR="00496B0A" w:rsidRPr="001020E4" w:rsidRDefault="00496B0A" w:rsidP="00CE0314">
      <w:pPr>
        <w:pStyle w:val="NoSpacing"/>
        <w:jc w:val="both"/>
        <w:rPr>
          <w:rFonts w:asciiTheme="majorBidi" w:hAnsiTheme="majorBidi"/>
          <w:sz w:val="24"/>
          <w:szCs w:val="24"/>
        </w:rPr>
      </w:pPr>
      <w:r w:rsidRPr="001020E4">
        <w:rPr>
          <w:rFonts w:asciiTheme="majorBidi" w:hAnsiTheme="majorBidi"/>
          <w:sz w:val="24"/>
          <w:szCs w:val="24"/>
        </w:rPr>
        <w:t xml:space="preserve">In the face of long-term follow-up deficiency, </w:t>
      </w:r>
      <w:r w:rsidR="005F300B" w:rsidRPr="001020E4">
        <w:rPr>
          <w:rFonts w:asciiTheme="majorBidi" w:hAnsiTheme="majorBidi"/>
          <w:sz w:val="24"/>
          <w:szCs w:val="24"/>
        </w:rPr>
        <w:t>several worrying results have reported unpredictably high HCC incidence rates</w:t>
      </w:r>
      <w:r w:rsidRPr="001020E4">
        <w:rPr>
          <w:rFonts w:asciiTheme="majorBidi" w:hAnsiTheme="majorBidi"/>
          <w:sz w:val="24"/>
          <w:szCs w:val="24"/>
        </w:rPr>
        <w:t xml:space="preserve"> following </w:t>
      </w:r>
      <w:r w:rsidR="006136F5" w:rsidRPr="001020E4">
        <w:rPr>
          <w:rFonts w:asciiTheme="majorBidi" w:hAnsiTheme="majorBidi"/>
          <w:sz w:val="24"/>
          <w:szCs w:val="24"/>
        </w:rPr>
        <w:t>DAA</w:t>
      </w:r>
      <w:r w:rsidR="00CE0314" w:rsidRPr="001020E4">
        <w:rPr>
          <w:rFonts w:asciiTheme="majorBidi" w:hAnsiTheme="majorBidi"/>
          <w:sz w:val="24"/>
          <w:szCs w:val="24"/>
        </w:rPr>
        <w:t>s</w:t>
      </w:r>
      <w:r w:rsidRPr="001020E4">
        <w:rPr>
          <w:rFonts w:asciiTheme="majorBidi" w:hAnsiTheme="majorBidi"/>
          <w:sz w:val="24"/>
          <w:szCs w:val="24"/>
        </w:rPr>
        <w:t xml:space="preserve"> therapy in</w:t>
      </w:r>
      <w:r w:rsidRPr="00234B0F">
        <w:rPr>
          <w:rFonts w:asciiTheme="majorBidi" w:hAnsiTheme="majorBidi"/>
        </w:rPr>
        <w:t xml:space="preserve"> </w:t>
      </w:r>
      <w:r w:rsidRPr="001020E4">
        <w:rPr>
          <w:rFonts w:asciiTheme="majorBidi" w:hAnsiTheme="majorBidi"/>
          <w:sz w:val="24"/>
          <w:szCs w:val="24"/>
        </w:rPr>
        <w:t>liver cirrhosis</w:t>
      </w:r>
      <w:r w:rsidRPr="00234B0F">
        <w:rPr>
          <w:rFonts w:asciiTheme="majorBidi" w:hAnsiTheme="majorBidi"/>
        </w:rPr>
        <w:t xml:space="preserve"> </w:t>
      </w:r>
      <w:r w:rsidRPr="001020E4">
        <w:rPr>
          <w:rFonts w:asciiTheme="majorBidi" w:hAnsiTheme="majorBidi"/>
          <w:sz w:val="24"/>
          <w:szCs w:val="24"/>
        </w:rPr>
        <w:t xml:space="preserve">patients. At first, these reports concerned HCC recurrence after curative measures done as ablation or hepatic resection </w:t>
      </w:r>
      <w:r w:rsidR="0027500B" w:rsidRPr="001020E4">
        <w:rPr>
          <w:rFonts w:asciiTheme="majorBidi" w:hAnsiTheme="majorBidi"/>
          <w:sz w:val="24"/>
          <w:szCs w:val="24"/>
        </w:rPr>
        <w:t>[7].</w:t>
      </w:r>
    </w:p>
    <w:p w14:paraId="57582217" w14:textId="6A1AA997" w:rsidR="00496B0A" w:rsidRPr="001020E4" w:rsidRDefault="009C5250" w:rsidP="00CE0314">
      <w:pPr>
        <w:pStyle w:val="NoSpacing"/>
        <w:jc w:val="both"/>
        <w:rPr>
          <w:rFonts w:asciiTheme="majorBidi" w:hAnsiTheme="majorBidi"/>
          <w:sz w:val="24"/>
          <w:szCs w:val="24"/>
        </w:rPr>
      </w:pPr>
      <w:r w:rsidRPr="001020E4">
        <w:rPr>
          <w:rFonts w:asciiTheme="majorBidi" w:hAnsiTheme="majorBidi"/>
          <w:sz w:val="24"/>
          <w:szCs w:val="24"/>
        </w:rPr>
        <w:t>Investigators</w:t>
      </w:r>
      <w:r w:rsidR="00496B0A" w:rsidRPr="001020E4">
        <w:rPr>
          <w:rFonts w:asciiTheme="majorBidi" w:hAnsiTheme="majorBidi"/>
          <w:sz w:val="24"/>
          <w:szCs w:val="24"/>
        </w:rPr>
        <w:t xml:space="preserve"> concluded that </w:t>
      </w:r>
      <w:r w:rsidRPr="001020E4">
        <w:rPr>
          <w:rFonts w:asciiTheme="majorBidi" w:hAnsiTheme="majorBidi"/>
          <w:sz w:val="24"/>
          <w:szCs w:val="24"/>
        </w:rPr>
        <w:t xml:space="preserve">a </w:t>
      </w:r>
      <w:r w:rsidR="00496B0A" w:rsidRPr="001020E4">
        <w:rPr>
          <w:rFonts w:asciiTheme="majorBidi" w:hAnsiTheme="majorBidi"/>
          <w:sz w:val="24"/>
          <w:szCs w:val="24"/>
        </w:rPr>
        <w:t xml:space="preserve">suspected increase in </w:t>
      </w:r>
      <w:r w:rsidRPr="001020E4">
        <w:rPr>
          <w:rFonts w:asciiTheme="majorBidi" w:hAnsiTheme="majorBidi"/>
          <w:sz w:val="24"/>
          <w:szCs w:val="24"/>
        </w:rPr>
        <w:t xml:space="preserve">the </w:t>
      </w:r>
      <w:r w:rsidR="00496B0A" w:rsidRPr="001020E4">
        <w:rPr>
          <w:rFonts w:asciiTheme="majorBidi" w:hAnsiTheme="majorBidi"/>
          <w:sz w:val="24"/>
          <w:szCs w:val="24"/>
        </w:rPr>
        <w:t xml:space="preserve">incidence of </w:t>
      </w:r>
      <w:r w:rsidR="005F300B" w:rsidRPr="001020E4">
        <w:rPr>
          <w:rFonts w:asciiTheme="majorBidi" w:hAnsiTheme="majorBidi"/>
          <w:sz w:val="24"/>
          <w:szCs w:val="24"/>
        </w:rPr>
        <w:t>HCC-related</w:t>
      </w:r>
      <w:r w:rsidR="00496B0A" w:rsidRPr="001020E4">
        <w:rPr>
          <w:rFonts w:asciiTheme="majorBidi" w:hAnsiTheme="majorBidi"/>
          <w:sz w:val="24"/>
          <w:szCs w:val="24"/>
        </w:rPr>
        <w:t xml:space="preserve"> cirrhosis </w:t>
      </w:r>
      <w:r w:rsidR="005F300B" w:rsidRPr="001020E4">
        <w:rPr>
          <w:rFonts w:asciiTheme="majorBidi" w:hAnsiTheme="majorBidi"/>
          <w:sz w:val="24"/>
          <w:szCs w:val="24"/>
        </w:rPr>
        <w:t xml:space="preserve">in </w:t>
      </w:r>
      <w:r w:rsidR="00496B0A" w:rsidRPr="001020E4">
        <w:rPr>
          <w:rFonts w:asciiTheme="majorBidi" w:hAnsiTheme="majorBidi"/>
          <w:sz w:val="24"/>
          <w:szCs w:val="24"/>
        </w:rPr>
        <w:t>patients treated with</w:t>
      </w:r>
      <w:r w:rsidRPr="001020E4">
        <w:rPr>
          <w:rFonts w:asciiTheme="majorBidi" w:hAnsiTheme="majorBidi"/>
          <w:sz w:val="24"/>
          <w:szCs w:val="24"/>
        </w:rPr>
        <w:t xml:space="preserve"> DAAs</w:t>
      </w:r>
      <w:r w:rsidR="00496B0A" w:rsidRPr="001020E4">
        <w:rPr>
          <w:rFonts w:asciiTheme="majorBidi" w:hAnsiTheme="majorBidi"/>
          <w:sz w:val="24"/>
          <w:szCs w:val="24"/>
        </w:rPr>
        <w:t xml:space="preserve"> </w:t>
      </w:r>
      <w:r w:rsidR="005F300B" w:rsidRPr="001020E4">
        <w:rPr>
          <w:rFonts w:asciiTheme="majorBidi" w:hAnsiTheme="majorBidi"/>
          <w:sz w:val="24"/>
          <w:szCs w:val="24"/>
        </w:rPr>
        <w:t>compared to the</w:t>
      </w:r>
      <w:r w:rsidR="00496B0A" w:rsidRPr="001020E4">
        <w:rPr>
          <w:rFonts w:asciiTheme="majorBidi" w:hAnsiTheme="majorBidi"/>
          <w:sz w:val="24"/>
          <w:szCs w:val="24"/>
        </w:rPr>
        <w:t xml:space="preserve"> </w:t>
      </w:r>
      <w:r w:rsidR="005F300B" w:rsidRPr="001020E4">
        <w:rPr>
          <w:rFonts w:asciiTheme="majorBidi" w:hAnsiTheme="majorBidi"/>
          <w:sz w:val="24"/>
          <w:szCs w:val="24"/>
        </w:rPr>
        <w:t>IFN-treated</w:t>
      </w:r>
      <w:r w:rsidR="00496B0A" w:rsidRPr="001020E4">
        <w:rPr>
          <w:rFonts w:asciiTheme="majorBidi" w:hAnsiTheme="majorBidi"/>
          <w:sz w:val="24"/>
          <w:szCs w:val="24"/>
        </w:rPr>
        <w:t xml:space="preserve"> patients who attained SVR </w:t>
      </w:r>
      <w:r w:rsidRPr="001020E4">
        <w:rPr>
          <w:rFonts w:asciiTheme="majorBidi" w:hAnsiTheme="majorBidi"/>
          <w:sz w:val="24"/>
          <w:szCs w:val="24"/>
        </w:rPr>
        <w:t xml:space="preserve">was </w:t>
      </w:r>
      <w:r w:rsidR="00496B0A" w:rsidRPr="001020E4">
        <w:rPr>
          <w:rFonts w:asciiTheme="majorBidi" w:hAnsiTheme="majorBidi"/>
          <w:sz w:val="24"/>
          <w:szCs w:val="24"/>
        </w:rPr>
        <w:t>clarified by characteristics of patients as age, diabetes</w:t>
      </w:r>
      <w:r w:rsidR="005F300B" w:rsidRPr="001020E4">
        <w:rPr>
          <w:rFonts w:asciiTheme="majorBidi" w:hAnsiTheme="majorBidi"/>
          <w:sz w:val="24"/>
          <w:szCs w:val="24"/>
        </w:rPr>
        <w:t>,</w:t>
      </w:r>
      <w:r w:rsidR="00496B0A" w:rsidRPr="001020E4">
        <w:rPr>
          <w:rFonts w:asciiTheme="majorBidi" w:hAnsiTheme="majorBidi"/>
          <w:sz w:val="24"/>
          <w:szCs w:val="24"/>
        </w:rPr>
        <w:t xml:space="preserve"> and reduced liver function combined with lower screening protocols</w:t>
      </w:r>
      <w:r w:rsidR="007D6847" w:rsidRPr="001020E4">
        <w:rPr>
          <w:rFonts w:asciiTheme="majorBidi" w:hAnsiTheme="majorBidi"/>
          <w:sz w:val="24"/>
          <w:szCs w:val="24"/>
        </w:rPr>
        <w:t xml:space="preserve"> [</w:t>
      </w:r>
      <w:r w:rsidR="00496B0A" w:rsidRPr="001020E4">
        <w:rPr>
          <w:rFonts w:asciiTheme="majorBidi" w:hAnsiTheme="majorBidi"/>
          <w:sz w:val="24"/>
          <w:szCs w:val="24"/>
        </w:rPr>
        <w:t>8</w:t>
      </w:r>
      <w:r w:rsidR="007D6847" w:rsidRPr="001020E4">
        <w:rPr>
          <w:rFonts w:asciiTheme="majorBidi" w:hAnsiTheme="majorBidi"/>
          <w:sz w:val="24"/>
          <w:szCs w:val="24"/>
        </w:rPr>
        <w:t>]</w:t>
      </w:r>
      <w:r w:rsidR="00496B0A" w:rsidRPr="001020E4">
        <w:rPr>
          <w:rFonts w:asciiTheme="majorBidi" w:hAnsiTheme="majorBidi"/>
          <w:sz w:val="24"/>
          <w:szCs w:val="24"/>
        </w:rPr>
        <w:t>.</w:t>
      </w:r>
      <w:r w:rsidR="007D6847" w:rsidRPr="001020E4">
        <w:rPr>
          <w:rFonts w:asciiTheme="majorBidi" w:hAnsiTheme="majorBidi"/>
          <w:sz w:val="24"/>
          <w:szCs w:val="24"/>
        </w:rPr>
        <w:t xml:space="preserve"> </w:t>
      </w:r>
      <w:r w:rsidRPr="001020E4">
        <w:rPr>
          <w:rFonts w:asciiTheme="majorBidi" w:hAnsiTheme="majorBidi"/>
          <w:sz w:val="24"/>
          <w:szCs w:val="24"/>
        </w:rPr>
        <w:t>Therefore, w</w:t>
      </w:r>
      <w:r w:rsidR="000429A2" w:rsidRPr="001020E4">
        <w:rPr>
          <w:rFonts w:asciiTheme="majorBidi" w:hAnsiTheme="majorBidi"/>
          <w:sz w:val="24"/>
          <w:szCs w:val="24"/>
        </w:rPr>
        <w:t>e</w:t>
      </w:r>
      <w:r w:rsidR="007D6847" w:rsidRPr="001020E4">
        <w:rPr>
          <w:rFonts w:asciiTheme="majorBidi" w:hAnsiTheme="majorBidi"/>
          <w:sz w:val="24"/>
          <w:szCs w:val="24"/>
        </w:rPr>
        <w:t xml:space="preserve"> </w:t>
      </w:r>
      <w:r w:rsidR="000429A2" w:rsidRPr="001020E4">
        <w:rPr>
          <w:rFonts w:asciiTheme="majorBidi" w:hAnsiTheme="majorBidi"/>
          <w:sz w:val="24"/>
          <w:szCs w:val="24"/>
        </w:rPr>
        <w:t>ai</w:t>
      </w:r>
      <w:r w:rsidR="00A67316" w:rsidRPr="001020E4">
        <w:rPr>
          <w:rFonts w:asciiTheme="majorBidi" w:hAnsiTheme="majorBidi"/>
          <w:sz w:val="24"/>
          <w:szCs w:val="24"/>
        </w:rPr>
        <w:t xml:space="preserve">med to </w:t>
      </w:r>
      <w:r w:rsidR="00C2207B" w:rsidRPr="001020E4">
        <w:rPr>
          <w:rFonts w:asciiTheme="majorBidi" w:hAnsiTheme="majorBidi"/>
          <w:sz w:val="24"/>
          <w:szCs w:val="24"/>
        </w:rPr>
        <w:t xml:space="preserve">study </w:t>
      </w:r>
      <w:r w:rsidR="00A22719" w:rsidRPr="001020E4">
        <w:rPr>
          <w:rFonts w:asciiTheme="majorBidi" w:hAnsiTheme="majorBidi"/>
          <w:sz w:val="24"/>
          <w:szCs w:val="24"/>
        </w:rPr>
        <w:t>the clinical features and the pattern</w:t>
      </w:r>
      <w:r w:rsidR="00C2207B" w:rsidRPr="001020E4">
        <w:rPr>
          <w:rFonts w:asciiTheme="majorBidi" w:hAnsiTheme="majorBidi"/>
          <w:sz w:val="24"/>
          <w:szCs w:val="24"/>
        </w:rPr>
        <w:t xml:space="preserve"> </w:t>
      </w:r>
      <w:r w:rsidR="000429A2" w:rsidRPr="001020E4">
        <w:rPr>
          <w:rFonts w:asciiTheme="majorBidi" w:hAnsiTheme="majorBidi"/>
          <w:sz w:val="24"/>
          <w:szCs w:val="24"/>
        </w:rPr>
        <w:t xml:space="preserve">of </w:t>
      </w:r>
      <w:r w:rsidR="00496B0A" w:rsidRPr="001020E4">
        <w:rPr>
          <w:rFonts w:asciiTheme="majorBidi" w:hAnsiTheme="majorBidi"/>
          <w:sz w:val="24"/>
          <w:szCs w:val="24"/>
        </w:rPr>
        <w:t xml:space="preserve">hepatocellular </w:t>
      </w:r>
      <w:r w:rsidR="005F300B" w:rsidRPr="001020E4">
        <w:rPr>
          <w:rFonts w:asciiTheme="majorBidi" w:hAnsiTheme="majorBidi"/>
          <w:sz w:val="24"/>
          <w:szCs w:val="24"/>
        </w:rPr>
        <w:t>carcinoma related</w:t>
      </w:r>
      <w:r w:rsidR="00496B0A" w:rsidRPr="001020E4">
        <w:rPr>
          <w:rFonts w:asciiTheme="majorBidi" w:hAnsiTheme="majorBidi"/>
          <w:sz w:val="24"/>
          <w:szCs w:val="24"/>
        </w:rPr>
        <w:t xml:space="preserve"> to direct </w:t>
      </w:r>
      <w:r w:rsidR="005F300B" w:rsidRPr="001020E4">
        <w:rPr>
          <w:rFonts w:asciiTheme="majorBidi" w:hAnsiTheme="majorBidi"/>
          <w:sz w:val="24"/>
          <w:szCs w:val="24"/>
        </w:rPr>
        <w:t>anti-hepatitis</w:t>
      </w:r>
      <w:r w:rsidR="00496B0A" w:rsidRPr="001020E4">
        <w:rPr>
          <w:rFonts w:asciiTheme="majorBidi" w:hAnsiTheme="majorBidi"/>
          <w:sz w:val="24"/>
          <w:szCs w:val="24"/>
        </w:rPr>
        <w:t xml:space="preserve"> C viral drugs</w:t>
      </w:r>
      <w:r w:rsidR="000429A2" w:rsidRPr="001020E4">
        <w:rPr>
          <w:rFonts w:asciiTheme="majorBidi" w:hAnsiTheme="majorBidi"/>
          <w:sz w:val="24"/>
          <w:szCs w:val="24"/>
        </w:rPr>
        <w:t>.</w:t>
      </w:r>
    </w:p>
    <w:p w14:paraId="6B20B88D" w14:textId="77777777" w:rsidR="00496B0A" w:rsidRPr="00761549" w:rsidRDefault="000429A2" w:rsidP="00634ACA">
      <w:pPr>
        <w:pStyle w:val="NoSpacing"/>
        <w:jc w:val="both"/>
        <w:rPr>
          <w:rFonts w:asciiTheme="majorBidi" w:hAnsiTheme="majorBidi"/>
          <w:b/>
          <w:bCs/>
          <w:sz w:val="24"/>
          <w:szCs w:val="24"/>
        </w:rPr>
      </w:pPr>
      <w:r w:rsidRPr="00761549">
        <w:rPr>
          <w:rFonts w:asciiTheme="majorBidi" w:hAnsiTheme="majorBidi"/>
          <w:b/>
          <w:bCs/>
          <w:sz w:val="24"/>
          <w:szCs w:val="24"/>
        </w:rPr>
        <w:t>Patients</w:t>
      </w:r>
      <w:r w:rsidR="00496B0A" w:rsidRPr="00761549">
        <w:rPr>
          <w:rFonts w:asciiTheme="majorBidi" w:hAnsiTheme="majorBidi"/>
          <w:b/>
          <w:bCs/>
          <w:sz w:val="24"/>
          <w:szCs w:val="24"/>
        </w:rPr>
        <w:t xml:space="preserve"> and Methods</w:t>
      </w:r>
    </w:p>
    <w:p w14:paraId="6154DE26" w14:textId="7643EB32" w:rsidR="00CD404B" w:rsidRPr="00761549" w:rsidRDefault="00757110" w:rsidP="00634ACA">
      <w:pPr>
        <w:pStyle w:val="NoSpacing"/>
        <w:jc w:val="both"/>
        <w:rPr>
          <w:rFonts w:asciiTheme="majorBidi" w:hAnsiTheme="majorBidi"/>
          <w:b/>
          <w:bCs/>
          <w:sz w:val="24"/>
          <w:szCs w:val="24"/>
        </w:rPr>
      </w:pPr>
      <w:r w:rsidRPr="00761549">
        <w:rPr>
          <w:rFonts w:asciiTheme="majorBidi" w:hAnsiTheme="majorBidi"/>
          <w:b/>
          <w:bCs/>
          <w:sz w:val="24"/>
          <w:szCs w:val="24"/>
        </w:rPr>
        <w:t xml:space="preserve">The study </w:t>
      </w:r>
      <w:r w:rsidR="00BA61F5" w:rsidRPr="00761549">
        <w:rPr>
          <w:rFonts w:asciiTheme="majorBidi" w:hAnsiTheme="majorBidi"/>
          <w:b/>
          <w:bCs/>
          <w:sz w:val="24"/>
          <w:szCs w:val="24"/>
        </w:rPr>
        <w:t>designs</w:t>
      </w:r>
    </w:p>
    <w:p w14:paraId="0FDB4B6C" w14:textId="27923608" w:rsidR="00CD404B" w:rsidRPr="001020E4" w:rsidRDefault="00496B0A" w:rsidP="00634ACA">
      <w:pPr>
        <w:pStyle w:val="NoSpacing"/>
        <w:jc w:val="both"/>
        <w:rPr>
          <w:rFonts w:asciiTheme="majorBidi" w:hAnsiTheme="majorBidi"/>
          <w:sz w:val="24"/>
          <w:szCs w:val="24"/>
        </w:rPr>
      </w:pPr>
      <w:r w:rsidRPr="001020E4">
        <w:rPr>
          <w:rFonts w:asciiTheme="majorBidi" w:hAnsiTheme="majorBidi"/>
          <w:sz w:val="24"/>
          <w:szCs w:val="24"/>
        </w:rPr>
        <w:t xml:space="preserve">The study </w:t>
      </w:r>
      <w:r w:rsidR="000429A2" w:rsidRPr="001020E4">
        <w:rPr>
          <w:rFonts w:asciiTheme="majorBidi" w:hAnsiTheme="majorBidi"/>
          <w:sz w:val="24"/>
          <w:szCs w:val="24"/>
        </w:rPr>
        <w:t>was</w:t>
      </w:r>
      <w:r w:rsidRPr="001020E4">
        <w:rPr>
          <w:rFonts w:asciiTheme="majorBidi" w:hAnsiTheme="majorBidi"/>
          <w:sz w:val="24"/>
          <w:szCs w:val="24"/>
        </w:rPr>
        <w:t xml:space="preserve"> conducted at the </w:t>
      </w:r>
      <w:r w:rsidR="00FF0930" w:rsidRPr="001020E4">
        <w:rPr>
          <w:rFonts w:asciiTheme="majorBidi" w:hAnsiTheme="majorBidi"/>
          <w:sz w:val="24"/>
          <w:szCs w:val="24"/>
        </w:rPr>
        <w:t>T</w:t>
      </w:r>
      <w:r w:rsidRPr="001020E4">
        <w:rPr>
          <w:rFonts w:asciiTheme="majorBidi" w:hAnsiTheme="majorBidi"/>
          <w:sz w:val="24"/>
          <w:szCs w:val="24"/>
        </w:rPr>
        <w:t>ropical</w:t>
      </w:r>
      <w:r w:rsidR="00A22719" w:rsidRPr="001020E4">
        <w:rPr>
          <w:rFonts w:asciiTheme="majorBidi" w:hAnsiTheme="majorBidi"/>
          <w:sz w:val="24"/>
          <w:szCs w:val="24"/>
        </w:rPr>
        <w:t xml:space="preserve">, </w:t>
      </w:r>
      <w:r w:rsidR="00FF0930" w:rsidRPr="001020E4">
        <w:rPr>
          <w:rFonts w:asciiTheme="majorBidi" w:hAnsiTheme="majorBidi"/>
          <w:sz w:val="24"/>
          <w:szCs w:val="24"/>
        </w:rPr>
        <w:t>I</w:t>
      </w:r>
      <w:r w:rsidR="00A22719" w:rsidRPr="001020E4">
        <w:rPr>
          <w:rFonts w:asciiTheme="majorBidi" w:hAnsiTheme="majorBidi"/>
          <w:sz w:val="24"/>
          <w:szCs w:val="24"/>
        </w:rPr>
        <w:t>nternal medicine</w:t>
      </w:r>
      <w:r w:rsidR="005F300B" w:rsidRPr="001020E4">
        <w:rPr>
          <w:rFonts w:asciiTheme="majorBidi" w:hAnsiTheme="majorBidi"/>
          <w:sz w:val="24"/>
          <w:szCs w:val="24"/>
        </w:rPr>
        <w:t>,</w:t>
      </w:r>
      <w:r w:rsidRPr="001020E4">
        <w:rPr>
          <w:rFonts w:asciiTheme="majorBidi" w:hAnsiTheme="majorBidi"/>
          <w:sz w:val="24"/>
          <w:szCs w:val="24"/>
        </w:rPr>
        <w:t xml:space="preserve"> and </w:t>
      </w:r>
      <w:r w:rsidR="00FF0930" w:rsidRPr="001020E4">
        <w:rPr>
          <w:rFonts w:asciiTheme="majorBidi" w:hAnsiTheme="majorBidi"/>
          <w:sz w:val="24"/>
          <w:szCs w:val="24"/>
        </w:rPr>
        <w:t>O</w:t>
      </w:r>
      <w:r w:rsidRPr="001020E4">
        <w:rPr>
          <w:rFonts w:asciiTheme="majorBidi" w:hAnsiTheme="majorBidi"/>
          <w:sz w:val="24"/>
          <w:szCs w:val="24"/>
        </w:rPr>
        <w:t xml:space="preserve">ncology departments </w:t>
      </w:r>
      <w:r w:rsidR="005F300B" w:rsidRPr="001020E4">
        <w:rPr>
          <w:rFonts w:asciiTheme="majorBidi" w:hAnsiTheme="majorBidi"/>
          <w:sz w:val="24"/>
          <w:szCs w:val="24"/>
        </w:rPr>
        <w:t xml:space="preserve">of </w:t>
      </w:r>
      <w:r w:rsidRPr="001020E4">
        <w:rPr>
          <w:rFonts w:asciiTheme="majorBidi" w:hAnsiTheme="majorBidi"/>
          <w:sz w:val="24"/>
          <w:szCs w:val="24"/>
        </w:rPr>
        <w:t>Zagazig University Hospitals.</w:t>
      </w:r>
      <w:r w:rsidR="000429A2" w:rsidRPr="001020E4">
        <w:rPr>
          <w:rFonts w:asciiTheme="majorBidi" w:hAnsiTheme="majorBidi"/>
          <w:sz w:val="24"/>
          <w:szCs w:val="24"/>
        </w:rPr>
        <w:t xml:space="preserve"> </w:t>
      </w:r>
      <w:r w:rsidR="0052790A" w:rsidRPr="001020E4">
        <w:rPr>
          <w:rFonts w:asciiTheme="majorBidi" w:hAnsiTheme="majorBidi"/>
          <w:sz w:val="24"/>
          <w:szCs w:val="24"/>
        </w:rPr>
        <w:t xml:space="preserve">This was </w:t>
      </w:r>
      <w:r w:rsidR="00186D3A" w:rsidRPr="001020E4">
        <w:rPr>
          <w:rFonts w:asciiTheme="majorBidi" w:hAnsiTheme="majorBidi"/>
          <w:sz w:val="24"/>
          <w:szCs w:val="24"/>
        </w:rPr>
        <w:t xml:space="preserve">an </w:t>
      </w:r>
      <w:r w:rsidR="0052790A" w:rsidRPr="001020E4">
        <w:rPr>
          <w:rFonts w:asciiTheme="majorBidi" w:hAnsiTheme="majorBidi"/>
          <w:sz w:val="24"/>
          <w:szCs w:val="24"/>
        </w:rPr>
        <w:t>o</w:t>
      </w:r>
      <w:r w:rsidRPr="001020E4">
        <w:rPr>
          <w:rFonts w:asciiTheme="majorBidi" w:hAnsiTheme="majorBidi"/>
          <w:sz w:val="24"/>
          <w:szCs w:val="24"/>
        </w:rPr>
        <w:t xml:space="preserve">bservational </w:t>
      </w:r>
      <w:r w:rsidR="005F300B" w:rsidRPr="001020E4">
        <w:rPr>
          <w:rFonts w:asciiTheme="majorBidi" w:hAnsiTheme="majorBidi"/>
          <w:sz w:val="24"/>
          <w:szCs w:val="24"/>
        </w:rPr>
        <w:t>cross-sectional</w:t>
      </w:r>
      <w:r w:rsidR="00186D3A" w:rsidRPr="001020E4">
        <w:rPr>
          <w:rFonts w:asciiTheme="majorBidi" w:hAnsiTheme="majorBidi"/>
          <w:sz w:val="24"/>
          <w:szCs w:val="24"/>
        </w:rPr>
        <w:t xml:space="preserve"> study</w:t>
      </w:r>
      <w:r w:rsidR="00547F4B" w:rsidRPr="001020E4">
        <w:rPr>
          <w:rFonts w:asciiTheme="majorBidi" w:hAnsiTheme="majorBidi"/>
          <w:sz w:val="24"/>
          <w:szCs w:val="24"/>
        </w:rPr>
        <w:t xml:space="preserve"> [20]</w:t>
      </w:r>
      <w:r w:rsidRPr="001020E4">
        <w:rPr>
          <w:rFonts w:asciiTheme="majorBidi" w:hAnsiTheme="majorBidi"/>
          <w:sz w:val="24"/>
          <w:szCs w:val="24"/>
        </w:rPr>
        <w:t xml:space="preserve"> for patients diagnosed </w:t>
      </w:r>
      <w:r w:rsidR="005F300B" w:rsidRPr="001020E4">
        <w:rPr>
          <w:rFonts w:asciiTheme="majorBidi" w:hAnsiTheme="majorBidi"/>
          <w:sz w:val="24"/>
          <w:szCs w:val="24"/>
        </w:rPr>
        <w:t xml:space="preserve">with </w:t>
      </w:r>
      <w:r w:rsidRPr="001020E4">
        <w:rPr>
          <w:rFonts w:asciiTheme="majorBidi" w:hAnsiTheme="majorBidi"/>
          <w:sz w:val="24"/>
          <w:szCs w:val="24"/>
        </w:rPr>
        <w:t xml:space="preserve">HCC from Jan 2019 </w:t>
      </w:r>
      <w:r w:rsidR="005F300B" w:rsidRPr="001020E4">
        <w:rPr>
          <w:rFonts w:asciiTheme="majorBidi" w:hAnsiTheme="majorBidi"/>
          <w:sz w:val="24"/>
          <w:szCs w:val="24"/>
        </w:rPr>
        <w:t>to</w:t>
      </w:r>
      <w:r w:rsidRPr="001020E4">
        <w:rPr>
          <w:rFonts w:asciiTheme="majorBidi" w:hAnsiTheme="majorBidi"/>
          <w:sz w:val="24"/>
          <w:szCs w:val="24"/>
        </w:rPr>
        <w:t xml:space="preserve"> Dec 2021 admitted </w:t>
      </w:r>
      <w:r w:rsidR="005F300B" w:rsidRPr="001020E4">
        <w:rPr>
          <w:rFonts w:asciiTheme="majorBidi" w:hAnsiTheme="majorBidi"/>
          <w:sz w:val="24"/>
          <w:szCs w:val="24"/>
        </w:rPr>
        <w:t xml:space="preserve">to </w:t>
      </w:r>
      <w:r w:rsidRPr="001020E4">
        <w:rPr>
          <w:rFonts w:asciiTheme="majorBidi" w:hAnsiTheme="majorBidi"/>
          <w:sz w:val="24"/>
          <w:szCs w:val="24"/>
        </w:rPr>
        <w:t xml:space="preserve">Zagazig </w:t>
      </w:r>
      <w:r w:rsidR="004825AA" w:rsidRPr="001020E4">
        <w:rPr>
          <w:rFonts w:asciiTheme="majorBidi" w:hAnsiTheme="majorBidi"/>
          <w:sz w:val="24"/>
          <w:szCs w:val="24"/>
        </w:rPr>
        <w:t>University</w:t>
      </w:r>
      <w:r w:rsidRPr="001020E4">
        <w:rPr>
          <w:rFonts w:asciiTheme="majorBidi" w:hAnsiTheme="majorBidi"/>
          <w:sz w:val="24"/>
          <w:szCs w:val="24"/>
        </w:rPr>
        <w:t xml:space="preserve"> hospitals</w:t>
      </w:r>
      <w:r w:rsidR="00331CE1" w:rsidRPr="001020E4">
        <w:rPr>
          <w:rFonts w:asciiTheme="majorBidi" w:hAnsiTheme="majorBidi"/>
          <w:sz w:val="24"/>
          <w:szCs w:val="24"/>
        </w:rPr>
        <w:t xml:space="preserve"> (HCC </w:t>
      </w:r>
      <w:r w:rsidR="00C42206" w:rsidRPr="001020E4">
        <w:rPr>
          <w:rFonts w:asciiTheme="majorBidi" w:hAnsiTheme="majorBidi"/>
          <w:sz w:val="24"/>
          <w:szCs w:val="24"/>
        </w:rPr>
        <w:t>analyzed</w:t>
      </w:r>
      <w:r w:rsidR="00331CE1" w:rsidRPr="001020E4">
        <w:rPr>
          <w:rFonts w:asciiTheme="majorBidi" w:hAnsiTheme="majorBidi"/>
          <w:sz w:val="24"/>
          <w:szCs w:val="24"/>
        </w:rPr>
        <w:t xml:space="preserve"> by history, </w:t>
      </w:r>
      <w:r w:rsidR="005F300B" w:rsidRPr="001020E4">
        <w:rPr>
          <w:rFonts w:asciiTheme="majorBidi" w:hAnsiTheme="majorBidi"/>
          <w:sz w:val="24"/>
          <w:szCs w:val="24"/>
        </w:rPr>
        <w:t>clinical</w:t>
      </w:r>
      <w:r w:rsidR="00331CE1" w:rsidRPr="001020E4">
        <w:rPr>
          <w:rFonts w:asciiTheme="majorBidi" w:hAnsiTheme="majorBidi"/>
          <w:sz w:val="24"/>
          <w:szCs w:val="24"/>
        </w:rPr>
        <w:t>, laboratory</w:t>
      </w:r>
      <w:r w:rsidR="005F300B" w:rsidRPr="001020E4">
        <w:rPr>
          <w:rFonts w:asciiTheme="majorBidi" w:hAnsiTheme="majorBidi"/>
          <w:sz w:val="24"/>
          <w:szCs w:val="24"/>
        </w:rPr>
        <w:t>,</w:t>
      </w:r>
      <w:r w:rsidR="00331CE1" w:rsidRPr="001020E4">
        <w:rPr>
          <w:rFonts w:asciiTheme="majorBidi" w:hAnsiTheme="majorBidi"/>
          <w:sz w:val="24"/>
          <w:szCs w:val="24"/>
        </w:rPr>
        <w:t xml:space="preserve"> and radiological measures)</w:t>
      </w:r>
      <w:r w:rsidRPr="001020E4">
        <w:rPr>
          <w:rFonts w:asciiTheme="majorBidi" w:hAnsiTheme="majorBidi"/>
          <w:sz w:val="24"/>
          <w:szCs w:val="24"/>
        </w:rPr>
        <w:t>.</w:t>
      </w:r>
      <w:r w:rsidR="0052790A" w:rsidRPr="001020E4">
        <w:rPr>
          <w:rFonts w:asciiTheme="majorBidi" w:hAnsiTheme="majorBidi"/>
          <w:sz w:val="24"/>
          <w:szCs w:val="24"/>
        </w:rPr>
        <w:t xml:space="preserve"> </w:t>
      </w:r>
    </w:p>
    <w:p w14:paraId="6AE92C1F"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Inclusion criteria</w:t>
      </w:r>
    </w:p>
    <w:p w14:paraId="0E4EA2D1" w14:textId="54CE6238" w:rsidR="00CD404B" w:rsidRPr="001020E4" w:rsidRDefault="00FF0930" w:rsidP="00B17A96">
      <w:pPr>
        <w:pStyle w:val="NoSpacing"/>
        <w:jc w:val="both"/>
        <w:rPr>
          <w:rFonts w:asciiTheme="majorBidi" w:hAnsiTheme="majorBidi"/>
          <w:sz w:val="24"/>
          <w:szCs w:val="24"/>
        </w:rPr>
      </w:pPr>
      <w:r w:rsidRPr="001020E4">
        <w:rPr>
          <w:rFonts w:asciiTheme="majorBidi" w:hAnsiTheme="majorBidi"/>
          <w:sz w:val="24"/>
          <w:szCs w:val="24"/>
        </w:rPr>
        <w:t xml:space="preserve">The </w:t>
      </w:r>
      <w:r w:rsidR="00186D3A" w:rsidRPr="001020E4">
        <w:rPr>
          <w:rFonts w:asciiTheme="majorBidi" w:hAnsiTheme="majorBidi"/>
          <w:sz w:val="24"/>
          <w:szCs w:val="24"/>
        </w:rPr>
        <w:t>study</w:t>
      </w:r>
      <w:r w:rsidR="0053758C">
        <w:rPr>
          <w:rFonts w:asciiTheme="majorBidi" w:hAnsiTheme="majorBidi"/>
          <w:sz w:val="24"/>
          <w:szCs w:val="24"/>
        </w:rPr>
        <w:t>'</w:t>
      </w:r>
      <w:r w:rsidR="00186D3A" w:rsidRPr="001020E4">
        <w:rPr>
          <w:rFonts w:asciiTheme="majorBidi" w:hAnsiTheme="majorBidi"/>
          <w:sz w:val="24"/>
          <w:szCs w:val="24"/>
        </w:rPr>
        <w:t>s inclusion criteria</w:t>
      </w:r>
      <w:r w:rsidRPr="001020E4">
        <w:rPr>
          <w:rFonts w:asciiTheme="majorBidi" w:hAnsiTheme="majorBidi"/>
          <w:sz w:val="24"/>
          <w:szCs w:val="24"/>
        </w:rPr>
        <w:t xml:space="preserve"> were</w:t>
      </w:r>
      <w:r w:rsidR="00837194" w:rsidRPr="001020E4">
        <w:rPr>
          <w:rFonts w:asciiTheme="majorBidi" w:hAnsiTheme="majorBidi"/>
          <w:sz w:val="24"/>
          <w:szCs w:val="24"/>
        </w:rPr>
        <w:t xml:space="preserve"> </w:t>
      </w:r>
      <w:r w:rsidRPr="001020E4">
        <w:rPr>
          <w:rFonts w:asciiTheme="majorBidi" w:hAnsiTheme="majorBidi"/>
          <w:sz w:val="24"/>
          <w:szCs w:val="24"/>
        </w:rPr>
        <w:t>HCC patients post HCV</w:t>
      </w:r>
      <w:r w:rsidR="00837194" w:rsidRPr="001020E4">
        <w:rPr>
          <w:rFonts w:asciiTheme="majorBidi" w:hAnsiTheme="majorBidi"/>
          <w:sz w:val="24"/>
          <w:szCs w:val="24"/>
        </w:rPr>
        <w:t xml:space="preserve">, </w:t>
      </w:r>
      <w:r w:rsidR="00186D3A" w:rsidRPr="001020E4">
        <w:rPr>
          <w:rFonts w:asciiTheme="majorBidi" w:hAnsiTheme="majorBidi"/>
          <w:sz w:val="24"/>
          <w:szCs w:val="24"/>
        </w:rPr>
        <w:t>older</w:t>
      </w:r>
      <w:r w:rsidRPr="001020E4">
        <w:rPr>
          <w:rFonts w:asciiTheme="majorBidi" w:hAnsiTheme="majorBidi"/>
          <w:sz w:val="24"/>
          <w:szCs w:val="24"/>
        </w:rPr>
        <w:t xml:space="preserve"> than 18 years old</w:t>
      </w:r>
      <w:r w:rsidR="00E90B4E" w:rsidRPr="001020E4">
        <w:rPr>
          <w:rFonts w:asciiTheme="majorBidi" w:hAnsiTheme="majorBidi"/>
          <w:sz w:val="24"/>
          <w:szCs w:val="24"/>
        </w:rPr>
        <w:t>.</w:t>
      </w:r>
    </w:p>
    <w:p w14:paraId="79C8E1A5"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Exclusion criteria</w:t>
      </w:r>
    </w:p>
    <w:p w14:paraId="2A858036" w14:textId="50021D1B" w:rsidR="00CD404B" w:rsidRPr="001020E4" w:rsidRDefault="00FF0930" w:rsidP="00B17A96">
      <w:pPr>
        <w:pStyle w:val="NoSpacing"/>
        <w:jc w:val="both"/>
        <w:rPr>
          <w:rFonts w:asciiTheme="majorBidi" w:hAnsiTheme="majorBidi"/>
          <w:sz w:val="24"/>
          <w:szCs w:val="24"/>
        </w:rPr>
      </w:pPr>
      <w:r w:rsidRPr="001020E4">
        <w:rPr>
          <w:rFonts w:asciiTheme="majorBidi" w:hAnsiTheme="majorBidi"/>
          <w:sz w:val="24"/>
          <w:szCs w:val="24"/>
        </w:rPr>
        <w:t xml:space="preserve">The exclusion </w:t>
      </w:r>
      <w:r w:rsidR="00186D3A" w:rsidRPr="001020E4">
        <w:rPr>
          <w:rFonts w:asciiTheme="majorBidi" w:hAnsiTheme="majorBidi"/>
          <w:sz w:val="24"/>
          <w:szCs w:val="24"/>
        </w:rPr>
        <w:t>criteria</w:t>
      </w:r>
      <w:r w:rsidRPr="001020E4">
        <w:rPr>
          <w:rFonts w:asciiTheme="majorBidi" w:hAnsiTheme="majorBidi"/>
          <w:sz w:val="24"/>
          <w:szCs w:val="24"/>
        </w:rPr>
        <w:t xml:space="preserve"> in our study were age </w:t>
      </w:r>
      <w:r w:rsidR="00C64434" w:rsidRPr="001020E4">
        <w:rPr>
          <w:rFonts w:asciiTheme="majorBidi" w:hAnsiTheme="majorBidi"/>
          <w:sz w:val="24"/>
          <w:szCs w:val="24"/>
        </w:rPr>
        <w:t>l</w:t>
      </w:r>
      <w:r w:rsidRPr="001020E4">
        <w:rPr>
          <w:rFonts w:asciiTheme="majorBidi" w:hAnsiTheme="majorBidi"/>
          <w:sz w:val="24"/>
          <w:szCs w:val="24"/>
        </w:rPr>
        <w:t>ess than 18 years old, recurrent HCC, HCC patients</w:t>
      </w:r>
      <w:r w:rsidR="00186D3A" w:rsidRPr="001020E4">
        <w:rPr>
          <w:rFonts w:asciiTheme="majorBidi" w:hAnsiTheme="majorBidi"/>
          <w:sz w:val="24"/>
          <w:szCs w:val="24"/>
        </w:rPr>
        <w:t>,</w:t>
      </w:r>
      <w:r w:rsidRPr="001020E4">
        <w:rPr>
          <w:rFonts w:asciiTheme="majorBidi" w:hAnsiTheme="majorBidi"/>
          <w:sz w:val="24"/>
          <w:szCs w:val="24"/>
        </w:rPr>
        <w:t xml:space="preserve"> post autoimmune, HBV</w:t>
      </w:r>
      <w:r w:rsidR="00B17A96" w:rsidRPr="001020E4">
        <w:rPr>
          <w:rFonts w:asciiTheme="majorBidi" w:hAnsiTheme="majorBidi"/>
          <w:sz w:val="24"/>
          <w:szCs w:val="24"/>
        </w:rPr>
        <w:t xml:space="preserve"> liver diseases</w:t>
      </w:r>
      <w:r w:rsidR="00186D3A" w:rsidRPr="001020E4">
        <w:rPr>
          <w:rFonts w:asciiTheme="majorBidi" w:hAnsiTheme="majorBidi"/>
          <w:sz w:val="24"/>
          <w:szCs w:val="24"/>
        </w:rPr>
        <w:t>,</w:t>
      </w:r>
      <w:r w:rsidR="00B17A96" w:rsidRPr="001020E4">
        <w:rPr>
          <w:rFonts w:asciiTheme="majorBidi" w:hAnsiTheme="majorBidi"/>
          <w:sz w:val="24"/>
          <w:szCs w:val="24"/>
        </w:rPr>
        <w:t xml:space="preserve"> </w:t>
      </w:r>
      <w:r w:rsidR="00C42206" w:rsidRPr="001020E4">
        <w:rPr>
          <w:rFonts w:asciiTheme="majorBidi" w:hAnsiTheme="majorBidi"/>
          <w:sz w:val="24"/>
          <w:szCs w:val="24"/>
        </w:rPr>
        <w:t>and</w:t>
      </w:r>
      <w:r w:rsidRPr="001020E4">
        <w:rPr>
          <w:rFonts w:asciiTheme="majorBidi" w:hAnsiTheme="majorBidi"/>
          <w:sz w:val="24"/>
          <w:szCs w:val="24"/>
        </w:rPr>
        <w:t xml:space="preserve"> other known </w:t>
      </w:r>
      <w:r w:rsidR="00186D3A" w:rsidRPr="001020E4">
        <w:rPr>
          <w:rFonts w:asciiTheme="majorBidi" w:hAnsiTheme="majorBidi"/>
          <w:sz w:val="24"/>
          <w:szCs w:val="24"/>
        </w:rPr>
        <w:t>causes</w:t>
      </w:r>
      <w:r w:rsidRPr="001020E4">
        <w:rPr>
          <w:rFonts w:asciiTheme="majorBidi" w:hAnsiTheme="majorBidi"/>
          <w:sz w:val="24"/>
          <w:szCs w:val="24"/>
        </w:rPr>
        <w:t xml:space="preserve"> </w:t>
      </w:r>
      <w:r w:rsidR="00C42206" w:rsidRPr="001020E4">
        <w:rPr>
          <w:rFonts w:asciiTheme="majorBidi" w:hAnsiTheme="majorBidi"/>
          <w:sz w:val="24"/>
          <w:szCs w:val="24"/>
        </w:rPr>
        <w:t xml:space="preserve">such </w:t>
      </w:r>
      <w:r w:rsidRPr="001020E4">
        <w:rPr>
          <w:rFonts w:asciiTheme="majorBidi" w:hAnsiTheme="majorBidi"/>
          <w:sz w:val="24"/>
          <w:szCs w:val="24"/>
        </w:rPr>
        <w:t>as metabolic diseases</w:t>
      </w:r>
      <w:r w:rsidR="00B17A96" w:rsidRPr="001020E4">
        <w:rPr>
          <w:rFonts w:asciiTheme="majorBidi" w:hAnsiTheme="majorBidi"/>
          <w:sz w:val="24"/>
          <w:szCs w:val="24"/>
        </w:rPr>
        <w:t>. O</w:t>
      </w:r>
      <w:r w:rsidRPr="001020E4">
        <w:rPr>
          <w:rFonts w:asciiTheme="majorBidi" w:hAnsiTheme="majorBidi"/>
          <w:sz w:val="24"/>
          <w:szCs w:val="24"/>
        </w:rPr>
        <w:t xml:space="preserve">thers malignancies than HCC and </w:t>
      </w:r>
      <w:r w:rsidR="00B17A96" w:rsidRPr="001020E4">
        <w:rPr>
          <w:rFonts w:asciiTheme="majorBidi" w:hAnsiTheme="majorBidi"/>
          <w:sz w:val="24"/>
          <w:szCs w:val="24"/>
        </w:rPr>
        <w:t>l</w:t>
      </w:r>
      <w:r w:rsidRPr="001020E4">
        <w:rPr>
          <w:rFonts w:asciiTheme="majorBidi" w:hAnsiTheme="majorBidi"/>
          <w:sz w:val="24"/>
          <w:szCs w:val="24"/>
        </w:rPr>
        <w:t xml:space="preserve">iver </w:t>
      </w:r>
      <w:r w:rsidR="00C64434" w:rsidRPr="001020E4">
        <w:rPr>
          <w:rFonts w:asciiTheme="majorBidi" w:hAnsiTheme="majorBidi"/>
          <w:sz w:val="24"/>
          <w:szCs w:val="24"/>
        </w:rPr>
        <w:t>t</w:t>
      </w:r>
      <w:r w:rsidRPr="001020E4">
        <w:rPr>
          <w:rFonts w:asciiTheme="majorBidi" w:hAnsiTheme="majorBidi"/>
          <w:sz w:val="24"/>
          <w:szCs w:val="24"/>
        </w:rPr>
        <w:t>ransplanted patients</w:t>
      </w:r>
      <w:r w:rsidR="00757110" w:rsidRPr="001020E4">
        <w:rPr>
          <w:rFonts w:asciiTheme="majorBidi" w:hAnsiTheme="majorBidi"/>
          <w:sz w:val="24"/>
          <w:szCs w:val="24"/>
        </w:rPr>
        <w:t xml:space="preserve"> w</w:t>
      </w:r>
      <w:r w:rsidRPr="001020E4">
        <w:rPr>
          <w:rFonts w:asciiTheme="majorBidi" w:hAnsiTheme="majorBidi"/>
          <w:sz w:val="24"/>
          <w:szCs w:val="24"/>
        </w:rPr>
        <w:t>ere excluded.</w:t>
      </w:r>
    </w:p>
    <w:p w14:paraId="5E946877" w14:textId="2E1355D7" w:rsidR="00CD404B" w:rsidRPr="00761549" w:rsidRDefault="00757110" w:rsidP="00634ACA">
      <w:pPr>
        <w:pStyle w:val="NoSpacing"/>
        <w:jc w:val="both"/>
        <w:rPr>
          <w:rFonts w:asciiTheme="majorBidi" w:hAnsiTheme="majorBidi"/>
          <w:b/>
          <w:bCs/>
          <w:sz w:val="24"/>
          <w:szCs w:val="24"/>
        </w:rPr>
      </w:pPr>
      <w:r w:rsidRPr="00761549">
        <w:rPr>
          <w:rFonts w:asciiTheme="majorBidi" w:hAnsiTheme="majorBidi"/>
          <w:b/>
          <w:bCs/>
          <w:sz w:val="24"/>
          <w:szCs w:val="24"/>
        </w:rPr>
        <w:t>Patients</w:t>
      </w:r>
      <w:r w:rsidR="0053758C" w:rsidRPr="00761549">
        <w:rPr>
          <w:rFonts w:asciiTheme="majorBidi" w:hAnsiTheme="majorBidi"/>
          <w:b/>
          <w:bCs/>
          <w:sz w:val="24"/>
          <w:szCs w:val="24"/>
        </w:rPr>
        <w:t>'</w:t>
      </w:r>
      <w:r w:rsidR="00CD404B" w:rsidRPr="00761549">
        <w:rPr>
          <w:rFonts w:asciiTheme="majorBidi" w:hAnsiTheme="majorBidi"/>
          <w:b/>
          <w:bCs/>
          <w:sz w:val="24"/>
          <w:szCs w:val="24"/>
        </w:rPr>
        <w:t xml:space="preserve"> assessment</w:t>
      </w:r>
    </w:p>
    <w:p w14:paraId="7E7876B1" w14:textId="3109D8E2" w:rsidR="00CD404B" w:rsidRPr="001020E4" w:rsidRDefault="00C42206" w:rsidP="00B17A96">
      <w:pPr>
        <w:pStyle w:val="NoSpacing"/>
        <w:jc w:val="both"/>
        <w:rPr>
          <w:rFonts w:asciiTheme="majorBidi" w:hAnsiTheme="majorBidi"/>
          <w:sz w:val="24"/>
          <w:szCs w:val="24"/>
        </w:rPr>
      </w:pPr>
      <w:r w:rsidRPr="001020E4">
        <w:rPr>
          <w:rFonts w:asciiTheme="majorBidi" w:hAnsiTheme="majorBidi"/>
          <w:sz w:val="24"/>
          <w:szCs w:val="24"/>
        </w:rPr>
        <w:t>Whole</w:t>
      </w:r>
      <w:r w:rsidR="00496B0A" w:rsidRPr="001020E4">
        <w:rPr>
          <w:rFonts w:asciiTheme="majorBidi" w:hAnsiTheme="majorBidi"/>
          <w:sz w:val="24"/>
          <w:szCs w:val="24"/>
        </w:rPr>
        <w:t xml:space="preserve"> history taking</w:t>
      </w:r>
      <w:r w:rsidR="0052790A" w:rsidRPr="001020E4">
        <w:rPr>
          <w:rFonts w:asciiTheme="majorBidi" w:hAnsiTheme="majorBidi"/>
          <w:sz w:val="24"/>
          <w:szCs w:val="24"/>
        </w:rPr>
        <w:t xml:space="preserve"> was detailed </w:t>
      </w:r>
      <w:r w:rsidRPr="001020E4">
        <w:rPr>
          <w:rFonts w:asciiTheme="majorBidi" w:hAnsiTheme="majorBidi"/>
          <w:sz w:val="24"/>
          <w:szCs w:val="24"/>
        </w:rPr>
        <w:t>by</w:t>
      </w:r>
      <w:r w:rsidR="0052790A" w:rsidRPr="001020E4">
        <w:rPr>
          <w:rFonts w:asciiTheme="majorBidi" w:hAnsiTheme="majorBidi"/>
          <w:sz w:val="24"/>
          <w:szCs w:val="24"/>
        </w:rPr>
        <w:t xml:space="preserve"> the patients or their relatives about the time, period, type of medications </w:t>
      </w:r>
      <w:r w:rsidRPr="001020E4">
        <w:rPr>
          <w:rFonts w:asciiTheme="majorBidi" w:hAnsiTheme="majorBidi"/>
          <w:sz w:val="24"/>
          <w:szCs w:val="24"/>
        </w:rPr>
        <w:t>taken</w:t>
      </w:r>
      <w:r w:rsidR="00687C9F" w:rsidRPr="001020E4">
        <w:rPr>
          <w:rFonts w:asciiTheme="majorBidi" w:hAnsiTheme="majorBidi"/>
          <w:sz w:val="24"/>
          <w:szCs w:val="24"/>
        </w:rPr>
        <w:t>, presenting symptoms</w:t>
      </w:r>
      <w:r w:rsidR="00A22719" w:rsidRPr="001020E4">
        <w:rPr>
          <w:rFonts w:asciiTheme="majorBidi" w:hAnsiTheme="majorBidi"/>
          <w:sz w:val="24"/>
          <w:szCs w:val="24"/>
        </w:rPr>
        <w:t xml:space="preserve"> of HCC</w:t>
      </w:r>
      <w:r w:rsidR="00687C9F" w:rsidRPr="001020E4">
        <w:rPr>
          <w:rFonts w:asciiTheme="majorBidi" w:hAnsiTheme="majorBidi"/>
          <w:sz w:val="24"/>
          <w:szCs w:val="24"/>
        </w:rPr>
        <w:t>, history</w:t>
      </w:r>
      <w:r w:rsidRPr="001020E4">
        <w:rPr>
          <w:rFonts w:asciiTheme="majorBidi" w:hAnsiTheme="majorBidi"/>
          <w:sz w:val="24"/>
          <w:szCs w:val="24"/>
        </w:rPr>
        <w:t>,</w:t>
      </w:r>
      <w:r w:rsidR="00687C9F" w:rsidRPr="001020E4">
        <w:rPr>
          <w:rFonts w:asciiTheme="majorBidi" w:hAnsiTheme="majorBidi"/>
          <w:sz w:val="24"/>
          <w:szCs w:val="24"/>
        </w:rPr>
        <w:t xml:space="preserve"> and family history. </w:t>
      </w:r>
      <w:r w:rsidRPr="001020E4">
        <w:rPr>
          <w:rFonts w:asciiTheme="majorBidi" w:hAnsiTheme="majorBidi"/>
          <w:sz w:val="24"/>
          <w:szCs w:val="24"/>
        </w:rPr>
        <w:t>A complete</w:t>
      </w:r>
      <w:r w:rsidR="00687C9F" w:rsidRPr="001020E4">
        <w:rPr>
          <w:rFonts w:asciiTheme="majorBidi" w:hAnsiTheme="majorBidi"/>
          <w:sz w:val="24"/>
          <w:szCs w:val="24"/>
        </w:rPr>
        <w:t xml:space="preserve"> examination, routine investigation,</w:t>
      </w:r>
      <w:r w:rsidR="00B17A96" w:rsidRPr="001020E4">
        <w:rPr>
          <w:rFonts w:asciiTheme="majorBidi" w:hAnsiTheme="majorBidi"/>
          <w:sz w:val="24"/>
          <w:szCs w:val="24"/>
        </w:rPr>
        <w:t xml:space="preserve"> HCV PCR, HBV surface antigen,</w:t>
      </w:r>
      <w:r w:rsidR="00687C9F" w:rsidRPr="001020E4">
        <w:rPr>
          <w:rFonts w:asciiTheme="majorBidi" w:hAnsiTheme="majorBidi"/>
          <w:sz w:val="24"/>
          <w:szCs w:val="24"/>
        </w:rPr>
        <w:t xml:space="preserve"> α fetoprotein, abdominal ultrasound, </w:t>
      </w:r>
      <w:r w:rsidR="00496B0A" w:rsidRPr="001020E4">
        <w:rPr>
          <w:rFonts w:asciiTheme="majorBidi" w:hAnsiTheme="majorBidi"/>
          <w:sz w:val="24"/>
          <w:szCs w:val="24"/>
        </w:rPr>
        <w:t>Abd</w:t>
      </w:r>
      <w:r w:rsidR="00687C9F" w:rsidRPr="001020E4">
        <w:rPr>
          <w:rFonts w:asciiTheme="majorBidi" w:hAnsiTheme="majorBidi"/>
          <w:sz w:val="24"/>
          <w:szCs w:val="24"/>
        </w:rPr>
        <w:t>ominal Triphasic CT</w:t>
      </w:r>
      <w:r w:rsidRPr="001020E4">
        <w:rPr>
          <w:rFonts w:asciiTheme="majorBidi" w:hAnsiTheme="majorBidi"/>
          <w:sz w:val="24"/>
          <w:szCs w:val="24"/>
        </w:rPr>
        <w:t>,</w:t>
      </w:r>
      <w:r w:rsidR="00687C9F" w:rsidRPr="001020E4">
        <w:rPr>
          <w:rFonts w:asciiTheme="majorBidi" w:hAnsiTheme="majorBidi"/>
          <w:sz w:val="24"/>
          <w:szCs w:val="24"/>
        </w:rPr>
        <w:t xml:space="preserve"> </w:t>
      </w:r>
      <w:r w:rsidR="00023684" w:rsidRPr="001020E4">
        <w:rPr>
          <w:rFonts w:asciiTheme="majorBidi" w:hAnsiTheme="majorBidi"/>
          <w:sz w:val="24"/>
          <w:szCs w:val="24"/>
        </w:rPr>
        <w:t>and</w:t>
      </w:r>
      <w:r w:rsidR="00687C9F" w:rsidRPr="001020E4">
        <w:rPr>
          <w:rFonts w:asciiTheme="majorBidi" w:hAnsiTheme="majorBidi"/>
          <w:sz w:val="24"/>
          <w:szCs w:val="24"/>
        </w:rPr>
        <w:t xml:space="preserve"> MRI were evaluated to confirm HCC according to BCLC</w:t>
      </w:r>
      <w:r w:rsidR="00A62366" w:rsidRPr="001020E4">
        <w:rPr>
          <w:rFonts w:asciiTheme="majorBidi" w:hAnsiTheme="majorBidi"/>
          <w:sz w:val="24"/>
          <w:szCs w:val="24"/>
        </w:rPr>
        <w:t xml:space="preserve"> </w:t>
      </w:r>
      <w:r w:rsidR="00A62366" w:rsidRPr="001020E4">
        <w:rPr>
          <w:rFonts w:asciiTheme="minorHAnsi" w:hAnsiTheme="minorHAnsi" w:cstheme="minorHAnsi"/>
          <w:color w:val="333333"/>
          <w:sz w:val="24"/>
          <w:szCs w:val="24"/>
          <w:shd w:val="clear" w:color="auto" w:fill="FCFCFC"/>
        </w:rPr>
        <w:t>[18].</w:t>
      </w:r>
      <w:r w:rsidR="00687C9F" w:rsidRPr="001020E4">
        <w:rPr>
          <w:rFonts w:asciiTheme="majorBidi" w:hAnsiTheme="majorBidi"/>
          <w:sz w:val="24"/>
          <w:szCs w:val="24"/>
        </w:rPr>
        <w:t xml:space="preserve"> </w:t>
      </w:r>
      <w:r w:rsidR="00634ACA" w:rsidRPr="001020E4">
        <w:rPr>
          <w:rFonts w:asciiTheme="majorBidi" w:hAnsiTheme="majorBidi"/>
          <w:sz w:val="24"/>
          <w:szCs w:val="24"/>
        </w:rPr>
        <w:t xml:space="preserve">The </w:t>
      </w:r>
      <w:r w:rsidR="002D4D77" w:rsidRPr="001020E4">
        <w:rPr>
          <w:rFonts w:asciiTheme="majorBidi" w:hAnsiTheme="majorBidi"/>
          <w:sz w:val="24"/>
          <w:szCs w:val="24"/>
        </w:rPr>
        <w:t xml:space="preserve">screening </w:t>
      </w:r>
      <w:r w:rsidR="00B17A96" w:rsidRPr="001020E4">
        <w:rPr>
          <w:rFonts w:asciiTheme="majorBidi" w:hAnsiTheme="majorBidi"/>
          <w:sz w:val="24"/>
          <w:szCs w:val="24"/>
        </w:rPr>
        <w:t>program</w:t>
      </w:r>
      <w:r w:rsidR="002D4D77" w:rsidRPr="001020E4">
        <w:rPr>
          <w:rFonts w:asciiTheme="majorBidi" w:hAnsiTheme="majorBidi"/>
          <w:sz w:val="24"/>
          <w:szCs w:val="24"/>
        </w:rPr>
        <w:t xml:space="preserve"> of HCC</w:t>
      </w:r>
      <w:r w:rsidR="00B17A96" w:rsidRPr="001020E4">
        <w:rPr>
          <w:rFonts w:asciiTheme="majorBidi" w:hAnsiTheme="majorBidi"/>
          <w:sz w:val="24"/>
          <w:szCs w:val="24"/>
        </w:rPr>
        <w:t xml:space="preserve"> post HCV therapy by DAAs</w:t>
      </w:r>
      <w:r w:rsidR="002D4D77" w:rsidRPr="001020E4">
        <w:rPr>
          <w:rFonts w:asciiTheme="majorBidi" w:hAnsiTheme="majorBidi"/>
          <w:sz w:val="24"/>
          <w:szCs w:val="24"/>
        </w:rPr>
        <w:t xml:space="preserve"> is by abdominal US every </w:t>
      </w:r>
      <w:r w:rsidR="00023684" w:rsidRPr="001020E4">
        <w:rPr>
          <w:rFonts w:asciiTheme="majorBidi" w:hAnsiTheme="majorBidi"/>
          <w:sz w:val="24"/>
          <w:szCs w:val="24"/>
        </w:rPr>
        <w:t>six</w:t>
      </w:r>
      <w:r w:rsidRPr="001020E4">
        <w:rPr>
          <w:rFonts w:asciiTheme="majorBidi" w:hAnsiTheme="majorBidi"/>
          <w:sz w:val="24"/>
          <w:szCs w:val="24"/>
        </w:rPr>
        <w:t xml:space="preserve"> months</w:t>
      </w:r>
      <w:r w:rsidR="002D4D77" w:rsidRPr="001020E4">
        <w:rPr>
          <w:rFonts w:asciiTheme="majorBidi" w:hAnsiTheme="majorBidi"/>
          <w:sz w:val="24"/>
          <w:szCs w:val="24"/>
        </w:rPr>
        <w:t xml:space="preserve"> ± α-FP, irrespective of liver cirrhosis.</w:t>
      </w:r>
    </w:p>
    <w:p w14:paraId="1B6042A1" w14:textId="77777777" w:rsidR="00CD404B" w:rsidRPr="00761549" w:rsidRDefault="00CD404B" w:rsidP="00634ACA">
      <w:pPr>
        <w:pStyle w:val="NoSpacing"/>
        <w:jc w:val="both"/>
        <w:rPr>
          <w:rFonts w:asciiTheme="majorBidi" w:hAnsiTheme="majorBidi"/>
          <w:b/>
          <w:bCs/>
          <w:sz w:val="24"/>
          <w:szCs w:val="24"/>
        </w:rPr>
      </w:pPr>
      <w:r w:rsidRPr="00761549">
        <w:rPr>
          <w:rFonts w:asciiTheme="majorBidi" w:hAnsiTheme="majorBidi"/>
          <w:b/>
          <w:bCs/>
          <w:sz w:val="24"/>
          <w:szCs w:val="24"/>
        </w:rPr>
        <w:t>Treatment of HCC</w:t>
      </w:r>
    </w:p>
    <w:p w14:paraId="56E8EDE2" w14:textId="77753B2C" w:rsidR="00CD404B" w:rsidRPr="001020E4" w:rsidRDefault="009203E3" w:rsidP="00634ACA">
      <w:pPr>
        <w:pStyle w:val="NoSpacing"/>
        <w:jc w:val="both"/>
        <w:rPr>
          <w:rFonts w:asciiTheme="majorBidi" w:hAnsiTheme="majorBidi"/>
          <w:sz w:val="24"/>
          <w:szCs w:val="24"/>
        </w:rPr>
      </w:pPr>
      <w:r w:rsidRPr="001020E4">
        <w:rPr>
          <w:rFonts w:asciiTheme="majorBidi" w:hAnsiTheme="majorBidi"/>
          <w:sz w:val="24"/>
          <w:szCs w:val="24"/>
        </w:rPr>
        <w:t>The type of intervention</w:t>
      </w:r>
      <w:r w:rsidR="00C42206" w:rsidRPr="001020E4">
        <w:rPr>
          <w:rFonts w:asciiTheme="majorBidi" w:hAnsiTheme="majorBidi"/>
          <w:sz w:val="24"/>
          <w:szCs w:val="24"/>
        </w:rPr>
        <w:t>,</w:t>
      </w:r>
      <w:r w:rsidRPr="001020E4">
        <w:rPr>
          <w:rFonts w:asciiTheme="majorBidi" w:hAnsiTheme="majorBidi"/>
          <w:sz w:val="24"/>
          <w:szCs w:val="24"/>
        </w:rPr>
        <w:t xml:space="preserve"> according to </w:t>
      </w:r>
      <w:r w:rsidR="004E644C" w:rsidRPr="001020E4">
        <w:rPr>
          <w:rFonts w:asciiTheme="majorBidi" w:hAnsiTheme="majorBidi"/>
          <w:sz w:val="24"/>
          <w:szCs w:val="24"/>
        </w:rPr>
        <w:t>Barcelona Clinic Liver Cancer (</w:t>
      </w:r>
      <w:r w:rsidRPr="001020E4">
        <w:rPr>
          <w:rFonts w:asciiTheme="majorBidi" w:hAnsiTheme="majorBidi"/>
          <w:sz w:val="24"/>
          <w:szCs w:val="24"/>
        </w:rPr>
        <w:t>BCLC</w:t>
      </w:r>
      <w:r w:rsidR="004E644C" w:rsidRPr="001020E4">
        <w:rPr>
          <w:rFonts w:asciiTheme="majorBidi" w:hAnsiTheme="majorBidi"/>
          <w:sz w:val="24"/>
          <w:szCs w:val="24"/>
        </w:rPr>
        <w:t>)</w:t>
      </w:r>
      <w:r w:rsidRPr="001020E4">
        <w:rPr>
          <w:rFonts w:asciiTheme="majorBidi" w:hAnsiTheme="majorBidi"/>
          <w:sz w:val="24"/>
          <w:szCs w:val="24"/>
        </w:rPr>
        <w:t xml:space="preserve"> </w:t>
      </w:r>
      <w:r w:rsidR="004E644C" w:rsidRPr="001020E4">
        <w:rPr>
          <w:rFonts w:asciiTheme="majorBidi" w:hAnsiTheme="majorBidi"/>
          <w:sz w:val="24"/>
          <w:szCs w:val="24"/>
        </w:rPr>
        <w:t>[</w:t>
      </w:r>
      <w:r w:rsidR="00516074" w:rsidRPr="001020E4">
        <w:rPr>
          <w:rFonts w:asciiTheme="majorBidi" w:hAnsiTheme="majorBidi"/>
          <w:sz w:val="24"/>
          <w:szCs w:val="24"/>
        </w:rPr>
        <w:t>18</w:t>
      </w:r>
      <w:r w:rsidR="004E644C" w:rsidRPr="001020E4">
        <w:rPr>
          <w:rFonts w:asciiTheme="majorBidi" w:hAnsiTheme="majorBidi"/>
          <w:sz w:val="24"/>
          <w:szCs w:val="24"/>
        </w:rPr>
        <w:t>]</w:t>
      </w:r>
      <w:r w:rsidR="00516074" w:rsidRPr="001020E4">
        <w:rPr>
          <w:rFonts w:asciiTheme="majorBidi" w:hAnsiTheme="majorBidi"/>
          <w:sz w:val="24"/>
          <w:szCs w:val="24"/>
        </w:rPr>
        <w:t xml:space="preserve"> </w:t>
      </w:r>
      <w:r w:rsidRPr="001020E4">
        <w:rPr>
          <w:rFonts w:asciiTheme="majorBidi" w:hAnsiTheme="majorBidi"/>
          <w:sz w:val="24"/>
          <w:szCs w:val="24"/>
        </w:rPr>
        <w:t>of the patients was</w:t>
      </w:r>
      <w:r w:rsidR="001F3617" w:rsidRPr="001020E4">
        <w:rPr>
          <w:rFonts w:asciiTheme="majorBidi" w:hAnsiTheme="majorBidi"/>
          <w:sz w:val="24"/>
          <w:szCs w:val="24"/>
        </w:rPr>
        <w:t xml:space="preserve"> percutaneous ethanol injection (PEI),</w:t>
      </w:r>
      <w:r w:rsidRPr="001020E4">
        <w:rPr>
          <w:rFonts w:asciiTheme="majorBidi" w:hAnsiTheme="majorBidi"/>
          <w:sz w:val="24"/>
          <w:szCs w:val="24"/>
        </w:rPr>
        <w:t xml:space="preserve"> microwave ablation, Radiofrequency</w:t>
      </w:r>
      <w:r w:rsidR="00266AA4" w:rsidRPr="001020E4">
        <w:rPr>
          <w:rFonts w:asciiTheme="majorBidi" w:hAnsiTheme="majorBidi"/>
          <w:sz w:val="24"/>
          <w:szCs w:val="24"/>
        </w:rPr>
        <w:t xml:space="preserve"> (RF)</w:t>
      </w:r>
      <w:r w:rsidRPr="001020E4">
        <w:rPr>
          <w:rFonts w:asciiTheme="majorBidi" w:hAnsiTheme="majorBidi"/>
          <w:sz w:val="24"/>
          <w:szCs w:val="24"/>
        </w:rPr>
        <w:t xml:space="preserve">, </w:t>
      </w:r>
      <w:r w:rsidR="00266AA4" w:rsidRPr="001020E4">
        <w:rPr>
          <w:rFonts w:asciiTheme="majorBidi" w:hAnsiTheme="majorBidi"/>
          <w:sz w:val="24"/>
          <w:szCs w:val="24"/>
        </w:rPr>
        <w:t>Transarterial chemoembolization (</w:t>
      </w:r>
      <w:r w:rsidRPr="001020E4">
        <w:rPr>
          <w:rFonts w:asciiTheme="majorBidi" w:hAnsiTheme="majorBidi"/>
          <w:sz w:val="24"/>
          <w:szCs w:val="24"/>
        </w:rPr>
        <w:t>TACE</w:t>
      </w:r>
      <w:r w:rsidR="00266AA4" w:rsidRPr="001020E4">
        <w:rPr>
          <w:rFonts w:asciiTheme="majorBidi" w:hAnsiTheme="majorBidi"/>
          <w:sz w:val="24"/>
          <w:szCs w:val="24"/>
        </w:rPr>
        <w:t>)</w:t>
      </w:r>
      <w:r w:rsidRPr="001020E4">
        <w:rPr>
          <w:rFonts w:asciiTheme="majorBidi" w:hAnsiTheme="majorBidi"/>
          <w:sz w:val="24"/>
          <w:szCs w:val="24"/>
        </w:rPr>
        <w:t xml:space="preserve">, targeted therapy, supportive </w:t>
      </w:r>
      <w:r w:rsidR="00571194" w:rsidRPr="001020E4">
        <w:rPr>
          <w:rFonts w:asciiTheme="majorBidi" w:hAnsiTheme="majorBidi"/>
          <w:sz w:val="24"/>
          <w:szCs w:val="24"/>
        </w:rPr>
        <w:t xml:space="preserve">management </w:t>
      </w:r>
      <w:r w:rsidR="00023684" w:rsidRPr="001020E4">
        <w:rPr>
          <w:rFonts w:asciiTheme="majorBidi" w:hAnsiTheme="majorBidi"/>
          <w:sz w:val="24"/>
          <w:szCs w:val="24"/>
        </w:rPr>
        <w:t>and</w:t>
      </w:r>
      <w:r w:rsidR="00571194" w:rsidRPr="001020E4">
        <w:rPr>
          <w:rFonts w:asciiTheme="majorBidi" w:hAnsiTheme="majorBidi"/>
          <w:sz w:val="24"/>
          <w:szCs w:val="24"/>
        </w:rPr>
        <w:t xml:space="preserve"> referral to</w:t>
      </w:r>
      <w:r w:rsidR="00A22719" w:rsidRPr="001020E4">
        <w:rPr>
          <w:rFonts w:asciiTheme="majorBidi" w:hAnsiTheme="majorBidi"/>
          <w:sz w:val="24"/>
          <w:szCs w:val="24"/>
        </w:rPr>
        <w:t xml:space="preserve"> liver resection or</w:t>
      </w:r>
      <w:r w:rsidR="00571194" w:rsidRPr="001020E4">
        <w:rPr>
          <w:rFonts w:asciiTheme="majorBidi" w:hAnsiTheme="majorBidi"/>
          <w:sz w:val="24"/>
          <w:szCs w:val="24"/>
        </w:rPr>
        <w:t xml:space="preserve"> transplantation according to Milan criteria</w:t>
      </w:r>
      <w:r w:rsidR="004E644C" w:rsidRPr="001020E4">
        <w:rPr>
          <w:rFonts w:asciiTheme="majorBidi" w:hAnsiTheme="majorBidi"/>
          <w:sz w:val="24"/>
          <w:szCs w:val="24"/>
        </w:rPr>
        <w:t xml:space="preserve"> </w:t>
      </w:r>
      <w:r w:rsidR="004E644C" w:rsidRPr="001020E4">
        <w:rPr>
          <w:rFonts w:asciiTheme="majorBidi" w:hAnsiTheme="majorBidi" w:cstheme="majorBidi"/>
          <w:sz w:val="24"/>
          <w:szCs w:val="24"/>
        </w:rPr>
        <w:t>[</w:t>
      </w:r>
      <w:r w:rsidR="00F60637" w:rsidRPr="001020E4">
        <w:rPr>
          <w:rFonts w:asciiTheme="majorBidi" w:hAnsiTheme="majorBidi" w:cstheme="majorBidi"/>
          <w:sz w:val="24"/>
          <w:szCs w:val="24"/>
        </w:rPr>
        <w:t>19</w:t>
      </w:r>
      <w:r w:rsidR="004E644C" w:rsidRPr="001020E4">
        <w:rPr>
          <w:rFonts w:asciiTheme="majorBidi" w:hAnsiTheme="majorBidi" w:cstheme="majorBidi"/>
          <w:sz w:val="24"/>
          <w:szCs w:val="24"/>
        </w:rPr>
        <w:t>]</w:t>
      </w:r>
      <w:r w:rsidR="00571194" w:rsidRPr="001020E4">
        <w:rPr>
          <w:rFonts w:asciiTheme="majorBidi" w:hAnsiTheme="majorBidi"/>
          <w:sz w:val="24"/>
          <w:szCs w:val="24"/>
        </w:rPr>
        <w:t>.</w:t>
      </w:r>
    </w:p>
    <w:p w14:paraId="3D34AFCE" w14:textId="77777777" w:rsidR="00213B1D" w:rsidRPr="00761549" w:rsidRDefault="00213B1D" w:rsidP="00634ACA">
      <w:pPr>
        <w:pStyle w:val="NoSpacing"/>
        <w:jc w:val="both"/>
        <w:rPr>
          <w:rFonts w:asciiTheme="majorBidi" w:hAnsiTheme="majorBidi"/>
          <w:b/>
          <w:bCs/>
          <w:sz w:val="24"/>
          <w:szCs w:val="24"/>
          <w:rtl/>
          <w:lang w:bidi="ar-EG"/>
        </w:rPr>
      </w:pPr>
      <w:r w:rsidRPr="00761549">
        <w:rPr>
          <w:rFonts w:asciiTheme="majorBidi" w:hAnsiTheme="majorBidi"/>
          <w:b/>
          <w:bCs/>
          <w:sz w:val="24"/>
          <w:szCs w:val="24"/>
          <w:lang w:bidi="ar-EG"/>
        </w:rPr>
        <w:t>Statistical analysis</w:t>
      </w:r>
    </w:p>
    <w:p w14:paraId="294939B2" w14:textId="4C836FEC" w:rsidR="00213B1D" w:rsidRPr="00234B0F" w:rsidRDefault="00213B1D" w:rsidP="00634ACA">
      <w:pPr>
        <w:pStyle w:val="NoSpacing"/>
        <w:jc w:val="both"/>
        <w:rPr>
          <w:rFonts w:asciiTheme="majorBidi" w:hAnsiTheme="majorBidi"/>
        </w:rPr>
      </w:pPr>
      <w:r w:rsidRPr="001020E4">
        <w:rPr>
          <w:rFonts w:asciiTheme="majorBidi" w:hAnsiTheme="majorBidi"/>
          <w:sz w:val="24"/>
          <w:szCs w:val="24"/>
        </w:rPr>
        <w:t xml:space="preserve">The collected data were computerized and statistically analyzed using </w:t>
      </w:r>
      <w:r w:rsidR="00C42206" w:rsidRPr="001020E4">
        <w:rPr>
          <w:rFonts w:asciiTheme="majorBidi" w:hAnsiTheme="majorBidi"/>
          <w:sz w:val="24"/>
          <w:szCs w:val="24"/>
        </w:rPr>
        <w:t xml:space="preserve">the </w:t>
      </w:r>
      <w:r w:rsidRPr="001020E4">
        <w:rPr>
          <w:rFonts w:asciiTheme="majorBidi" w:hAnsiTheme="majorBidi"/>
          <w:sz w:val="24"/>
          <w:szCs w:val="24"/>
        </w:rPr>
        <w:t xml:space="preserve">SPSS program (Statistical Package for Social Science) version 24 and NCSS 12, LLC, USA. Data were tested for normal distribution using the Shapiro Walk test. Qualitative data were </w:t>
      </w:r>
      <w:r w:rsidR="00331CE1" w:rsidRPr="001020E4">
        <w:rPr>
          <w:rFonts w:asciiTheme="majorBidi" w:hAnsiTheme="majorBidi"/>
          <w:sz w:val="24"/>
          <w:szCs w:val="24"/>
        </w:rPr>
        <w:t>denoted</w:t>
      </w:r>
      <w:r w:rsidRPr="001020E4">
        <w:rPr>
          <w:rFonts w:asciiTheme="majorBidi" w:hAnsiTheme="majorBidi"/>
          <w:sz w:val="24"/>
          <w:szCs w:val="24"/>
        </w:rPr>
        <w:t xml:space="preserve"> as frequencies and relative percentages. </w:t>
      </w:r>
      <w:r w:rsidR="00C42206" w:rsidRPr="001020E4">
        <w:rPr>
          <w:rFonts w:asciiTheme="majorBidi" w:hAnsiTheme="majorBidi"/>
          <w:sz w:val="24"/>
          <w:szCs w:val="24"/>
        </w:rPr>
        <w:t>The Chi-square</w:t>
      </w:r>
      <w:r w:rsidRPr="001020E4">
        <w:rPr>
          <w:rFonts w:asciiTheme="majorBidi" w:hAnsiTheme="majorBidi"/>
          <w:sz w:val="24"/>
          <w:szCs w:val="24"/>
        </w:rPr>
        <w:t xml:space="preserve"> test (χ2) and Fisher exact</w:t>
      </w:r>
      <w:r w:rsidRPr="00234B0F">
        <w:rPr>
          <w:rFonts w:asciiTheme="majorBidi" w:hAnsiTheme="majorBidi"/>
        </w:rPr>
        <w:t xml:space="preserve"> </w:t>
      </w:r>
      <w:r w:rsidR="00C42206" w:rsidRPr="001020E4">
        <w:rPr>
          <w:rFonts w:asciiTheme="majorBidi" w:hAnsiTheme="majorBidi"/>
          <w:sz w:val="24"/>
          <w:szCs w:val="24"/>
        </w:rPr>
        <w:t>were</w:t>
      </w:r>
      <w:r w:rsidRPr="00234B0F">
        <w:rPr>
          <w:rFonts w:asciiTheme="majorBidi" w:hAnsiTheme="majorBidi"/>
        </w:rPr>
        <w:t xml:space="preserve"> </w:t>
      </w:r>
      <w:r w:rsidRPr="001020E4">
        <w:rPr>
          <w:rFonts w:asciiTheme="majorBidi" w:hAnsiTheme="majorBidi"/>
          <w:sz w:val="24"/>
          <w:szCs w:val="24"/>
        </w:rPr>
        <w:t xml:space="preserve">used to </w:t>
      </w:r>
      <w:r w:rsidR="00C42206" w:rsidRPr="001020E4">
        <w:rPr>
          <w:rFonts w:asciiTheme="majorBidi" w:hAnsiTheme="majorBidi"/>
          <w:sz w:val="24"/>
          <w:szCs w:val="24"/>
        </w:rPr>
        <w:t>calculate</w:t>
      </w:r>
      <w:r w:rsidRPr="001020E4">
        <w:rPr>
          <w:rFonts w:asciiTheme="majorBidi" w:hAnsiTheme="majorBidi"/>
          <w:sz w:val="24"/>
          <w:szCs w:val="24"/>
        </w:rPr>
        <w:t xml:space="preserve"> </w:t>
      </w:r>
      <w:r w:rsidR="00C42206" w:rsidRPr="001020E4">
        <w:rPr>
          <w:rFonts w:asciiTheme="majorBidi" w:hAnsiTheme="majorBidi"/>
          <w:sz w:val="24"/>
          <w:szCs w:val="24"/>
        </w:rPr>
        <w:t xml:space="preserve">the </w:t>
      </w:r>
      <w:r w:rsidRPr="001020E4">
        <w:rPr>
          <w:rFonts w:asciiTheme="majorBidi" w:hAnsiTheme="majorBidi"/>
          <w:sz w:val="24"/>
          <w:szCs w:val="24"/>
        </w:rPr>
        <w:t xml:space="preserve">difference between qualitative variables as indicated. Quantitative data were </w:t>
      </w:r>
      <w:r w:rsidR="00331CE1" w:rsidRPr="001020E4">
        <w:rPr>
          <w:rFonts w:asciiTheme="majorBidi" w:hAnsiTheme="majorBidi"/>
          <w:sz w:val="24"/>
          <w:szCs w:val="24"/>
        </w:rPr>
        <w:t>stated</w:t>
      </w:r>
      <w:r w:rsidRPr="001020E4">
        <w:rPr>
          <w:rFonts w:asciiTheme="majorBidi" w:hAnsiTheme="majorBidi"/>
          <w:sz w:val="24"/>
          <w:szCs w:val="24"/>
        </w:rPr>
        <w:t xml:space="preserve"> as median and range. </w:t>
      </w:r>
      <w:r w:rsidR="00C42206" w:rsidRPr="001020E4">
        <w:rPr>
          <w:rFonts w:asciiTheme="majorBidi" w:hAnsiTheme="majorBidi"/>
          <w:sz w:val="24"/>
          <w:szCs w:val="24"/>
        </w:rPr>
        <w:t>Mann-Whitney</w:t>
      </w:r>
      <w:r w:rsidRPr="001020E4">
        <w:rPr>
          <w:rFonts w:asciiTheme="majorBidi" w:hAnsiTheme="majorBidi"/>
          <w:sz w:val="24"/>
          <w:szCs w:val="24"/>
        </w:rPr>
        <w:t xml:space="preserve"> test </w:t>
      </w:r>
      <w:r w:rsidR="00C42206" w:rsidRPr="001020E4">
        <w:rPr>
          <w:rFonts w:asciiTheme="majorBidi" w:hAnsiTheme="majorBidi"/>
          <w:sz w:val="24"/>
          <w:szCs w:val="24"/>
        </w:rPr>
        <w:t>was</w:t>
      </w:r>
      <w:r w:rsidRPr="001020E4">
        <w:rPr>
          <w:rFonts w:asciiTheme="majorBidi" w:hAnsiTheme="majorBidi"/>
          <w:sz w:val="24"/>
          <w:szCs w:val="24"/>
        </w:rPr>
        <w:t xml:space="preserve"> used to </w:t>
      </w:r>
      <w:r w:rsidR="00C42206" w:rsidRPr="001020E4">
        <w:rPr>
          <w:rFonts w:asciiTheme="majorBidi" w:hAnsiTheme="majorBidi"/>
          <w:sz w:val="24"/>
          <w:szCs w:val="24"/>
        </w:rPr>
        <w:t>calculate the difference</w:t>
      </w:r>
      <w:r w:rsidRPr="001020E4">
        <w:rPr>
          <w:rFonts w:asciiTheme="majorBidi" w:hAnsiTheme="majorBidi"/>
          <w:sz w:val="24"/>
          <w:szCs w:val="24"/>
        </w:rPr>
        <w:t xml:space="preserve"> between quantitative variables in two groups for non-normally distributed variables. All statistical comparisons were </w:t>
      </w:r>
      <w:r w:rsidR="00C42206" w:rsidRPr="001020E4">
        <w:rPr>
          <w:rFonts w:asciiTheme="majorBidi" w:hAnsiTheme="majorBidi"/>
          <w:sz w:val="24"/>
          <w:szCs w:val="24"/>
        </w:rPr>
        <w:t>two-tailed</w:t>
      </w:r>
      <w:r w:rsidRPr="001020E4">
        <w:rPr>
          <w:rFonts w:asciiTheme="majorBidi" w:hAnsiTheme="majorBidi"/>
          <w:sz w:val="24"/>
          <w:szCs w:val="24"/>
        </w:rPr>
        <w:t xml:space="preserve"> with </w:t>
      </w:r>
      <w:r w:rsidR="00C42206" w:rsidRPr="001020E4">
        <w:rPr>
          <w:rFonts w:asciiTheme="majorBidi" w:hAnsiTheme="majorBidi"/>
          <w:sz w:val="24"/>
          <w:szCs w:val="24"/>
        </w:rPr>
        <w:t xml:space="preserve">a </w:t>
      </w:r>
      <w:r w:rsidRPr="001020E4">
        <w:rPr>
          <w:rFonts w:asciiTheme="majorBidi" w:hAnsiTheme="majorBidi"/>
          <w:sz w:val="24"/>
          <w:szCs w:val="24"/>
        </w:rPr>
        <w:t xml:space="preserve">significance </w:t>
      </w:r>
      <w:r w:rsidR="00C42206" w:rsidRPr="001020E4">
        <w:rPr>
          <w:rFonts w:asciiTheme="majorBidi" w:hAnsiTheme="majorBidi"/>
          <w:sz w:val="24"/>
          <w:szCs w:val="24"/>
        </w:rPr>
        <w:t>level</w:t>
      </w:r>
      <w:r w:rsidRPr="001020E4">
        <w:rPr>
          <w:rFonts w:asciiTheme="majorBidi" w:hAnsiTheme="majorBidi"/>
          <w:sz w:val="24"/>
          <w:szCs w:val="24"/>
          <w:rtl/>
        </w:rPr>
        <w:t xml:space="preserve"> </w:t>
      </w:r>
      <w:r w:rsidRPr="001020E4">
        <w:rPr>
          <w:rFonts w:asciiTheme="majorBidi" w:hAnsiTheme="majorBidi"/>
          <w:sz w:val="24"/>
          <w:szCs w:val="24"/>
        </w:rPr>
        <w:t>of P-value ≤ 0.05</w:t>
      </w:r>
      <w:r w:rsidR="00C42206" w:rsidRPr="001020E4">
        <w:rPr>
          <w:rFonts w:asciiTheme="majorBidi" w:hAnsiTheme="majorBidi"/>
          <w:sz w:val="24"/>
          <w:szCs w:val="24"/>
        </w:rPr>
        <w:t>, indicating</w:t>
      </w:r>
      <w:r w:rsidRPr="001020E4">
        <w:rPr>
          <w:rFonts w:asciiTheme="majorBidi" w:hAnsiTheme="majorBidi"/>
          <w:sz w:val="24"/>
          <w:szCs w:val="24"/>
        </w:rPr>
        <w:t xml:space="preserve"> </w:t>
      </w:r>
      <w:r w:rsidR="00C42206" w:rsidRPr="001020E4">
        <w:rPr>
          <w:rFonts w:asciiTheme="majorBidi" w:hAnsiTheme="majorBidi"/>
          <w:sz w:val="24"/>
          <w:szCs w:val="24"/>
        </w:rPr>
        <w:t>significance. P</w:t>
      </w:r>
      <w:r w:rsidRPr="001020E4">
        <w:rPr>
          <w:rFonts w:asciiTheme="majorBidi" w:hAnsiTheme="majorBidi"/>
          <w:sz w:val="24"/>
          <w:szCs w:val="24"/>
        </w:rPr>
        <w:t xml:space="preserve"> &lt;0.001 indicates </w:t>
      </w:r>
      <w:r w:rsidR="00C42206" w:rsidRPr="001020E4">
        <w:rPr>
          <w:rFonts w:asciiTheme="majorBidi" w:hAnsiTheme="majorBidi"/>
          <w:sz w:val="24"/>
          <w:szCs w:val="24"/>
        </w:rPr>
        <w:t xml:space="preserve">a </w:t>
      </w:r>
      <w:r w:rsidRPr="001020E4">
        <w:rPr>
          <w:rFonts w:asciiTheme="majorBidi" w:hAnsiTheme="majorBidi"/>
          <w:sz w:val="24"/>
          <w:szCs w:val="24"/>
        </w:rPr>
        <w:t xml:space="preserve">highly significant </w:t>
      </w:r>
      <w:r w:rsidR="00C42206" w:rsidRPr="001020E4">
        <w:rPr>
          <w:rFonts w:asciiTheme="majorBidi" w:hAnsiTheme="majorBidi"/>
          <w:sz w:val="24"/>
          <w:szCs w:val="24"/>
        </w:rPr>
        <w:t>difference,</w:t>
      </w:r>
      <w:r w:rsidRPr="001020E4">
        <w:rPr>
          <w:rFonts w:asciiTheme="majorBidi" w:hAnsiTheme="majorBidi"/>
          <w:sz w:val="24"/>
          <w:szCs w:val="24"/>
        </w:rPr>
        <w:t xml:space="preserve"> </w:t>
      </w:r>
      <w:r w:rsidR="00C42206" w:rsidRPr="001020E4">
        <w:rPr>
          <w:rFonts w:asciiTheme="majorBidi" w:hAnsiTheme="majorBidi"/>
          <w:sz w:val="24"/>
          <w:szCs w:val="24"/>
        </w:rPr>
        <w:t xml:space="preserve">while </w:t>
      </w:r>
      <w:r w:rsidRPr="001020E4">
        <w:rPr>
          <w:rFonts w:asciiTheme="majorBidi" w:hAnsiTheme="majorBidi"/>
          <w:sz w:val="24"/>
          <w:szCs w:val="24"/>
        </w:rPr>
        <w:t xml:space="preserve">P&gt; 0.05 indicates </w:t>
      </w:r>
      <w:r w:rsidR="00C42206" w:rsidRPr="001020E4">
        <w:rPr>
          <w:rFonts w:asciiTheme="majorBidi" w:hAnsiTheme="majorBidi"/>
          <w:sz w:val="24"/>
          <w:szCs w:val="24"/>
        </w:rPr>
        <w:t xml:space="preserve">a </w:t>
      </w:r>
      <w:r w:rsidRPr="001020E4">
        <w:rPr>
          <w:rFonts w:asciiTheme="majorBidi" w:hAnsiTheme="majorBidi"/>
          <w:sz w:val="24"/>
          <w:szCs w:val="24"/>
        </w:rPr>
        <w:t>non-significant difference.</w:t>
      </w:r>
    </w:p>
    <w:p w14:paraId="79371C8E" w14:textId="77777777" w:rsidR="00496B0A" w:rsidRPr="00761549" w:rsidRDefault="00496B0A" w:rsidP="00634ACA">
      <w:pPr>
        <w:pStyle w:val="NoSpacing"/>
        <w:jc w:val="both"/>
        <w:rPr>
          <w:b/>
          <w:bCs/>
          <w:sz w:val="24"/>
          <w:szCs w:val="24"/>
        </w:rPr>
      </w:pPr>
      <w:r w:rsidRPr="00761549">
        <w:rPr>
          <w:b/>
          <w:bCs/>
          <w:sz w:val="24"/>
          <w:szCs w:val="24"/>
        </w:rPr>
        <w:t>Results</w:t>
      </w:r>
    </w:p>
    <w:p w14:paraId="524F6AF2" w14:textId="391559BA" w:rsidR="00FD2A00" w:rsidRPr="00761549" w:rsidRDefault="00FD2A00" w:rsidP="00634ACA">
      <w:pPr>
        <w:pStyle w:val="NoSpacing"/>
        <w:jc w:val="both"/>
        <w:rPr>
          <w:rFonts w:asciiTheme="majorBidi" w:hAnsiTheme="majorBidi"/>
          <w:b/>
          <w:bCs/>
          <w:sz w:val="24"/>
          <w:szCs w:val="24"/>
        </w:rPr>
      </w:pPr>
      <w:r w:rsidRPr="00761549">
        <w:rPr>
          <w:rFonts w:asciiTheme="majorBidi" w:hAnsiTheme="majorBidi"/>
          <w:b/>
          <w:bCs/>
          <w:sz w:val="24"/>
          <w:szCs w:val="24"/>
        </w:rPr>
        <w:t>The patient Characteristics</w:t>
      </w:r>
      <w:r w:rsidR="00036582" w:rsidRPr="00761549">
        <w:rPr>
          <w:rFonts w:asciiTheme="majorBidi" w:hAnsiTheme="majorBidi"/>
          <w:b/>
          <w:bCs/>
          <w:sz w:val="24"/>
          <w:szCs w:val="24"/>
        </w:rPr>
        <w:t>.</w:t>
      </w:r>
    </w:p>
    <w:p w14:paraId="4BC6AD64" w14:textId="30367BD2" w:rsidR="00FD2A00" w:rsidRPr="001020E4" w:rsidRDefault="00FD2A00" w:rsidP="003C4F44">
      <w:pPr>
        <w:pStyle w:val="NoSpacing"/>
        <w:jc w:val="both"/>
        <w:rPr>
          <w:rFonts w:asciiTheme="majorBidi" w:hAnsiTheme="majorBidi"/>
          <w:sz w:val="24"/>
          <w:szCs w:val="24"/>
        </w:rPr>
      </w:pPr>
      <w:bookmarkStart w:id="2" w:name="_Hlk99160240"/>
      <w:bookmarkStart w:id="3" w:name="_Hlk79172318"/>
      <w:bookmarkStart w:id="4" w:name="_Hlk82123850"/>
      <w:bookmarkStart w:id="5" w:name="_Hlk82532887"/>
      <w:bookmarkStart w:id="6" w:name="_Hlk87281760"/>
      <w:r w:rsidRPr="001020E4">
        <w:rPr>
          <w:rFonts w:asciiTheme="majorBidi" w:hAnsiTheme="majorBidi"/>
          <w:sz w:val="24"/>
          <w:szCs w:val="24"/>
        </w:rPr>
        <w:t>The study</w:t>
      </w:r>
      <w:r w:rsidR="002530F9" w:rsidRPr="001020E4">
        <w:rPr>
          <w:rFonts w:asciiTheme="majorBidi" w:hAnsiTheme="majorBidi"/>
          <w:sz w:val="24"/>
          <w:szCs w:val="24"/>
        </w:rPr>
        <w:t xml:space="preserve"> demonstrate</w:t>
      </w:r>
      <w:r w:rsidRPr="001020E4">
        <w:rPr>
          <w:rFonts w:asciiTheme="majorBidi" w:hAnsiTheme="majorBidi"/>
          <w:sz w:val="24"/>
          <w:szCs w:val="24"/>
        </w:rPr>
        <w:t>s</w:t>
      </w:r>
      <w:r w:rsidR="002530F9" w:rsidRPr="001020E4">
        <w:rPr>
          <w:rFonts w:asciiTheme="majorBidi" w:hAnsiTheme="majorBidi"/>
          <w:sz w:val="24"/>
          <w:szCs w:val="24"/>
        </w:rPr>
        <w:t xml:space="preserve"> no significant difference between the two groups </w:t>
      </w:r>
      <w:r w:rsidR="003C4F44" w:rsidRPr="001020E4">
        <w:rPr>
          <w:rFonts w:asciiTheme="majorBidi" w:hAnsiTheme="majorBidi"/>
          <w:sz w:val="24"/>
          <w:szCs w:val="24"/>
        </w:rPr>
        <w:t>regards</w:t>
      </w:r>
      <w:r w:rsidR="002530F9" w:rsidRPr="001020E4">
        <w:rPr>
          <w:rFonts w:asciiTheme="majorBidi" w:hAnsiTheme="majorBidi"/>
          <w:sz w:val="24"/>
          <w:szCs w:val="24"/>
        </w:rPr>
        <w:t xml:space="preserve"> </w:t>
      </w:r>
      <w:r w:rsidR="00C42206" w:rsidRPr="001020E4">
        <w:rPr>
          <w:rFonts w:asciiTheme="majorBidi" w:hAnsiTheme="majorBidi"/>
          <w:sz w:val="24"/>
          <w:szCs w:val="24"/>
        </w:rPr>
        <w:t xml:space="preserve">to </w:t>
      </w:r>
      <w:r w:rsidR="002530F9" w:rsidRPr="001020E4">
        <w:rPr>
          <w:rFonts w:asciiTheme="majorBidi" w:hAnsiTheme="majorBidi"/>
          <w:sz w:val="24"/>
          <w:szCs w:val="24"/>
        </w:rPr>
        <w:t>age, sex, BMI</w:t>
      </w:r>
      <w:r w:rsidR="00C42206" w:rsidRPr="001020E4">
        <w:rPr>
          <w:rFonts w:asciiTheme="majorBidi" w:hAnsiTheme="majorBidi"/>
          <w:sz w:val="24"/>
          <w:szCs w:val="24"/>
        </w:rPr>
        <w:t>,</w:t>
      </w:r>
      <w:r w:rsidR="002530F9" w:rsidRPr="001020E4">
        <w:rPr>
          <w:rFonts w:asciiTheme="majorBidi" w:hAnsiTheme="majorBidi"/>
          <w:sz w:val="24"/>
          <w:szCs w:val="24"/>
        </w:rPr>
        <w:t xml:space="preserve"> </w:t>
      </w:r>
      <w:r w:rsidR="00C42206" w:rsidRPr="001020E4">
        <w:rPr>
          <w:rFonts w:asciiTheme="majorBidi" w:hAnsiTheme="majorBidi"/>
          <w:sz w:val="24"/>
          <w:szCs w:val="24"/>
        </w:rPr>
        <w:t>and diabetes</w:t>
      </w:r>
      <w:r w:rsidR="002530F9" w:rsidRPr="001020E4">
        <w:rPr>
          <w:rFonts w:asciiTheme="majorBidi" w:hAnsiTheme="majorBidi"/>
          <w:sz w:val="24"/>
          <w:szCs w:val="24"/>
        </w:rPr>
        <w:t xml:space="preserve"> </w:t>
      </w:r>
      <w:r w:rsidR="00C42206" w:rsidRPr="001020E4">
        <w:rPr>
          <w:rFonts w:asciiTheme="majorBidi" w:hAnsiTheme="majorBidi"/>
          <w:sz w:val="24"/>
          <w:szCs w:val="24"/>
        </w:rPr>
        <w:t>Mellitus</w:t>
      </w:r>
      <w:r w:rsidR="00856C80" w:rsidRPr="001020E4">
        <w:rPr>
          <w:rFonts w:asciiTheme="majorBidi" w:hAnsiTheme="majorBidi"/>
          <w:sz w:val="24"/>
          <w:szCs w:val="24"/>
        </w:rPr>
        <w:t>.</w:t>
      </w:r>
      <w:r w:rsidR="002530F9" w:rsidRPr="001020E4">
        <w:rPr>
          <w:rFonts w:asciiTheme="majorBidi" w:hAnsiTheme="majorBidi"/>
          <w:sz w:val="24"/>
          <w:szCs w:val="24"/>
        </w:rPr>
        <w:t xml:space="preserve"> </w:t>
      </w:r>
      <w:r w:rsidR="00B20145" w:rsidRPr="001020E4">
        <w:rPr>
          <w:rFonts w:asciiTheme="majorBidi" w:hAnsiTheme="majorBidi"/>
          <w:sz w:val="24"/>
          <w:szCs w:val="24"/>
        </w:rPr>
        <w:t xml:space="preserve">HCC </w:t>
      </w:r>
      <w:r w:rsidR="00C42206" w:rsidRPr="001020E4">
        <w:rPr>
          <w:rFonts w:asciiTheme="majorBidi" w:hAnsiTheme="majorBidi"/>
          <w:sz w:val="24"/>
          <w:szCs w:val="24"/>
        </w:rPr>
        <w:t>post-DAAs</w:t>
      </w:r>
      <w:r w:rsidR="00B20145" w:rsidRPr="001020E4">
        <w:rPr>
          <w:rFonts w:asciiTheme="majorBidi" w:hAnsiTheme="majorBidi"/>
          <w:sz w:val="24"/>
          <w:szCs w:val="24"/>
        </w:rPr>
        <w:t xml:space="preserve"> recorded </w:t>
      </w:r>
      <w:r w:rsidR="008C490C" w:rsidRPr="001020E4">
        <w:rPr>
          <w:rFonts w:asciiTheme="majorBidi" w:hAnsiTheme="majorBidi"/>
          <w:sz w:val="24"/>
          <w:szCs w:val="24"/>
        </w:rPr>
        <w:t>with</w:t>
      </w:r>
      <w:r w:rsidR="00B20145" w:rsidRPr="001020E4">
        <w:rPr>
          <w:rFonts w:asciiTheme="majorBidi" w:hAnsiTheme="majorBidi"/>
          <w:sz w:val="24"/>
          <w:szCs w:val="24"/>
        </w:rPr>
        <w:t xml:space="preserve"> triple therapy (59.2%) and dual therapy (40.8%), while</w:t>
      </w:r>
      <w:r w:rsidR="008C490C" w:rsidRPr="001020E4">
        <w:rPr>
          <w:rFonts w:asciiTheme="majorBidi" w:hAnsiTheme="majorBidi"/>
          <w:sz w:val="24"/>
          <w:szCs w:val="24"/>
        </w:rPr>
        <w:t xml:space="preserv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008C490C" w:rsidRPr="001020E4">
        <w:rPr>
          <w:rFonts w:asciiTheme="majorBidi" w:hAnsiTheme="majorBidi"/>
          <w:sz w:val="24"/>
          <w:szCs w:val="24"/>
        </w:rPr>
        <w:t xml:space="preserve"> group with</w:t>
      </w:r>
      <w:r w:rsidR="00B20145" w:rsidRPr="001020E4">
        <w:rPr>
          <w:rFonts w:asciiTheme="majorBidi" w:hAnsiTheme="majorBidi"/>
          <w:sz w:val="24"/>
          <w:szCs w:val="24"/>
        </w:rPr>
        <w:t xml:space="preserve"> no</w:t>
      </w:r>
      <w:r w:rsidR="008C490C" w:rsidRPr="001020E4">
        <w:rPr>
          <w:rFonts w:asciiTheme="majorBidi" w:hAnsiTheme="majorBidi"/>
          <w:sz w:val="24"/>
          <w:szCs w:val="24"/>
        </w:rPr>
        <w:t xml:space="preserve"> specific antiviral management</w:t>
      </w:r>
      <w:r w:rsidR="00B20145" w:rsidRPr="001020E4">
        <w:rPr>
          <w:rFonts w:asciiTheme="majorBidi" w:hAnsiTheme="majorBidi"/>
          <w:sz w:val="24"/>
          <w:szCs w:val="24"/>
        </w:rPr>
        <w:t xml:space="preserve"> represent</w:t>
      </w:r>
      <w:r w:rsidR="008C490C" w:rsidRPr="001020E4">
        <w:rPr>
          <w:rFonts w:asciiTheme="majorBidi" w:hAnsiTheme="majorBidi"/>
          <w:sz w:val="24"/>
          <w:szCs w:val="24"/>
        </w:rPr>
        <w:t>ed</w:t>
      </w:r>
      <w:r w:rsidR="00B20145" w:rsidRPr="001020E4">
        <w:rPr>
          <w:rFonts w:asciiTheme="majorBidi" w:hAnsiTheme="majorBidi"/>
          <w:sz w:val="24"/>
          <w:szCs w:val="24"/>
        </w:rPr>
        <w:t xml:space="preserve"> 84% </w:t>
      </w:r>
      <w:r w:rsidR="006751A8" w:rsidRPr="001020E4">
        <w:rPr>
          <w:rFonts w:asciiTheme="majorBidi" w:hAnsiTheme="majorBidi"/>
          <w:sz w:val="24"/>
          <w:szCs w:val="24"/>
        </w:rPr>
        <w:t xml:space="preserve">and </w:t>
      </w:r>
      <w:r w:rsidR="00A07C53" w:rsidRPr="001020E4">
        <w:rPr>
          <w:rFonts w:asciiTheme="majorBidi" w:hAnsiTheme="majorBidi"/>
          <w:sz w:val="24"/>
          <w:szCs w:val="24"/>
        </w:rPr>
        <w:t xml:space="preserve">post </w:t>
      </w:r>
      <w:r w:rsidRPr="001020E4">
        <w:rPr>
          <w:rFonts w:asciiTheme="majorBidi" w:hAnsiTheme="majorBidi"/>
          <w:sz w:val="24"/>
          <w:szCs w:val="24"/>
        </w:rPr>
        <w:t>(</w:t>
      </w:r>
      <w:r w:rsidR="00A07C53" w:rsidRPr="001020E4">
        <w:rPr>
          <w:rFonts w:asciiTheme="majorBidi" w:hAnsiTheme="majorBidi"/>
          <w:sz w:val="24"/>
          <w:szCs w:val="24"/>
        </w:rPr>
        <w:t>PI</w:t>
      </w:r>
      <w:r w:rsidRPr="001020E4">
        <w:rPr>
          <w:rFonts w:asciiTheme="majorBidi" w:hAnsiTheme="majorBidi"/>
          <w:sz w:val="24"/>
          <w:szCs w:val="24"/>
        </w:rPr>
        <w:t>/RBV)</w:t>
      </w:r>
      <w:r w:rsidR="006751A8" w:rsidRPr="001020E4">
        <w:rPr>
          <w:rFonts w:asciiTheme="majorBidi" w:hAnsiTheme="majorBidi"/>
          <w:sz w:val="24"/>
          <w:szCs w:val="24"/>
        </w:rPr>
        <w:t xml:space="preserve"> 16%</w:t>
      </w:r>
      <w:r w:rsidRPr="001020E4">
        <w:rPr>
          <w:rFonts w:asciiTheme="majorBidi" w:hAnsiTheme="majorBidi"/>
          <w:sz w:val="24"/>
          <w:szCs w:val="24"/>
        </w:rPr>
        <w:t xml:space="preserve"> (Tab 1).</w:t>
      </w:r>
    </w:p>
    <w:p w14:paraId="1FF6A940" w14:textId="5D163C54" w:rsidR="00B20145" w:rsidRPr="00761549" w:rsidRDefault="00FD2A00" w:rsidP="00634ACA">
      <w:pPr>
        <w:pStyle w:val="NoSpacing"/>
        <w:jc w:val="both"/>
        <w:rPr>
          <w:rFonts w:asciiTheme="majorBidi" w:hAnsiTheme="majorBidi"/>
          <w:b/>
          <w:bCs/>
          <w:sz w:val="24"/>
          <w:szCs w:val="24"/>
        </w:rPr>
      </w:pPr>
      <w:r w:rsidRPr="00761549">
        <w:rPr>
          <w:rFonts w:asciiTheme="majorBidi" w:hAnsiTheme="majorBidi"/>
          <w:b/>
          <w:bCs/>
          <w:sz w:val="24"/>
          <w:szCs w:val="24"/>
        </w:rPr>
        <w:t>Clinical Features and Presentations</w:t>
      </w:r>
      <w:r w:rsidR="00036582" w:rsidRPr="00761549">
        <w:rPr>
          <w:rFonts w:asciiTheme="majorBidi" w:hAnsiTheme="majorBidi"/>
          <w:b/>
          <w:bCs/>
          <w:sz w:val="24"/>
          <w:szCs w:val="24"/>
        </w:rPr>
        <w:t>.</w:t>
      </w:r>
    </w:p>
    <w:bookmarkEnd w:id="2"/>
    <w:bookmarkEnd w:id="3"/>
    <w:bookmarkEnd w:id="4"/>
    <w:bookmarkEnd w:id="5"/>
    <w:bookmarkEnd w:id="6"/>
    <w:p w14:paraId="54C7C082" w14:textId="63388B56" w:rsidR="00BF051F" w:rsidRPr="001020E4" w:rsidRDefault="00BF051F" w:rsidP="00634ACA">
      <w:pPr>
        <w:pStyle w:val="NoSpacing"/>
        <w:jc w:val="both"/>
        <w:rPr>
          <w:rFonts w:asciiTheme="majorBidi" w:hAnsiTheme="majorBidi"/>
          <w:sz w:val="24"/>
          <w:szCs w:val="24"/>
        </w:rPr>
      </w:pPr>
      <w:r w:rsidRPr="001020E4">
        <w:rPr>
          <w:rFonts w:asciiTheme="majorBidi" w:hAnsiTheme="majorBidi"/>
          <w:sz w:val="24"/>
          <w:szCs w:val="24"/>
        </w:rPr>
        <w:t>There was a difference between the two groups regarding the clinical presentation</w:t>
      </w:r>
      <w:r w:rsidR="00C42206" w:rsidRPr="001020E4">
        <w:rPr>
          <w:rFonts w:asciiTheme="majorBidi" w:hAnsiTheme="majorBidi"/>
          <w:sz w:val="24"/>
          <w:szCs w:val="24"/>
        </w:rPr>
        <w:t>.</w:t>
      </w:r>
      <w:r w:rsidR="009C5250" w:rsidRPr="001020E4">
        <w:rPr>
          <w:rFonts w:asciiTheme="majorBidi" w:hAnsiTheme="majorBidi"/>
          <w:sz w:val="24"/>
          <w:szCs w:val="24"/>
        </w:rPr>
        <w:t xml:space="preserve"> </w:t>
      </w:r>
      <w:r w:rsidR="00C42206" w:rsidRPr="001020E4">
        <w:rPr>
          <w:rFonts w:asciiTheme="majorBidi" w:hAnsiTheme="majorBidi"/>
          <w:sz w:val="24"/>
          <w:szCs w:val="24"/>
        </w:rPr>
        <w:t>HCC</w:t>
      </w:r>
      <w:r w:rsidRPr="001020E4">
        <w:rPr>
          <w:rFonts w:asciiTheme="majorBidi" w:hAnsiTheme="majorBidi"/>
          <w:sz w:val="24"/>
          <w:szCs w:val="24"/>
        </w:rPr>
        <w:t xml:space="preserve"> presented in 1</w:t>
      </w:r>
      <w:r w:rsidRPr="001020E4">
        <w:rPr>
          <w:rFonts w:asciiTheme="majorBidi" w:hAnsiTheme="majorBidi"/>
          <w:sz w:val="24"/>
          <w:szCs w:val="24"/>
          <w:vertAlign w:val="superscript"/>
        </w:rPr>
        <w:t>st</w:t>
      </w:r>
      <w:r w:rsidRPr="001020E4">
        <w:rPr>
          <w:rFonts w:asciiTheme="majorBidi" w:hAnsiTheme="majorBidi"/>
          <w:sz w:val="24"/>
          <w:szCs w:val="24"/>
        </w:rPr>
        <w:t xml:space="preserve"> group mainly by hematemesis (32%), hepatic encephalopathy (24%), abdominal pain (20%), </w:t>
      </w:r>
      <w:r w:rsidR="00C42206" w:rsidRPr="001020E4">
        <w:rPr>
          <w:rFonts w:asciiTheme="majorBidi" w:hAnsiTheme="majorBidi"/>
          <w:sz w:val="24"/>
          <w:szCs w:val="24"/>
        </w:rPr>
        <w:t xml:space="preserve">and </w:t>
      </w:r>
      <w:r w:rsidRPr="001020E4">
        <w:rPr>
          <w:rFonts w:asciiTheme="majorBidi" w:hAnsiTheme="majorBidi"/>
          <w:sz w:val="24"/>
          <w:szCs w:val="24"/>
        </w:rPr>
        <w:t>ascites (16%)</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W</w:t>
      </w:r>
      <w:r w:rsidRPr="001020E4">
        <w:rPr>
          <w:rFonts w:asciiTheme="majorBidi" w:hAnsiTheme="majorBidi"/>
          <w:sz w:val="24"/>
          <w:szCs w:val="24"/>
        </w:rPr>
        <w:t xml:space="preserve">hile in </w:t>
      </w:r>
      <w:r w:rsidR="00FE4839" w:rsidRPr="001020E4">
        <w:rPr>
          <w:rFonts w:asciiTheme="majorBidi" w:hAnsiTheme="majorBidi"/>
          <w:sz w:val="24"/>
          <w:szCs w:val="24"/>
        </w:rPr>
        <w:t>the post-DAAs</w:t>
      </w:r>
      <w:r w:rsidRPr="001020E4">
        <w:rPr>
          <w:rFonts w:asciiTheme="majorBidi" w:hAnsiTheme="majorBidi"/>
          <w:sz w:val="24"/>
          <w:szCs w:val="24"/>
        </w:rPr>
        <w:t xml:space="preserve"> group, HCC </w:t>
      </w:r>
      <w:r w:rsidR="00FE4839" w:rsidRPr="001020E4">
        <w:rPr>
          <w:rFonts w:asciiTheme="majorBidi" w:hAnsiTheme="majorBidi"/>
          <w:sz w:val="24"/>
          <w:szCs w:val="24"/>
        </w:rPr>
        <w:t xml:space="preserve">was </w:t>
      </w:r>
      <w:r w:rsidRPr="001020E4">
        <w:rPr>
          <w:rFonts w:asciiTheme="majorBidi" w:hAnsiTheme="majorBidi"/>
          <w:sz w:val="24"/>
          <w:szCs w:val="24"/>
        </w:rPr>
        <w:t xml:space="preserve">diagnosed mainly by abdominal pain (31%), followed </w:t>
      </w:r>
      <w:r w:rsidR="009C5250" w:rsidRPr="001020E4">
        <w:rPr>
          <w:rFonts w:asciiTheme="majorBidi" w:hAnsiTheme="majorBidi"/>
          <w:sz w:val="24"/>
          <w:szCs w:val="24"/>
        </w:rPr>
        <w:t xml:space="preserve">by </w:t>
      </w:r>
      <w:r w:rsidRPr="001020E4">
        <w:rPr>
          <w:rFonts w:asciiTheme="majorBidi" w:hAnsiTheme="majorBidi"/>
          <w:sz w:val="24"/>
          <w:szCs w:val="24"/>
        </w:rPr>
        <w:t>a symptomatic presentation diagnosed during routine follow-up 23.8%, ascites (16.7%), fatigue, and less commonly HM and HE (4.8%)</w:t>
      </w:r>
      <w:r w:rsidR="00FE4839" w:rsidRPr="001020E4">
        <w:rPr>
          <w:rFonts w:asciiTheme="majorBidi" w:hAnsiTheme="majorBidi"/>
          <w:sz w:val="24"/>
          <w:szCs w:val="24"/>
        </w:rPr>
        <w:t xml:space="preserve"> </w:t>
      </w:r>
      <w:r w:rsidRPr="001020E4">
        <w:rPr>
          <w:rFonts w:asciiTheme="majorBidi" w:hAnsiTheme="majorBidi"/>
          <w:sz w:val="24"/>
          <w:szCs w:val="24"/>
        </w:rPr>
        <w:t>for each (Tab 2).</w:t>
      </w:r>
    </w:p>
    <w:p w14:paraId="0E312747" w14:textId="03200E0A" w:rsidR="00634ACA" w:rsidRPr="00761549" w:rsidRDefault="00634ACA" w:rsidP="00634ACA">
      <w:pPr>
        <w:pStyle w:val="NoSpacing"/>
        <w:jc w:val="both"/>
        <w:rPr>
          <w:rFonts w:asciiTheme="majorBidi" w:hAnsiTheme="majorBidi"/>
          <w:b/>
          <w:bCs/>
          <w:sz w:val="24"/>
          <w:szCs w:val="24"/>
        </w:rPr>
      </w:pPr>
      <w:r w:rsidRPr="00761549">
        <w:rPr>
          <w:rFonts w:asciiTheme="majorBidi" w:hAnsiTheme="majorBidi"/>
          <w:b/>
          <w:bCs/>
          <w:sz w:val="24"/>
          <w:szCs w:val="24"/>
        </w:rPr>
        <w:t>Laboratory parameters</w:t>
      </w:r>
      <w:r w:rsidR="00036582" w:rsidRPr="00761549">
        <w:rPr>
          <w:rFonts w:asciiTheme="majorBidi" w:hAnsiTheme="majorBidi"/>
          <w:b/>
          <w:bCs/>
          <w:sz w:val="24"/>
          <w:szCs w:val="24"/>
        </w:rPr>
        <w:t>.</w:t>
      </w:r>
    </w:p>
    <w:p w14:paraId="0EBC7F6D" w14:textId="3717548F" w:rsidR="00574156" w:rsidRPr="001020E4" w:rsidRDefault="006136F5" w:rsidP="004C64DC">
      <w:pPr>
        <w:pStyle w:val="NoSpacing"/>
        <w:jc w:val="both"/>
        <w:rPr>
          <w:rFonts w:asciiTheme="majorBidi" w:hAnsiTheme="majorBidi"/>
          <w:sz w:val="24"/>
          <w:szCs w:val="24"/>
        </w:rPr>
      </w:pPr>
      <w:r w:rsidRPr="001020E4">
        <w:rPr>
          <w:rFonts w:asciiTheme="majorBidi" w:hAnsiTheme="majorBidi"/>
          <w:sz w:val="24"/>
          <w:szCs w:val="24"/>
        </w:rPr>
        <w:t>There are no significant differences between the studied</w:t>
      </w:r>
      <w:r w:rsidR="004C64DC" w:rsidRPr="001020E4">
        <w:rPr>
          <w:rFonts w:asciiTheme="majorBidi" w:hAnsiTheme="majorBidi"/>
          <w:sz w:val="24"/>
          <w:szCs w:val="24"/>
        </w:rPr>
        <w:t xml:space="preserve"> groups</w:t>
      </w:r>
      <w:r w:rsidRPr="001020E4">
        <w:rPr>
          <w:rFonts w:asciiTheme="majorBidi" w:hAnsiTheme="majorBidi"/>
          <w:sz w:val="24"/>
          <w:szCs w:val="24"/>
        </w:rPr>
        <w:t xml:space="preserve"> regards </w:t>
      </w:r>
      <w:r w:rsidR="009C5250" w:rsidRPr="001020E4">
        <w:rPr>
          <w:rFonts w:asciiTheme="majorBidi" w:hAnsiTheme="majorBidi"/>
          <w:sz w:val="24"/>
          <w:szCs w:val="24"/>
        </w:rPr>
        <w:t xml:space="preserve">the </w:t>
      </w:r>
      <w:r w:rsidRPr="001020E4">
        <w:rPr>
          <w:rFonts w:asciiTheme="majorBidi" w:hAnsiTheme="majorBidi"/>
          <w:sz w:val="24"/>
          <w:szCs w:val="24"/>
        </w:rPr>
        <w:t xml:space="preserve">most </w:t>
      </w:r>
      <w:r w:rsidR="00023684" w:rsidRPr="001020E4">
        <w:rPr>
          <w:rFonts w:asciiTheme="majorBidi" w:hAnsiTheme="majorBidi"/>
          <w:sz w:val="24"/>
          <w:szCs w:val="24"/>
        </w:rPr>
        <w:t>common</w:t>
      </w:r>
      <w:r w:rsidRPr="001020E4">
        <w:rPr>
          <w:rFonts w:asciiTheme="majorBidi" w:hAnsiTheme="majorBidi"/>
          <w:sz w:val="24"/>
          <w:szCs w:val="24"/>
        </w:rPr>
        <w:t xml:space="preserve"> laboratory elements</w:t>
      </w:r>
      <w:r w:rsidR="00FE4839" w:rsidRPr="001020E4">
        <w:rPr>
          <w:rFonts w:asciiTheme="majorBidi" w:hAnsiTheme="majorBidi"/>
          <w:sz w:val="24"/>
          <w:szCs w:val="24"/>
        </w:rPr>
        <w:t>. At the same time,</w:t>
      </w:r>
      <w:r w:rsidRPr="001020E4">
        <w:rPr>
          <w:rFonts w:asciiTheme="majorBidi" w:hAnsiTheme="majorBidi"/>
          <w:sz w:val="24"/>
          <w:szCs w:val="24"/>
        </w:rPr>
        <w:t xml:space="preserve"> t</w:t>
      </w:r>
      <w:r w:rsidR="00574156" w:rsidRPr="001020E4">
        <w:rPr>
          <w:rFonts w:asciiTheme="majorBidi" w:hAnsiTheme="majorBidi"/>
          <w:sz w:val="24"/>
          <w:szCs w:val="24"/>
        </w:rPr>
        <w:t xml:space="preserve">here </w:t>
      </w:r>
      <w:r w:rsidR="00CF6C3C" w:rsidRPr="001020E4">
        <w:rPr>
          <w:rFonts w:asciiTheme="majorBidi" w:hAnsiTheme="majorBidi"/>
          <w:sz w:val="24"/>
          <w:szCs w:val="24"/>
        </w:rPr>
        <w:t>are</w:t>
      </w:r>
      <w:r w:rsidR="00574156" w:rsidRPr="001020E4">
        <w:rPr>
          <w:rFonts w:asciiTheme="majorBidi" w:hAnsiTheme="majorBidi"/>
          <w:sz w:val="24"/>
          <w:szCs w:val="24"/>
        </w:rPr>
        <w:t xml:space="preserve"> </w:t>
      </w:r>
      <w:r w:rsidR="00023684" w:rsidRPr="001020E4">
        <w:rPr>
          <w:rFonts w:asciiTheme="majorBidi" w:hAnsiTheme="majorBidi"/>
          <w:sz w:val="24"/>
          <w:szCs w:val="24"/>
        </w:rPr>
        <w:t>substantial</w:t>
      </w:r>
      <w:r w:rsidR="00574156" w:rsidRPr="001020E4">
        <w:rPr>
          <w:rFonts w:asciiTheme="majorBidi" w:hAnsiTheme="majorBidi"/>
          <w:sz w:val="24"/>
          <w:szCs w:val="24"/>
        </w:rPr>
        <w:t xml:space="preserve"> differences between </w:t>
      </w:r>
      <w:r w:rsidR="00FE4839" w:rsidRPr="001020E4">
        <w:rPr>
          <w:rFonts w:asciiTheme="majorBidi" w:hAnsiTheme="majorBidi"/>
          <w:sz w:val="24"/>
          <w:szCs w:val="24"/>
        </w:rPr>
        <w:t>the groups</w:t>
      </w:r>
      <w:r w:rsidR="00574156" w:rsidRPr="001020E4">
        <w:rPr>
          <w:rFonts w:asciiTheme="majorBidi" w:hAnsiTheme="majorBidi"/>
          <w:sz w:val="24"/>
          <w:szCs w:val="24"/>
        </w:rPr>
        <w:t xml:space="preserve"> </w:t>
      </w:r>
      <w:r w:rsidR="00023684" w:rsidRPr="001020E4">
        <w:rPr>
          <w:rFonts w:asciiTheme="majorBidi" w:hAnsiTheme="majorBidi"/>
          <w:sz w:val="24"/>
          <w:szCs w:val="24"/>
        </w:rPr>
        <w:t>concerning</w:t>
      </w:r>
      <w:r w:rsidR="00574156" w:rsidRPr="001020E4">
        <w:rPr>
          <w:rFonts w:asciiTheme="majorBidi" w:hAnsiTheme="majorBidi"/>
          <w:sz w:val="24"/>
          <w:szCs w:val="24"/>
        </w:rPr>
        <w:t xml:space="preserve"> AST p-value &lt;0.001, Bilirubin 0.003, Albumin &lt;0.001and HB level 0.02, which reflect </w:t>
      </w:r>
      <w:r w:rsidR="00E11CCF" w:rsidRPr="001020E4">
        <w:rPr>
          <w:rFonts w:asciiTheme="majorBidi" w:hAnsiTheme="majorBidi"/>
          <w:sz w:val="24"/>
          <w:szCs w:val="24"/>
        </w:rPr>
        <w:t>the hepatic</w:t>
      </w:r>
      <w:r w:rsidR="00574156" w:rsidRPr="001020E4">
        <w:rPr>
          <w:rFonts w:asciiTheme="majorBidi" w:hAnsiTheme="majorBidi"/>
          <w:sz w:val="24"/>
          <w:szCs w:val="24"/>
        </w:rPr>
        <w:t xml:space="preserve"> </w:t>
      </w:r>
      <w:r w:rsidR="00CF6C3C" w:rsidRPr="001020E4">
        <w:rPr>
          <w:rFonts w:asciiTheme="majorBidi" w:hAnsiTheme="majorBidi"/>
          <w:sz w:val="24"/>
          <w:szCs w:val="24"/>
        </w:rPr>
        <w:t>de</w:t>
      </w:r>
      <w:r w:rsidR="004D6AA0" w:rsidRPr="001020E4">
        <w:rPr>
          <w:rFonts w:asciiTheme="majorBidi" w:hAnsiTheme="majorBidi"/>
          <w:sz w:val="24"/>
          <w:szCs w:val="24"/>
        </w:rPr>
        <w:t>compensation</w:t>
      </w:r>
      <w:r w:rsidR="00574156" w:rsidRPr="001020E4">
        <w:rPr>
          <w:rFonts w:asciiTheme="majorBidi" w:hAnsiTheme="majorBidi"/>
          <w:sz w:val="24"/>
          <w:szCs w:val="24"/>
        </w:rPr>
        <w:t xml:space="preserve"> in HCC without </w:t>
      </w:r>
      <w:r w:rsidRPr="001020E4">
        <w:rPr>
          <w:rFonts w:asciiTheme="majorBidi" w:hAnsiTheme="majorBidi"/>
          <w:sz w:val="24"/>
          <w:szCs w:val="24"/>
        </w:rPr>
        <w:t>DAA</w:t>
      </w:r>
      <w:r w:rsidR="003C4F44" w:rsidRPr="001020E4">
        <w:rPr>
          <w:rFonts w:asciiTheme="majorBidi" w:hAnsiTheme="majorBidi"/>
          <w:sz w:val="24"/>
          <w:szCs w:val="24"/>
        </w:rPr>
        <w:t>s</w:t>
      </w:r>
      <w:r w:rsidR="00574156" w:rsidRPr="001020E4">
        <w:rPr>
          <w:rFonts w:asciiTheme="majorBidi" w:hAnsiTheme="majorBidi"/>
          <w:sz w:val="24"/>
          <w:szCs w:val="24"/>
        </w:rPr>
        <w:t xml:space="preserve"> group</w:t>
      </w:r>
      <w:r w:rsidRPr="001020E4">
        <w:rPr>
          <w:rFonts w:asciiTheme="majorBidi" w:hAnsiTheme="majorBidi"/>
          <w:sz w:val="24"/>
          <w:szCs w:val="24"/>
        </w:rPr>
        <w:t xml:space="preserve"> (Tab 3).</w:t>
      </w:r>
    </w:p>
    <w:p w14:paraId="707127A6" w14:textId="54E9EF20" w:rsidR="00F9356F" w:rsidRPr="00761549" w:rsidRDefault="006136F5" w:rsidP="006136F5">
      <w:pPr>
        <w:pStyle w:val="NoSpacing"/>
        <w:jc w:val="both"/>
        <w:rPr>
          <w:rFonts w:asciiTheme="majorBidi" w:hAnsiTheme="majorBidi"/>
          <w:b/>
          <w:bCs/>
          <w:sz w:val="24"/>
          <w:szCs w:val="24"/>
        </w:rPr>
      </w:pPr>
      <w:r w:rsidRPr="00761549">
        <w:rPr>
          <w:rFonts w:asciiTheme="majorBidi" w:hAnsiTheme="majorBidi"/>
          <w:b/>
          <w:bCs/>
          <w:sz w:val="24"/>
          <w:szCs w:val="24"/>
        </w:rPr>
        <w:t>The liver status and focal lesions</w:t>
      </w:r>
      <w:r w:rsidR="00B12CDD" w:rsidRPr="00761549">
        <w:rPr>
          <w:rFonts w:asciiTheme="majorBidi" w:hAnsiTheme="majorBidi"/>
          <w:b/>
          <w:bCs/>
          <w:sz w:val="24"/>
          <w:szCs w:val="24"/>
        </w:rPr>
        <w:t>:</w:t>
      </w:r>
    </w:p>
    <w:p w14:paraId="400B0E34" w14:textId="1B5DE685" w:rsidR="005D71E0" w:rsidRPr="001020E4" w:rsidRDefault="00856C80" w:rsidP="004C64DC">
      <w:pPr>
        <w:pStyle w:val="NoSpacing"/>
        <w:jc w:val="both"/>
        <w:rPr>
          <w:rFonts w:asciiTheme="majorBidi" w:hAnsiTheme="majorBidi"/>
          <w:sz w:val="24"/>
          <w:szCs w:val="24"/>
        </w:rPr>
      </w:pPr>
      <w:r w:rsidRPr="001020E4">
        <w:rPr>
          <w:rFonts w:asciiTheme="majorBidi" w:hAnsiTheme="majorBidi"/>
          <w:sz w:val="24"/>
          <w:szCs w:val="24"/>
        </w:rPr>
        <w:t xml:space="preserve">There is </w:t>
      </w:r>
      <w:r w:rsidR="009073C4" w:rsidRPr="001020E4">
        <w:rPr>
          <w:rFonts w:asciiTheme="majorBidi" w:hAnsiTheme="majorBidi"/>
          <w:sz w:val="24"/>
          <w:szCs w:val="24"/>
        </w:rPr>
        <w:t xml:space="preserve">no </w:t>
      </w:r>
      <w:r w:rsidRPr="001020E4">
        <w:rPr>
          <w:rFonts w:asciiTheme="majorBidi" w:hAnsiTheme="majorBidi"/>
          <w:sz w:val="24"/>
          <w:szCs w:val="24"/>
        </w:rPr>
        <w:t>significant difference as regard</w:t>
      </w:r>
      <w:r w:rsidR="009073C4" w:rsidRPr="001020E4">
        <w:rPr>
          <w:rFonts w:asciiTheme="majorBidi" w:hAnsiTheme="majorBidi"/>
          <w:sz w:val="24"/>
          <w:szCs w:val="24"/>
        </w:rPr>
        <w:t>s</w:t>
      </w:r>
      <w:r w:rsidRPr="001020E4">
        <w:rPr>
          <w:rFonts w:asciiTheme="majorBidi" w:hAnsiTheme="majorBidi"/>
          <w:sz w:val="24"/>
          <w:szCs w:val="24"/>
        </w:rPr>
        <w:t xml:space="preserve"> </w:t>
      </w:r>
      <w:r w:rsidR="00F15144" w:rsidRPr="001020E4">
        <w:rPr>
          <w:rFonts w:asciiTheme="majorBidi" w:hAnsiTheme="majorBidi"/>
          <w:sz w:val="24"/>
          <w:szCs w:val="24"/>
        </w:rPr>
        <w:t xml:space="preserve">the </w:t>
      </w:r>
      <w:r w:rsidRPr="001020E4">
        <w:rPr>
          <w:rFonts w:asciiTheme="majorBidi" w:hAnsiTheme="majorBidi"/>
          <w:sz w:val="24"/>
          <w:szCs w:val="24"/>
        </w:rPr>
        <w:t xml:space="preserve">liver status with </w:t>
      </w:r>
      <w:r w:rsidR="009073C4" w:rsidRPr="001020E4">
        <w:rPr>
          <w:rFonts w:asciiTheme="majorBidi" w:hAnsiTheme="majorBidi"/>
          <w:sz w:val="24"/>
          <w:szCs w:val="24"/>
        </w:rPr>
        <w:t>frequent</w:t>
      </w:r>
      <w:r w:rsidRPr="001020E4">
        <w:rPr>
          <w:rFonts w:asciiTheme="majorBidi" w:hAnsiTheme="majorBidi"/>
          <w:sz w:val="24"/>
          <w:szCs w:val="24"/>
        </w:rPr>
        <w:t xml:space="preserve"> liver cirrhosis in </w:t>
      </w:r>
      <w:r w:rsidR="009073C4" w:rsidRPr="001020E4">
        <w:rPr>
          <w:rFonts w:asciiTheme="majorBidi" w:hAnsiTheme="majorBidi"/>
          <w:sz w:val="24"/>
          <w:szCs w:val="24"/>
        </w:rPr>
        <w:t>both</w:t>
      </w:r>
      <w:r w:rsidRPr="001020E4">
        <w:rPr>
          <w:rFonts w:asciiTheme="majorBidi" w:hAnsiTheme="majorBidi"/>
          <w:sz w:val="24"/>
          <w:szCs w:val="24"/>
        </w:rPr>
        <w:t xml:space="preserve"> group</w:t>
      </w:r>
      <w:r w:rsidR="009073C4" w:rsidRPr="001020E4">
        <w:rPr>
          <w:rFonts w:asciiTheme="majorBidi" w:hAnsiTheme="majorBidi"/>
          <w:sz w:val="24"/>
          <w:szCs w:val="24"/>
        </w:rPr>
        <w:t>s</w:t>
      </w:r>
      <w:r w:rsidR="00B12CDD" w:rsidRPr="001020E4">
        <w:rPr>
          <w:rFonts w:asciiTheme="majorBidi" w:hAnsiTheme="majorBidi"/>
          <w:sz w:val="24"/>
          <w:szCs w:val="24"/>
        </w:rPr>
        <w:t>,</w:t>
      </w:r>
      <w:r w:rsidR="00D10D7E" w:rsidRPr="001020E4">
        <w:rPr>
          <w:rFonts w:asciiTheme="majorBidi" w:hAnsiTheme="majorBidi"/>
          <w:sz w:val="24"/>
          <w:szCs w:val="24"/>
        </w:rPr>
        <w:t xml:space="preserve"> 14(56%) and</w:t>
      </w:r>
      <w:r w:rsidRPr="001020E4">
        <w:rPr>
          <w:rFonts w:asciiTheme="majorBidi" w:hAnsiTheme="majorBidi"/>
          <w:sz w:val="24"/>
          <w:szCs w:val="24"/>
        </w:rPr>
        <w:t xml:space="preserve"> 32(76.2%). </w:t>
      </w:r>
      <w:r w:rsidR="005D71E0" w:rsidRPr="001020E4">
        <w:rPr>
          <w:rFonts w:asciiTheme="majorBidi" w:hAnsiTheme="majorBidi"/>
          <w:sz w:val="24"/>
          <w:szCs w:val="24"/>
        </w:rPr>
        <w:t xml:space="preserve">Single HCC lesion is more frequent than multifocal lesions </w:t>
      </w:r>
      <w:r w:rsidR="00B12CDD" w:rsidRPr="001020E4">
        <w:rPr>
          <w:rFonts w:asciiTheme="majorBidi" w:hAnsiTheme="majorBidi"/>
          <w:sz w:val="24"/>
          <w:szCs w:val="24"/>
        </w:rPr>
        <w:t>in</w:t>
      </w:r>
      <w:r w:rsidR="00F15144" w:rsidRPr="001020E4">
        <w:rPr>
          <w:rFonts w:asciiTheme="majorBidi" w:hAnsiTheme="majorBidi"/>
          <w:sz w:val="24"/>
          <w:szCs w:val="24"/>
        </w:rPr>
        <w:t xml:space="preserve"> </w:t>
      </w:r>
      <w:r w:rsidR="006136F5" w:rsidRPr="001020E4">
        <w:rPr>
          <w:rFonts w:asciiTheme="majorBidi" w:hAnsiTheme="majorBidi"/>
          <w:sz w:val="24"/>
          <w:szCs w:val="24"/>
        </w:rPr>
        <w:t>DAA</w:t>
      </w:r>
      <w:r w:rsidR="003C4F44" w:rsidRPr="001020E4">
        <w:rPr>
          <w:rFonts w:asciiTheme="majorBidi" w:hAnsiTheme="majorBidi"/>
          <w:sz w:val="24"/>
          <w:szCs w:val="24"/>
        </w:rPr>
        <w:t>s</w:t>
      </w:r>
      <w:r w:rsidR="00B12CDD" w:rsidRPr="001020E4">
        <w:rPr>
          <w:rFonts w:asciiTheme="majorBidi" w:hAnsiTheme="majorBidi"/>
          <w:sz w:val="24"/>
          <w:szCs w:val="24"/>
        </w:rPr>
        <w:t>-</w:t>
      </w:r>
      <w:r w:rsidR="00F15144" w:rsidRPr="001020E4">
        <w:rPr>
          <w:rFonts w:asciiTheme="majorBidi" w:hAnsiTheme="majorBidi"/>
          <w:sz w:val="24"/>
          <w:szCs w:val="24"/>
        </w:rPr>
        <w:t xml:space="preserve">group (73.8%, 26.2%) </w:t>
      </w:r>
      <w:r w:rsidR="005D71E0" w:rsidRPr="001020E4">
        <w:rPr>
          <w:rFonts w:asciiTheme="majorBidi" w:hAnsiTheme="majorBidi"/>
          <w:sz w:val="24"/>
          <w:szCs w:val="24"/>
        </w:rPr>
        <w:t xml:space="preserve">or without </w:t>
      </w:r>
      <w:r w:rsidR="00B12CDD" w:rsidRPr="001020E4">
        <w:rPr>
          <w:rFonts w:asciiTheme="majorBidi" w:hAnsiTheme="majorBidi"/>
          <w:sz w:val="24"/>
          <w:szCs w:val="24"/>
        </w:rPr>
        <w:t xml:space="preserve">the </w:t>
      </w:r>
      <w:r w:rsidR="006136F5" w:rsidRPr="001020E4">
        <w:rPr>
          <w:rFonts w:asciiTheme="majorBidi" w:hAnsiTheme="majorBidi"/>
          <w:sz w:val="24"/>
          <w:szCs w:val="24"/>
        </w:rPr>
        <w:t>DAA</w:t>
      </w:r>
      <w:r w:rsidR="003C4F44" w:rsidRPr="001020E4">
        <w:rPr>
          <w:rFonts w:asciiTheme="majorBidi" w:hAnsiTheme="majorBidi"/>
          <w:sz w:val="24"/>
          <w:szCs w:val="24"/>
        </w:rPr>
        <w:t>s</w:t>
      </w:r>
      <w:r w:rsidR="005D71E0" w:rsidRPr="001020E4">
        <w:rPr>
          <w:rFonts w:asciiTheme="majorBidi" w:hAnsiTheme="majorBidi"/>
          <w:sz w:val="24"/>
          <w:szCs w:val="24"/>
        </w:rPr>
        <w:t xml:space="preserve"> therapy</w:t>
      </w:r>
      <w:r w:rsidR="00F15144" w:rsidRPr="001020E4">
        <w:rPr>
          <w:rFonts w:asciiTheme="majorBidi" w:hAnsiTheme="majorBidi"/>
          <w:sz w:val="24"/>
          <w:szCs w:val="24"/>
        </w:rPr>
        <w:t xml:space="preserve"> group (</w:t>
      </w:r>
      <w:r w:rsidR="005D71E0" w:rsidRPr="001020E4">
        <w:rPr>
          <w:rFonts w:asciiTheme="majorBidi" w:hAnsiTheme="majorBidi"/>
          <w:sz w:val="24"/>
          <w:szCs w:val="24"/>
        </w:rPr>
        <w:t>52%</w:t>
      </w:r>
      <w:r w:rsidR="00DC0A3A" w:rsidRPr="001020E4">
        <w:rPr>
          <w:rFonts w:asciiTheme="majorBidi" w:hAnsiTheme="majorBidi"/>
          <w:sz w:val="24"/>
          <w:szCs w:val="24"/>
        </w:rPr>
        <w:t>, 48%</w:t>
      </w:r>
      <w:r w:rsidR="00F15144" w:rsidRPr="001020E4">
        <w:rPr>
          <w:rFonts w:asciiTheme="majorBidi" w:hAnsiTheme="majorBidi"/>
          <w:sz w:val="24"/>
          <w:szCs w:val="24"/>
        </w:rPr>
        <w:t>)</w:t>
      </w:r>
      <w:r w:rsidR="00B12CDD" w:rsidRPr="001020E4">
        <w:rPr>
          <w:rFonts w:asciiTheme="majorBidi" w:hAnsiTheme="majorBidi"/>
          <w:sz w:val="24"/>
          <w:szCs w:val="24"/>
        </w:rPr>
        <w:t>,</w:t>
      </w:r>
      <w:r w:rsidR="005D71E0" w:rsidRPr="001020E4">
        <w:rPr>
          <w:rFonts w:asciiTheme="majorBidi" w:hAnsiTheme="majorBidi"/>
          <w:sz w:val="24"/>
          <w:szCs w:val="24"/>
        </w:rPr>
        <w:t xml:space="preserve"> respectively</w:t>
      </w:r>
      <w:r w:rsidR="00F15144" w:rsidRPr="001020E4">
        <w:rPr>
          <w:rFonts w:asciiTheme="majorBidi" w:hAnsiTheme="majorBidi"/>
          <w:sz w:val="24"/>
          <w:szCs w:val="24"/>
        </w:rPr>
        <w:t>.</w:t>
      </w:r>
      <w:r w:rsidR="005D71E0" w:rsidRPr="001020E4">
        <w:rPr>
          <w:rFonts w:asciiTheme="majorBidi" w:hAnsiTheme="majorBidi"/>
          <w:sz w:val="24"/>
          <w:szCs w:val="24"/>
        </w:rPr>
        <w:t xml:space="preserve"> </w:t>
      </w:r>
      <w:r w:rsidR="00F15144" w:rsidRPr="001020E4">
        <w:rPr>
          <w:rFonts w:asciiTheme="majorBidi" w:hAnsiTheme="majorBidi"/>
          <w:sz w:val="24"/>
          <w:szCs w:val="24"/>
        </w:rPr>
        <w:t xml:space="preserve">PVT presented </w:t>
      </w:r>
      <w:r w:rsidR="00B12CDD" w:rsidRPr="001020E4">
        <w:rPr>
          <w:rFonts w:asciiTheme="majorBidi" w:hAnsiTheme="majorBidi"/>
          <w:sz w:val="24"/>
          <w:szCs w:val="24"/>
        </w:rPr>
        <w:t>no significant difference between the two groups, 28.6% of DAAs treated groups and 12% without DAAs therapy with no significant difference between them regarding</w:t>
      </w:r>
      <w:r w:rsidR="005D71E0" w:rsidRPr="001020E4">
        <w:rPr>
          <w:rFonts w:asciiTheme="majorBidi" w:hAnsiTheme="majorBidi"/>
          <w:sz w:val="24"/>
          <w:szCs w:val="24"/>
        </w:rPr>
        <w:t xml:space="preserve"> meeting </w:t>
      </w:r>
      <w:r w:rsidR="00F81027" w:rsidRPr="001020E4">
        <w:rPr>
          <w:rFonts w:asciiTheme="majorBidi" w:hAnsiTheme="majorBidi"/>
          <w:sz w:val="24"/>
          <w:szCs w:val="24"/>
        </w:rPr>
        <w:t xml:space="preserve">the </w:t>
      </w:r>
      <w:r w:rsidR="005D71E0" w:rsidRPr="001020E4">
        <w:rPr>
          <w:rFonts w:asciiTheme="majorBidi" w:hAnsiTheme="majorBidi"/>
          <w:sz w:val="24"/>
          <w:szCs w:val="24"/>
        </w:rPr>
        <w:t xml:space="preserve">Milan criteria for Liver </w:t>
      </w:r>
      <w:r w:rsidR="00A655DA" w:rsidRPr="001020E4">
        <w:rPr>
          <w:rFonts w:asciiTheme="majorBidi" w:hAnsiTheme="majorBidi"/>
          <w:sz w:val="24"/>
          <w:szCs w:val="24"/>
        </w:rPr>
        <w:t>transplantation</w:t>
      </w:r>
      <w:r w:rsidR="006136F5" w:rsidRPr="001020E4">
        <w:rPr>
          <w:rFonts w:asciiTheme="majorBidi" w:hAnsiTheme="majorBidi"/>
          <w:sz w:val="24"/>
          <w:szCs w:val="24"/>
        </w:rPr>
        <w:t xml:space="preserve"> (Tab 4).</w:t>
      </w:r>
    </w:p>
    <w:p w14:paraId="032CC752" w14:textId="293040B3" w:rsidR="008D4F93" w:rsidRPr="00761549" w:rsidRDefault="008D4F93" w:rsidP="008D4F93">
      <w:pPr>
        <w:pStyle w:val="NoSpacing"/>
        <w:jc w:val="both"/>
        <w:rPr>
          <w:rFonts w:asciiTheme="majorBidi" w:hAnsiTheme="majorBidi"/>
          <w:b/>
          <w:bCs/>
          <w:sz w:val="24"/>
          <w:szCs w:val="24"/>
        </w:rPr>
      </w:pPr>
      <w:r w:rsidRPr="00761549">
        <w:rPr>
          <w:rFonts w:asciiTheme="majorBidi" w:hAnsiTheme="majorBidi"/>
          <w:b/>
          <w:bCs/>
          <w:sz w:val="24"/>
          <w:szCs w:val="24"/>
        </w:rPr>
        <w:t>Management of HCC</w:t>
      </w:r>
      <w:r w:rsidR="0053758C" w:rsidRPr="00761549">
        <w:rPr>
          <w:rFonts w:asciiTheme="majorBidi" w:hAnsiTheme="majorBidi"/>
          <w:b/>
          <w:bCs/>
          <w:sz w:val="24"/>
          <w:szCs w:val="24"/>
        </w:rPr>
        <w:t>.</w:t>
      </w:r>
    </w:p>
    <w:p w14:paraId="67E753E0" w14:textId="05140CFC" w:rsidR="008D4F93" w:rsidRPr="001020E4" w:rsidRDefault="00A655DA" w:rsidP="003C4F44">
      <w:pPr>
        <w:pStyle w:val="NoSpacing"/>
        <w:jc w:val="both"/>
        <w:rPr>
          <w:rFonts w:asciiTheme="majorBidi" w:hAnsiTheme="majorBidi"/>
          <w:sz w:val="24"/>
          <w:szCs w:val="24"/>
        </w:rPr>
      </w:pPr>
      <w:r w:rsidRPr="001020E4">
        <w:rPr>
          <w:rFonts w:asciiTheme="majorBidi" w:hAnsiTheme="majorBidi"/>
          <w:sz w:val="24"/>
          <w:szCs w:val="24"/>
        </w:rPr>
        <w:t>Management</w:t>
      </w:r>
      <w:r w:rsidR="00EB39AB" w:rsidRPr="001020E4">
        <w:rPr>
          <w:rFonts w:asciiTheme="majorBidi" w:hAnsiTheme="majorBidi"/>
          <w:sz w:val="24"/>
          <w:szCs w:val="24"/>
        </w:rPr>
        <w:t xml:space="preserve"> of </w:t>
      </w:r>
      <w:r w:rsidR="00DD4F1B" w:rsidRPr="001020E4">
        <w:rPr>
          <w:rFonts w:asciiTheme="majorBidi" w:hAnsiTheme="majorBidi"/>
          <w:sz w:val="24"/>
          <w:szCs w:val="24"/>
        </w:rPr>
        <w:t>non-DAAs</w:t>
      </w:r>
      <w:r w:rsidR="00EB39AB" w:rsidRPr="001020E4">
        <w:rPr>
          <w:rFonts w:asciiTheme="majorBidi" w:hAnsiTheme="majorBidi"/>
          <w:sz w:val="24"/>
          <w:szCs w:val="24"/>
        </w:rPr>
        <w:t xml:space="preserve"> and </w:t>
      </w:r>
      <w:r w:rsidR="006136F5" w:rsidRPr="001020E4">
        <w:rPr>
          <w:rFonts w:asciiTheme="majorBidi" w:hAnsiTheme="majorBidi"/>
          <w:sz w:val="24"/>
          <w:szCs w:val="24"/>
        </w:rPr>
        <w:t>DAA</w:t>
      </w:r>
      <w:r w:rsidR="003C4F44" w:rsidRPr="001020E4">
        <w:rPr>
          <w:rFonts w:asciiTheme="majorBidi" w:hAnsiTheme="majorBidi"/>
          <w:sz w:val="24"/>
          <w:szCs w:val="24"/>
        </w:rPr>
        <w:t>s</w:t>
      </w:r>
      <w:r w:rsidR="00EB39AB" w:rsidRPr="001020E4">
        <w:rPr>
          <w:rFonts w:asciiTheme="majorBidi" w:hAnsiTheme="majorBidi"/>
          <w:sz w:val="24"/>
          <w:szCs w:val="24"/>
        </w:rPr>
        <w:t xml:space="preserve"> group </w:t>
      </w:r>
      <w:r w:rsidR="00DD4F1B" w:rsidRPr="001020E4">
        <w:rPr>
          <w:rFonts w:asciiTheme="majorBidi" w:hAnsiTheme="majorBidi"/>
          <w:sz w:val="24"/>
          <w:szCs w:val="24"/>
        </w:rPr>
        <w:t>was</w:t>
      </w:r>
      <w:r w:rsidR="00EB39AB" w:rsidRPr="001020E4">
        <w:rPr>
          <w:rFonts w:asciiTheme="majorBidi" w:hAnsiTheme="majorBidi"/>
          <w:sz w:val="24"/>
          <w:szCs w:val="24"/>
        </w:rPr>
        <w:t xml:space="preserve"> by</w:t>
      </w:r>
      <w:r w:rsidRPr="001020E4">
        <w:rPr>
          <w:rFonts w:asciiTheme="majorBidi" w:hAnsiTheme="majorBidi"/>
          <w:sz w:val="24"/>
          <w:szCs w:val="24"/>
        </w:rPr>
        <w:t xml:space="preserve"> supportive</w:t>
      </w:r>
      <w:r w:rsidR="008D4F93" w:rsidRPr="001020E4">
        <w:rPr>
          <w:rFonts w:asciiTheme="majorBidi" w:hAnsiTheme="majorBidi"/>
          <w:sz w:val="24"/>
          <w:szCs w:val="24"/>
        </w:rPr>
        <w:t xml:space="preserve"> measures</w:t>
      </w:r>
      <w:r w:rsidRPr="001020E4">
        <w:rPr>
          <w:rFonts w:asciiTheme="majorBidi" w:hAnsiTheme="majorBidi"/>
          <w:sz w:val="24"/>
          <w:szCs w:val="24"/>
        </w:rPr>
        <w:t xml:space="preserve"> </w:t>
      </w:r>
      <w:r w:rsidR="00EB39AB" w:rsidRPr="001020E4">
        <w:rPr>
          <w:rFonts w:asciiTheme="majorBidi" w:hAnsiTheme="majorBidi"/>
          <w:sz w:val="24"/>
          <w:szCs w:val="24"/>
        </w:rPr>
        <w:t>(24%, 33%) or Sorafenib</w:t>
      </w:r>
      <w:r w:rsidRPr="001020E4">
        <w:rPr>
          <w:rFonts w:asciiTheme="majorBidi" w:hAnsiTheme="majorBidi"/>
          <w:sz w:val="24"/>
          <w:szCs w:val="24"/>
        </w:rPr>
        <w:t xml:space="preserve"> </w:t>
      </w:r>
      <w:r w:rsidR="00EB39AB" w:rsidRPr="001020E4">
        <w:rPr>
          <w:rFonts w:asciiTheme="majorBidi" w:hAnsiTheme="majorBidi"/>
          <w:sz w:val="24"/>
          <w:szCs w:val="24"/>
        </w:rPr>
        <w:t>(4%, 4.8%)</w:t>
      </w:r>
      <w:r w:rsidR="00DD4F1B" w:rsidRPr="001020E4">
        <w:rPr>
          <w:rFonts w:asciiTheme="majorBidi" w:hAnsiTheme="majorBidi"/>
          <w:sz w:val="24"/>
          <w:szCs w:val="24"/>
        </w:rPr>
        <w:t xml:space="preserve">. In comparison, </w:t>
      </w:r>
      <w:r w:rsidR="00EB39AB" w:rsidRPr="001020E4">
        <w:rPr>
          <w:rFonts w:asciiTheme="majorBidi" w:hAnsiTheme="majorBidi"/>
          <w:sz w:val="24"/>
          <w:szCs w:val="24"/>
        </w:rPr>
        <w:t>intervention with Microwave (8%, 19%), TACE (4, 7.1%), and PEI (</w:t>
      </w:r>
      <w:r w:rsidR="00447E7C" w:rsidRPr="001020E4">
        <w:rPr>
          <w:rFonts w:asciiTheme="majorBidi" w:hAnsiTheme="majorBidi"/>
          <w:sz w:val="24"/>
          <w:szCs w:val="24"/>
        </w:rPr>
        <w:t>4</w:t>
      </w:r>
      <w:r w:rsidR="00EB39AB" w:rsidRPr="001020E4">
        <w:rPr>
          <w:rFonts w:asciiTheme="majorBidi" w:hAnsiTheme="majorBidi"/>
          <w:sz w:val="24"/>
          <w:szCs w:val="24"/>
        </w:rPr>
        <w:t>%, 4.8%) h</w:t>
      </w:r>
      <w:r w:rsidR="00447E7C" w:rsidRPr="001020E4">
        <w:rPr>
          <w:rFonts w:asciiTheme="majorBidi" w:hAnsiTheme="majorBidi"/>
          <w:sz w:val="24"/>
          <w:szCs w:val="24"/>
        </w:rPr>
        <w:t>ave</w:t>
      </w:r>
      <w:r w:rsidR="00EB39AB" w:rsidRPr="001020E4">
        <w:rPr>
          <w:rFonts w:asciiTheme="majorBidi" w:hAnsiTheme="majorBidi"/>
          <w:sz w:val="24"/>
          <w:szCs w:val="24"/>
        </w:rPr>
        <w:t xml:space="preserve"> </w:t>
      </w:r>
      <w:r w:rsidR="00447E7C" w:rsidRPr="001020E4">
        <w:rPr>
          <w:rFonts w:asciiTheme="majorBidi" w:hAnsiTheme="majorBidi"/>
          <w:sz w:val="24"/>
          <w:szCs w:val="24"/>
        </w:rPr>
        <w:t>no</w:t>
      </w:r>
      <w:r w:rsidR="00EB39AB" w:rsidRPr="001020E4">
        <w:rPr>
          <w:rFonts w:asciiTheme="majorBidi" w:hAnsiTheme="majorBidi"/>
          <w:sz w:val="24"/>
          <w:szCs w:val="24"/>
        </w:rPr>
        <w:t xml:space="preserve"> significant difference </w:t>
      </w:r>
      <w:r w:rsidR="00447E7C" w:rsidRPr="001020E4">
        <w:rPr>
          <w:rFonts w:asciiTheme="majorBidi" w:hAnsiTheme="majorBidi"/>
          <w:sz w:val="24"/>
          <w:szCs w:val="24"/>
        </w:rPr>
        <w:t xml:space="preserve">between most of </w:t>
      </w:r>
      <w:r w:rsidR="00DD4F1B" w:rsidRPr="001020E4">
        <w:rPr>
          <w:rFonts w:asciiTheme="majorBidi" w:hAnsiTheme="majorBidi"/>
          <w:sz w:val="24"/>
          <w:szCs w:val="24"/>
        </w:rPr>
        <w:t>the intervention</w:t>
      </w:r>
      <w:r w:rsidR="0053758C">
        <w:rPr>
          <w:rFonts w:asciiTheme="majorBidi" w:hAnsiTheme="majorBidi"/>
          <w:sz w:val="24"/>
          <w:szCs w:val="24"/>
        </w:rPr>
        <w:t>'</w:t>
      </w:r>
      <w:r w:rsidR="00DD4F1B" w:rsidRPr="001020E4">
        <w:rPr>
          <w:rFonts w:asciiTheme="majorBidi" w:hAnsiTheme="majorBidi"/>
          <w:sz w:val="24"/>
          <w:szCs w:val="24"/>
        </w:rPr>
        <w:t>s</w:t>
      </w:r>
      <w:r w:rsidR="00447E7C" w:rsidRPr="001020E4">
        <w:rPr>
          <w:rFonts w:asciiTheme="majorBidi" w:hAnsiTheme="majorBidi"/>
          <w:sz w:val="24"/>
          <w:szCs w:val="24"/>
        </w:rPr>
        <w:t xml:space="preserve"> procedures except with radiofrequency (4%, 31%) had </w:t>
      </w:r>
      <w:r w:rsidR="00F81027" w:rsidRPr="001020E4">
        <w:rPr>
          <w:rFonts w:asciiTheme="majorBidi" w:hAnsiTheme="majorBidi"/>
          <w:sz w:val="24"/>
          <w:szCs w:val="24"/>
        </w:rPr>
        <w:t xml:space="preserve">a </w:t>
      </w:r>
      <w:r w:rsidR="00023684" w:rsidRPr="001020E4">
        <w:rPr>
          <w:rFonts w:asciiTheme="majorBidi" w:hAnsiTheme="majorBidi"/>
          <w:sz w:val="24"/>
          <w:szCs w:val="24"/>
        </w:rPr>
        <w:t>substantial</w:t>
      </w:r>
      <w:r w:rsidR="00447E7C" w:rsidRPr="001020E4">
        <w:rPr>
          <w:rFonts w:asciiTheme="majorBidi" w:hAnsiTheme="majorBidi"/>
          <w:sz w:val="24"/>
          <w:szCs w:val="24"/>
        </w:rPr>
        <w:t xml:space="preserve"> difference </w:t>
      </w:r>
      <w:r w:rsidR="00F81027" w:rsidRPr="001020E4">
        <w:rPr>
          <w:rFonts w:asciiTheme="majorBidi" w:hAnsiTheme="majorBidi"/>
          <w:sz w:val="24"/>
          <w:szCs w:val="24"/>
        </w:rPr>
        <w:t>between the studied groups (</w:t>
      </w:r>
      <w:r w:rsidR="00447E7C" w:rsidRPr="001020E4">
        <w:rPr>
          <w:rFonts w:asciiTheme="majorBidi" w:hAnsiTheme="majorBidi"/>
          <w:sz w:val="24"/>
          <w:szCs w:val="24"/>
        </w:rPr>
        <w:t>p value= 0.005</w:t>
      </w:r>
      <w:r w:rsidR="00F81027" w:rsidRPr="001020E4">
        <w:rPr>
          <w:rFonts w:asciiTheme="majorBidi" w:hAnsiTheme="majorBidi"/>
          <w:sz w:val="24"/>
          <w:szCs w:val="24"/>
        </w:rPr>
        <w:t>)</w:t>
      </w:r>
      <w:r w:rsidR="008D4F93" w:rsidRPr="001020E4">
        <w:rPr>
          <w:rFonts w:asciiTheme="majorBidi" w:hAnsiTheme="majorBidi"/>
          <w:sz w:val="24"/>
          <w:szCs w:val="24"/>
        </w:rPr>
        <w:t xml:space="preserve"> (Tab 4).</w:t>
      </w:r>
    </w:p>
    <w:p w14:paraId="4E8D0CD7" w14:textId="5270FBD8" w:rsidR="002861C5" w:rsidRPr="001020E4" w:rsidRDefault="002861C5" w:rsidP="00033F29">
      <w:pPr>
        <w:jc w:val="both"/>
        <w:rPr>
          <w:rFonts w:asciiTheme="majorBidi" w:hAnsiTheme="majorBidi" w:cstheme="majorBidi"/>
          <w:b/>
          <w:bCs/>
          <w:noProof/>
          <w:sz w:val="24"/>
          <w:szCs w:val="24"/>
        </w:rPr>
      </w:pPr>
    </w:p>
    <w:p w14:paraId="33A30F4D" w14:textId="0CAAA60A" w:rsidR="00033F29" w:rsidRDefault="00033F29" w:rsidP="00033F29">
      <w:pPr>
        <w:pStyle w:val="Caption"/>
        <w:keepNext/>
      </w:pPr>
      <w:r>
        <w:t xml:space="preserve">Table </w:t>
      </w:r>
      <w:fldSimple w:instr=" SEQ Table \* ARABIC ">
        <w:r w:rsidR="00C73507">
          <w:rPr>
            <w:noProof/>
          </w:rPr>
          <w:t>1</w:t>
        </w:r>
      </w:fldSimple>
      <w:r w:rsidRPr="00033F29">
        <w:t xml:space="preserve"> shows the studied population's general characteristics, features, and antiviral therapy</w:t>
      </w:r>
      <w:r>
        <w:t>.</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1"/>
        <w:tblDescription w:val="Quantitative variables were expressed as median (range) and compared using the Mann-Whitney U test. In contrast, qualitative variables were expressed as numbers and percentages and compared using the Chi-square X2 test."/>
      </w:tblPr>
      <w:tblGrid>
        <w:gridCol w:w="1081"/>
        <w:gridCol w:w="1971"/>
        <w:gridCol w:w="861"/>
        <w:gridCol w:w="981"/>
        <w:gridCol w:w="57"/>
        <w:gridCol w:w="874"/>
        <w:gridCol w:w="1038"/>
        <w:gridCol w:w="754"/>
        <w:gridCol w:w="1199"/>
        <w:gridCol w:w="1282"/>
      </w:tblGrid>
      <w:tr w:rsidR="002861C5" w:rsidRPr="00216DC8" w14:paraId="5883C665" w14:textId="77777777" w:rsidTr="00033F2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052" w:type="dxa"/>
            <w:gridSpan w:val="2"/>
            <w:tcBorders>
              <w:top w:val="single" w:sz="4" w:space="0" w:color="auto"/>
              <w:bottom w:val="single" w:sz="4" w:space="0" w:color="auto"/>
            </w:tcBorders>
            <w:hideMark/>
          </w:tcPr>
          <w:p w14:paraId="14327CB5" w14:textId="77777777" w:rsidR="002861C5" w:rsidRPr="00216DC8" w:rsidRDefault="002861C5" w:rsidP="00033F29">
            <w:pPr>
              <w:ind w:firstLine="0"/>
              <w:jc w:val="left"/>
              <w:rPr>
                <w:rFonts w:cstheme="majorBidi"/>
                <w:sz w:val="18"/>
                <w:szCs w:val="18"/>
              </w:rPr>
            </w:pPr>
          </w:p>
        </w:tc>
        <w:tc>
          <w:tcPr>
            <w:tcW w:w="1842" w:type="dxa"/>
            <w:gridSpan w:val="2"/>
            <w:tcBorders>
              <w:top w:val="single" w:sz="4" w:space="0" w:color="auto"/>
              <w:bottom w:val="single" w:sz="4" w:space="0" w:color="auto"/>
            </w:tcBorders>
            <w:hideMark/>
          </w:tcPr>
          <w:p w14:paraId="0FD8AF00"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HCC without DAAs</w:t>
            </w:r>
          </w:p>
          <w:p w14:paraId="6FE6F51B" w14:textId="4D27EDC0"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N=25(37.3%)</w:t>
            </w:r>
          </w:p>
        </w:tc>
        <w:tc>
          <w:tcPr>
            <w:tcW w:w="1969" w:type="dxa"/>
            <w:gridSpan w:val="3"/>
            <w:tcBorders>
              <w:top w:val="single" w:sz="4" w:space="0" w:color="auto"/>
              <w:bottom w:val="single" w:sz="4" w:space="0" w:color="auto"/>
            </w:tcBorders>
          </w:tcPr>
          <w:p w14:paraId="07EBB499"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HCC after DAA</w:t>
            </w:r>
          </w:p>
          <w:p w14:paraId="0A560659" w14:textId="4FB9046D"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N=42 (62.7%)</w:t>
            </w:r>
          </w:p>
        </w:tc>
        <w:tc>
          <w:tcPr>
            <w:tcW w:w="1953" w:type="dxa"/>
            <w:gridSpan w:val="2"/>
            <w:tcBorders>
              <w:top w:val="single" w:sz="4" w:space="0" w:color="auto"/>
              <w:bottom w:val="single" w:sz="4" w:space="0" w:color="auto"/>
            </w:tcBorders>
            <w:hideMark/>
          </w:tcPr>
          <w:p w14:paraId="7E0AAB5E"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2C1E5B">
              <w:rPr>
                <w:rFonts w:cstheme="majorBidi"/>
                <w:sz w:val="18"/>
                <w:szCs w:val="18"/>
              </w:rPr>
              <w:t>Total</w:t>
            </w:r>
          </w:p>
          <w:p w14:paraId="213E296C" w14:textId="4B0E48C6"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N=67</w:t>
            </w:r>
          </w:p>
        </w:tc>
        <w:tc>
          <w:tcPr>
            <w:tcW w:w="1282" w:type="dxa"/>
            <w:tcBorders>
              <w:top w:val="single" w:sz="4" w:space="0" w:color="auto"/>
              <w:bottom w:val="single" w:sz="4" w:space="0" w:color="auto"/>
            </w:tcBorders>
            <w:noWrap/>
            <w:hideMark/>
          </w:tcPr>
          <w:p w14:paraId="68C7EAB3"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P</w:t>
            </w:r>
          </w:p>
        </w:tc>
      </w:tr>
      <w:tr w:rsidR="002861C5" w:rsidRPr="00216DC8" w14:paraId="078D2C6E" w14:textId="77777777" w:rsidTr="00033F29">
        <w:trPr>
          <w:trHeight w:val="288"/>
        </w:trPr>
        <w:tc>
          <w:tcPr>
            <w:cnfStyle w:val="001000000000" w:firstRow="0" w:lastRow="0" w:firstColumn="1" w:lastColumn="0" w:oddVBand="0" w:evenVBand="0" w:oddHBand="0" w:evenHBand="0" w:firstRowFirstColumn="0" w:firstRowLastColumn="0" w:lastRowFirstColumn="0" w:lastRowLastColumn="0"/>
            <w:tcW w:w="3052" w:type="dxa"/>
            <w:gridSpan w:val="2"/>
            <w:tcBorders>
              <w:top w:val="single" w:sz="4" w:space="0" w:color="auto"/>
            </w:tcBorders>
            <w:hideMark/>
          </w:tcPr>
          <w:p w14:paraId="525EE3B6" w14:textId="77777777" w:rsidR="002861C5" w:rsidRPr="00216DC8" w:rsidRDefault="002861C5" w:rsidP="00033F29">
            <w:pPr>
              <w:ind w:firstLine="0"/>
              <w:jc w:val="left"/>
              <w:rPr>
                <w:rFonts w:cstheme="majorBidi"/>
                <w:sz w:val="18"/>
                <w:szCs w:val="18"/>
              </w:rPr>
            </w:pPr>
            <w:r w:rsidRPr="00216DC8">
              <w:rPr>
                <w:rFonts w:cstheme="majorBidi"/>
                <w:sz w:val="18"/>
                <w:szCs w:val="18"/>
              </w:rPr>
              <w:t>Age</w:t>
            </w:r>
          </w:p>
        </w:tc>
        <w:tc>
          <w:tcPr>
            <w:tcW w:w="1899" w:type="dxa"/>
            <w:gridSpan w:val="3"/>
            <w:tcBorders>
              <w:top w:val="single" w:sz="4" w:space="0" w:color="auto"/>
            </w:tcBorders>
            <w:noWrap/>
            <w:hideMark/>
          </w:tcPr>
          <w:p w14:paraId="1D52A0D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58 (45-75)</w:t>
            </w:r>
          </w:p>
        </w:tc>
        <w:tc>
          <w:tcPr>
            <w:tcW w:w="1912" w:type="dxa"/>
            <w:gridSpan w:val="2"/>
            <w:tcBorders>
              <w:top w:val="single" w:sz="4" w:space="0" w:color="auto"/>
            </w:tcBorders>
            <w:noWrap/>
            <w:hideMark/>
          </w:tcPr>
          <w:p w14:paraId="05F1759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63 (48-83)</w:t>
            </w:r>
          </w:p>
        </w:tc>
        <w:tc>
          <w:tcPr>
            <w:tcW w:w="1953" w:type="dxa"/>
            <w:gridSpan w:val="2"/>
            <w:tcBorders>
              <w:top w:val="single" w:sz="4" w:space="0" w:color="auto"/>
            </w:tcBorders>
            <w:noWrap/>
            <w:hideMark/>
          </w:tcPr>
          <w:p w14:paraId="1B398DC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60 (45-83)</w:t>
            </w:r>
          </w:p>
        </w:tc>
        <w:tc>
          <w:tcPr>
            <w:tcW w:w="1282" w:type="dxa"/>
            <w:tcBorders>
              <w:top w:val="single" w:sz="4" w:space="0" w:color="auto"/>
            </w:tcBorders>
            <w:noWrap/>
            <w:hideMark/>
          </w:tcPr>
          <w:p w14:paraId="0A01F12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0.053</w:t>
            </w:r>
          </w:p>
        </w:tc>
      </w:tr>
      <w:tr w:rsidR="002861C5" w:rsidRPr="00216DC8" w14:paraId="65D2CF22"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4DEE2178" w14:textId="77777777" w:rsidR="002861C5" w:rsidRPr="00216DC8" w:rsidRDefault="002861C5" w:rsidP="00033F29">
            <w:pPr>
              <w:ind w:firstLine="0"/>
              <w:jc w:val="left"/>
              <w:rPr>
                <w:rFonts w:cstheme="majorBidi"/>
                <w:sz w:val="18"/>
                <w:szCs w:val="18"/>
              </w:rPr>
            </w:pPr>
            <w:r w:rsidRPr="00216DC8">
              <w:rPr>
                <w:rFonts w:cstheme="majorBidi"/>
                <w:sz w:val="18"/>
                <w:szCs w:val="18"/>
              </w:rPr>
              <w:t>Sex</w:t>
            </w:r>
          </w:p>
        </w:tc>
        <w:tc>
          <w:tcPr>
            <w:tcW w:w="1971" w:type="dxa"/>
            <w:hideMark/>
          </w:tcPr>
          <w:p w14:paraId="4386EA8F"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Female</w:t>
            </w:r>
          </w:p>
        </w:tc>
        <w:tc>
          <w:tcPr>
            <w:tcW w:w="861" w:type="dxa"/>
            <w:noWrap/>
            <w:hideMark/>
          </w:tcPr>
          <w:p w14:paraId="29E1545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w:t>
            </w:r>
          </w:p>
        </w:tc>
        <w:tc>
          <w:tcPr>
            <w:tcW w:w="1038" w:type="dxa"/>
            <w:gridSpan w:val="2"/>
            <w:noWrap/>
            <w:hideMark/>
          </w:tcPr>
          <w:p w14:paraId="446DE9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24.0%</w:t>
            </w:r>
          </w:p>
        </w:tc>
        <w:tc>
          <w:tcPr>
            <w:tcW w:w="874" w:type="dxa"/>
            <w:noWrap/>
            <w:hideMark/>
          </w:tcPr>
          <w:p w14:paraId="47AFF10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9</w:t>
            </w:r>
          </w:p>
        </w:tc>
        <w:tc>
          <w:tcPr>
            <w:tcW w:w="1038" w:type="dxa"/>
            <w:noWrap/>
            <w:hideMark/>
          </w:tcPr>
          <w:p w14:paraId="43BFA92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21.4%</w:t>
            </w:r>
          </w:p>
        </w:tc>
        <w:tc>
          <w:tcPr>
            <w:tcW w:w="754" w:type="dxa"/>
            <w:noWrap/>
            <w:hideMark/>
          </w:tcPr>
          <w:p w14:paraId="2AC871A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15</w:t>
            </w:r>
          </w:p>
        </w:tc>
        <w:tc>
          <w:tcPr>
            <w:tcW w:w="1199" w:type="dxa"/>
            <w:noWrap/>
            <w:hideMark/>
          </w:tcPr>
          <w:p w14:paraId="66BC76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22.4%</w:t>
            </w:r>
          </w:p>
        </w:tc>
        <w:tc>
          <w:tcPr>
            <w:tcW w:w="1282" w:type="dxa"/>
            <w:vMerge w:val="restart"/>
            <w:noWrap/>
            <w:hideMark/>
          </w:tcPr>
          <w:p w14:paraId="672732C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0.807</w:t>
            </w:r>
          </w:p>
        </w:tc>
      </w:tr>
      <w:tr w:rsidR="002861C5" w:rsidRPr="00216DC8" w14:paraId="2CF4E919"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63612DF5" w14:textId="77777777" w:rsidR="002861C5" w:rsidRPr="00216DC8" w:rsidRDefault="002861C5" w:rsidP="0081769E">
            <w:pPr>
              <w:rPr>
                <w:rFonts w:cstheme="majorBidi"/>
                <w:sz w:val="18"/>
                <w:szCs w:val="18"/>
              </w:rPr>
            </w:pPr>
          </w:p>
        </w:tc>
        <w:tc>
          <w:tcPr>
            <w:tcW w:w="1971" w:type="dxa"/>
            <w:hideMark/>
          </w:tcPr>
          <w:p w14:paraId="222CEB5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Male</w:t>
            </w:r>
          </w:p>
        </w:tc>
        <w:tc>
          <w:tcPr>
            <w:tcW w:w="861" w:type="dxa"/>
            <w:noWrap/>
            <w:hideMark/>
          </w:tcPr>
          <w:p w14:paraId="304D528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19</w:t>
            </w:r>
          </w:p>
        </w:tc>
        <w:tc>
          <w:tcPr>
            <w:tcW w:w="1038" w:type="dxa"/>
            <w:gridSpan w:val="2"/>
            <w:noWrap/>
            <w:hideMark/>
          </w:tcPr>
          <w:p w14:paraId="2164E54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76.0%</w:t>
            </w:r>
          </w:p>
        </w:tc>
        <w:tc>
          <w:tcPr>
            <w:tcW w:w="874" w:type="dxa"/>
            <w:noWrap/>
            <w:hideMark/>
          </w:tcPr>
          <w:p w14:paraId="36BCD0E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33</w:t>
            </w:r>
          </w:p>
        </w:tc>
        <w:tc>
          <w:tcPr>
            <w:tcW w:w="1038" w:type="dxa"/>
            <w:noWrap/>
            <w:hideMark/>
          </w:tcPr>
          <w:p w14:paraId="04A5F36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78.6%</w:t>
            </w:r>
          </w:p>
        </w:tc>
        <w:tc>
          <w:tcPr>
            <w:tcW w:w="754" w:type="dxa"/>
            <w:noWrap/>
            <w:hideMark/>
          </w:tcPr>
          <w:p w14:paraId="6D784C1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w:t>
            </w:r>
          </w:p>
        </w:tc>
        <w:tc>
          <w:tcPr>
            <w:tcW w:w="1199" w:type="dxa"/>
            <w:noWrap/>
            <w:hideMark/>
          </w:tcPr>
          <w:p w14:paraId="3B0C616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77.6%</w:t>
            </w:r>
          </w:p>
        </w:tc>
        <w:tc>
          <w:tcPr>
            <w:tcW w:w="1282" w:type="dxa"/>
            <w:vMerge/>
            <w:noWrap/>
            <w:hideMark/>
          </w:tcPr>
          <w:p w14:paraId="650286A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2861C5" w:rsidRPr="00216DC8" w14:paraId="51463AB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4A9F268B" w14:textId="77777777" w:rsidR="002861C5" w:rsidRPr="00216DC8" w:rsidRDefault="002861C5" w:rsidP="00033F29">
            <w:pPr>
              <w:ind w:firstLine="0"/>
              <w:jc w:val="left"/>
              <w:rPr>
                <w:rFonts w:cstheme="majorBidi"/>
                <w:sz w:val="18"/>
                <w:szCs w:val="18"/>
              </w:rPr>
            </w:pPr>
            <w:r w:rsidRPr="00216DC8">
              <w:rPr>
                <w:rFonts w:cstheme="majorBidi"/>
                <w:sz w:val="18"/>
                <w:szCs w:val="18"/>
              </w:rPr>
              <w:t>Smoking</w:t>
            </w:r>
          </w:p>
        </w:tc>
        <w:tc>
          <w:tcPr>
            <w:tcW w:w="1971" w:type="dxa"/>
            <w:hideMark/>
          </w:tcPr>
          <w:p w14:paraId="569680C1"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No</w:t>
            </w:r>
          </w:p>
        </w:tc>
        <w:tc>
          <w:tcPr>
            <w:tcW w:w="861" w:type="dxa"/>
            <w:noWrap/>
            <w:hideMark/>
          </w:tcPr>
          <w:p w14:paraId="66D6594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w:t>
            </w:r>
          </w:p>
        </w:tc>
        <w:tc>
          <w:tcPr>
            <w:tcW w:w="1038" w:type="dxa"/>
            <w:gridSpan w:val="2"/>
            <w:noWrap/>
            <w:hideMark/>
          </w:tcPr>
          <w:p w14:paraId="482C11F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64.0%</w:t>
            </w:r>
          </w:p>
        </w:tc>
        <w:tc>
          <w:tcPr>
            <w:tcW w:w="874" w:type="dxa"/>
            <w:noWrap/>
            <w:hideMark/>
          </w:tcPr>
          <w:p w14:paraId="5DB9553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w:t>
            </w:r>
          </w:p>
        </w:tc>
        <w:tc>
          <w:tcPr>
            <w:tcW w:w="1038" w:type="dxa"/>
            <w:noWrap/>
            <w:hideMark/>
          </w:tcPr>
          <w:p w14:paraId="2A080DA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47.6%</w:t>
            </w:r>
          </w:p>
        </w:tc>
        <w:tc>
          <w:tcPr>
            <w:tcW w:w="754" w:type="dxa"/>
            <w:noWrap/>
            <w:hideMark/>
          </w:tcPr>
          <w:p w14:paraId="1201A41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w:t>
            </w:r>
          </w:p>
        </w:tc>
        <w:tc>
          <w:tcPr>
            <w:tcW w:w="1199" w:type="dxa"/>
            <w:noWrap/>
            <w:hideMark/>
          </w:tcPr>
          <w:p w14:paraId="640155C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53.7%</w:t>
            </w:r>
          </w:p>
        </w:tc>
        <w:tc>
          <w:tcPr>
            <w:tcW w:w="1282" w:type="dxa"/>
            <w:vMerge w:val="restart"/>
            <w:noWrap/>
            <w:hideMark/>
          </w:tcPr>
          <w:p w14:paraId="1CE67C96" w14:textId="7C0AC7C9" w:rsidR="002861C5" w:rsidRPr="002C1E5B" w:rsidRDefault="002861C5" w:rsidP="00FC5EAE">
            <w:pPr>
              <w:cnfStyle w:val="000000000000" w:firstRow="0" w:lastRow="0" w:firstColumn="0" w:lastColumn="0" w:oddVBand="0" w:evenVBand="0" w:oddHBand="0" w:evenHBand="0" w:firstRowFirstColumn="0" w:firstRowLastColumn="0" w:lastRowFirstColumn="0" w:lastRowLastColumn="0"/>
              <w:rPr>
                <w:rFonts w:cstheme="majorBidi"/>
                <w:sz w:val="18"/>
                <w:szCs w:val="18"/>
                <w:highlight w:val="yellow"/>
              </w:rPr>
            </w:pPr>
            <w:r w:rsidRPr="002C1E5B">
              <w:rPr>
                <w:rFonts w:cstheme="majorBidi"/>
                <w:sz w:val="18"/>
                <w:szCs w:val="18"/>
              </w:rPr>
              <w:t>0.197</w:t>
            </w:r>
          </w:p>
        </w:tc>
      </w:tr>
      <w:tr w:rsidR="002861C5" w:rsidRPr="00216DC8" w14:paraId="16B8F39F"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0E476F7A" w14:textId="77777777" w:rsidR="002861C5" w:rsidRPr="00216DC8" w:rsidRDefault="002861C5" w:rsidP="0081769E">
            <w:pPr>
              <w:rPr>
                <w:rFonts w:cstheme="majorBidi"/>
                <w:sz w:val="18"/>
                <w:szCs w:val="18"/>
              </w:rPr>
            </w:pPr>
          </w:p>
        </w:tc>
        <w:tc>
          <w:tcPr>
            <w:tcW w:w="1971" w:type="dxa"/>
            <w:hideMark/>
          </w:tcPr>
          <w:p w14:paraId="658C4B7F"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Smoker</w:t>
            </w:r>
          </w:p>
        </w:tc>
        <w:tc>
          <w:tcPr>
            <w:tcW w:w="861" w:type="dxa"/>
            <w:noWrap/>
            <w:hideMark/>
          </w:tcPr>
          <w:p w14:paraId="52393F7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9</w:t>
            </w:r>
          </w:p>
        </w:tc>
        <w:tc>
          <w:tcPr>
            <w:tcW w:w="1038" w:type="dxa"/>
            <w:gridSpan w:val="2"/>
            <w:noWrap/>
            <w:hideMark/>
          </w:tcPr>
          <w:p w14:paraId="7944D3D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36.0%</w:t>
            </w:r>
          </w:p>
        </w:tc>
        <w:tc>
          <w:tcPr>
            <w:tcW w:w="874" w:type="dxa"/>
            <w:noWrap/>
            <w:hideMark/>
          </w:tcPr>
          <w:p w14:paraId="60805CA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w:t>
            </w:r>
          </w:p>
        </w:tc>
        <w:tc>
          <w:tcPr>
            <w:tcW w:w="1038" w:type="dxa"/>
            <w:noWrap/>
            <w:hideMark/>
          </w:tcPr>
          <w:p w14:paraId="376FB30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52.4%</w:t>
            </w:r>
          </w:p>
        </w:tc>
        <w:tc>
          <w:tcPr>
            <w:tcW w:w="754" w:type="dxa"/>
            <w:noWrap/>
            <w:hideMark/>
          </w:tcPr>
          <w:p w14:paraId="533337F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w:t>
            </w:r>
          </w:p>
        </w:tc>
        <w:tc>
          <w:tcPr>
            <w:tcW w:w="1199" w:type="dxa"/>
            <w:noWrap/>
            <w:hideMark/>
          </w:tcPr>
          <w:p w14:paraId="6EF7735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46.3%</w:t>
            </w:r>
          </w:p>
        </w:tc>
        <w:tc>
          <w:tcPr>
            <w:tcW w:w="1282" w:type="dxa"/>
            <w:vMerge/>
            <w:noWrap/>
            <w:hideMark/>
          </w:tcPr>
          <w:p w14:paraId="2611DF8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highlight w:val="yellow"/>
              </w:rPr>
            </w:pPr>
          </w:p>
        </w:tc>
      </w:tr>
      <w:tr w:rsidR="002861C5" w:rsidRPr="00216DC8" w14:paraId="47BB987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5066C95E" w14:textId="77777777" w:rsidR="002861C5" w:rsidRPr="00216DC8" w:rsidRDefault="002861C5" w:rsidP="00033F29">
            <w:pPr>
              <w:ind w:firstLine="0"/>
              <w:jc w:val="left"/>
              <w:rPr>
                <w:rFonts w:cstheme="majorBidi"/>
                <w:sz w:val="18"/>
                <w:szCs w:val="18"/>
              </w:rPr>
            </w:pPr>
            <w:r>
              <w:rPr>
                <w:rFonts w:cstheme="majorBidi"/>
                <w:sz w:val="18"/>
                <w:szCs w:val="18"/>
              </w:rPr>
              <w:t>Diabetes Mellitus</w:t>
            </w:r>
          </w:p>
        </w:tc>
        <w:tc>
          <w:tcPr>
            <w:tcW w:w="1971" w:type="dxa"/>
            <w:hideMark/>
          </w:tcPr>
          <w:p w14:paraId="1247F43E"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DM</w:t>
            </w:r>
          </w:p>
        </w:tc>
        <w:tc>
          <w:tcPr>
            <w:tcW w:w="861" w:type="dxa"/>
            <w:noWrap/>
            <w:hideMark/>
          </w:tcPr>
          <w:p w14:paraId="6D71A0D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w:t>
            </w:r>
          </w:p>
        </w:tc>
        <w:tc>
          <w:tcPr>
            <w:tcW w:w="1038" w:type="dxa"/>
            <w:gridSpan w:val="2"/>
            <w:noWrap/>
            <w:hideMark/>
          </w:tcPr>
          <w:p w14:paraId="3B358D9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56.0%</w:t>
            </w:r>
          </w:p>
        </w:tc>
        <w:tc>
          <w:tcPr>
            <w:tcW w:w="874" w:type="dxa"/>
            <w:noWrap/>
            <w:hideMark/>
          </w:tcPr>
          <w:p w14:paraId="10868A9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22</w:t>
            </w:r>
          </w:p>
        </w:tc>
        <w:tc>
          <w:tcPr>
            <w:tcW w:w="1038" w:type="dxa"/>
            <w:noWrap/>
            <w:hideMark/>
          </w:tcPr>
          <w:p w14:paraId="147F92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52.4%</w:t>
            </w:r>
          </w:p>
        </w:tc>
        <w:tc>
          <w:tcPr>
            <w:tcW w:w="754" w:type="dxa"/>
            <w:noWrap/>
            <w:hideMark/>
          </w:tcPr>
          <w:p w14:paraId="7D215C0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36</w:t>
            </w:r>
          </w:p>
        </w:tc>
        <w:tc>
          <w:tcPr>
            <w:tcW w:w="1199" w:type="dxa"/>
            <w:noWrap/>
            <w:hideMark/>
          </w:tcPr>
          <w:p w14:paraId="03D5539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53.7%</w:t>
            </w:r>
          </w:p>
        </w:tc>
        <w:tc>
          <w:tcPr>
            <w:tcW w:w="1282" w:type="dxa"/>
            <w:vMerge w:val="restart"/>
            <w:noWrap/>
            <w:hideMark/>
          </w:tcPr>
          <w:p w14:paraId="29F56F4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0.774</w:t>
            </w:r>
          </w:p>
        </w:tc>
      </w:tr>
      <w:tr w:rsidR="002861C5" w:rsidRPr="00216DC8" w14:paraId="24DC29DD"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02D4EF9E" w14:textId="77777777" w:rsidR="002861C5" w:rsidRPr="00216DC8" w:rsidRDefault="002861C5" w:rsidP="0081769E">
            <w:pPr>
              <w:rPr>
                <w:rFonts w:cstheme="majorBidi"/>
                <w:sz w:val="18"/>
                <w:szCs w:val="18"/>
              </w:rPr>
            </w:pPr>
          </w:p>
        </w:tc>
        <w:tc>
          <w:tcPr>
            <w:tcW w:w="1971" w:type="dxa"/>
            <w:hideMark/>
          </w:tcPr>
          <w:p w14:paraId="3DF9207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Pr>
                <w:rFonts w:cstheme="majorBidi"/>
                <w:sz w:val="18"/>
                <w:szCs w:val="18"/>
              </w:rPr>
              <w:t>NOT DM</w:t>
            </w:r>
          </w:p>
        </w:tc>
        <w:tc>
          <w:tcPr>
            <w:tcW w:w="861" w:type="dxa"/>
            <w:noWrap/>
            <w:hideMark/>
          </w:tcPr>
          <w:p w14:paraId="195F6B8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038" w:type="dxa"/>
            <w:gridSpan w:val="2"/>
            <w:noWrap/>
            <w:hideMark/>
          </w:tcPr>
          <w:p w14:paraId="7CAD9D1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44.0%</w:t>
            </w:r>
          </w:p>
        </w:tc>
        <w:tc>
          <w:tcPr>
            <w:tcW w:w="874" w:type="dxa"/>
            <w:noWrap/>
            <w:hideMark/>
          </w:tcPr>
          <w:p w14:paraId="2B6F92C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w:t>
            </w:r>
          </w:p>
        </w:tc>
        <w:tc>
          <w:tcPr>
            <w:tcW w:w="1038" w:type="dxa"/>
            <w:noWrap/>
            <w:hideMark/>
          </w:tcPr>
          <w:p w14:paraId="725DE0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47.6%</w:t>
            </w:r>
          </w:p>
        </w:tc>
        <w:tc>
          <w:tcPr>
            <w:tcW w:w="754" w:type="dxa"/>
            <w:noWrap/>
            <w:hideMark/>
          </w:tcPr>
          <w:p w14:paraId="1677F8D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w:t>
            </w:r>
          </w:p>
        </w:tc>
        <w:tc>
          <w:tcPr>
            <w:tcW w:w="1199" w:type="dxa"/>
            <w:noWrap/>
            <w:hideMark/>
          </w:tcPr>
          <w:p w14:paraId="1392F78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46.3%</w:t>
            </w:r>
          </w:p>
        </w:tc>
        <w:tc>
          <w:tcPr>
            <w:tcW w:w="1282" w:type="dxa"/>
            <w:vMerge/>
            <w:noWrap/>
            <w:hideMark/>
          </w:tcPr>
          <w:p w14:paraId="082F97B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2861C5" w:rsidRPr="00216DC8" w14:paraId="173C7ADD" w14:textId="77777777" w:rsidTr="00033F29">
        <w:trPr>
          <w:trHeight w:val="288"/>
        </w:trPr>
        <w:tc>
          <w:tcPr>
            <w:cnfStyle w:val="001000000000" w:firstRow="0" w:lastRow="0" w:firstColumn="1" w:lastColumn="0" w:oddVBand="0" w:evenVBand="0" w:oddHBand="0" w:evenHBand="0" w:firstRowFirstColumn="0" w:firstRowLastColumn="0" w:lastRowFirstColumn="0" w:lastRowLastColumn="0"/>
            <w:tcW w:w="3052" w:type="dxa"/>
            <w:gridSpan w:val="2"/>
            <w:hideMark/>
          </w:tcPr>
          <w:p w14:paraId="2D3EC9B8" w14:textId="264E68B9" w:rsidR="002861C5" w:rsidRPr="00216DC8" w:rsidRDefault="002861C5" w:rsidP="00033F29">
            <w:pPr>
              <w:ind w:firstLine="0"/>
              <w:jc w:val="left"/>
              <w:rPr>
                <w:rFonts w:cstheme="majorBidi"/>
                <w:sz w:val="18"/>
                <w:szCs w:val="18"/>
              </w:rPr>
            </w:pPr>
            <w:r w:rsidRPr="00216DC8">
              <w:rPr>
                <w:rFonts w:cstheme="majorBidi"/>
                <w:sz w:val="18"/>
                <w:szCs w:val="18"/>
              </w:rPr>
              <w:t>BMI</w:t>
            </w:r>
          </w:p>
        </w:tc>
        <w:tc>
          <w:tcPr>
            <w:tcW w:w="1899" w:type="dxa"/>
            <w:gridSpan w:val="3"/>
            <w:noWrap/>
            <w:hideMark/>
          </w:tcPr>
          <w:p w14:paraId="5CCD67C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28.5 (19.0-39.0)</w:t>
            </w:r>
          </w:p>
        </w:tc>
        <w:tc>
          <w:tcPr>
            <w:tcW w:w="1912" w:type="dxa"/>
            <w:gridSpan w:val="2"/>
            <w:noWrap/>
            <w:hideMark/>
          </w:tcPr>
          <w:p w14:paraId="4F13A95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28.0 (21.0-44.0)</w:t>
            </w:r>
          </w:p>
        </w:tc>
        <w:tc>
          <w:tcPr>
            <w:tcW w:w="1953" w:type="dxa"/>
            <w:gridSpan w:val="2"/>
            <w:noWrap/>
            <w:hideMark/>
          </w:tcPr>
          <w:p w14:paraId="405368B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28.0 (19.0-44.0)</w:t>
            </w:r>
          </w:p>
        </w:tc>
        <w:tc>
          <w:tcPr>
            <w:tcW w:w="1282" w:type="dxa"/>
            <w:noWrap/>
            <w:hideMark/>
          </w:tcPr>
          <w:p w14:paraId="5AE4D14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0.815</w:t>
            </w:r>
          </w:p>
        </w:tc>
      </w:tr>
      <w:tr w:rsidR="002861C5" w:rsidRPr="00216DC8" w14:paraId="6365A476"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val="restart"/>
            <w:hideMark/>
          </w:tcPr>
          <w:p w14:paraId="0642385F" w14:textId="77777777" w:rsidR="002861C5" w:rsidRPr="00216DC8" w:rsidRDefault="002861C5" w:rsidP="00033F29">
            <w:pPr>
              <w:ind w:firstLine="0"/>
              <w:jc w:val="left"/>
              <w:rPr>
                <w:rFonts w:cstheme="majorBidi"/>
                <w:sz w:val="18"/>
                <w:szCs w:val="18"/>
              </w:rPr>
            </w:pPr>
            <w:r w:rsidRPr="00216DC8">
              <w:rPr>
                <w:rFonts w:cstheme="majorBidi"/>
                <w:sz w:val="18"/>
                <w:szCs w:val="18"/>
              </w:rPr>
              <w:t xml:space="preserve">Antiviral </w:t>
            </w:r>
          </w:p>
        </w:tc>
        <w:tc>
          <w:tcPr>
            <w:tcW w:w="1971" w:type="dxa"/>
            <w:shd w:val="clear" w:color="auto" w:fill="auto"/>
            <w:hideMark/>
          </w:tcPr>
          <w:p w14:paraId="35793DF3"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Dual</w:t>
            </w:r>
            <w:r>
              <w:rPr>
                <w:rFonts w:cstheme="majorBidi"/>
                <w:sz w:val="18"/>
                <w:szCs w:val="18"/>
              </w:rPr>
              <w:t xml:space="preserve"> (SOV/DACLA)</w:t>
            </w:r>
          </w:p>
        </w:tc>
        <w:tc>
          <w:tcPr>
            <w:tcW w:w="861" w:type="dxa"/>
            <w:shd w:val="clear" w:color="auto" w:fill="auto"/>
            <w:noWrap/>
            <w:hideMark/>
          </w:tcPr>
          <w:p w14:paraId="074A57E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w:t>
            </w:r>
          </w:p>
        </w:tc>
        <w:tc>
          <w:tcPr>
            <w:tcW w:w="1038" w:type="dxa"/>
            <w:gridSpan w:val="2"/>
            <w:shd w:val="clear" w:color="auto" w:fill="auto"/>
            <w:noWrap/>
            <w:hideMark/>
          </w:tcPr>
          <w:p w14:paraId="4A1B6E2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w:t>
            </w:r>
          </w:p>
        </w:tc>
        <w:tc>
          <w:tcPr>
            <w:tcW w:w="874" w:type="dxa"/>
            <w:shd w:val="clear" w:color="auto" w:fill="auto"/>
            <w:noWrap/>
            <w:hideMark/>
          </w:tcPr>
          <w:p w14:paraId="195E506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17</w:t>
            </w:r>
          </w:p>
        </w:tc>
        <w:tc>
          <w:tcPr>
            <w:tcW w:w="1038" w:type="dxa"/>
            <w:shd w:val="clear" w:color="auto" w:fill="auto"/>
            <w:noWrap/>
            <w:hideMark/>
          </w:tcPr>
          <w:p w14:paraId="523E23C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40.5%</w:t>
            </w:r>
          </w:p>
        </w:tc>
        <w:tc>
          <w:tcPr>
            <w:tcW w:w="754" w:type="dxa"/>
            <w:shd w:val="clear" w:color="auto" w:fill="auto"/>
            <w:noWrap/>
            <w:hideMark/>
          </w:tcPr>
          <w:p w14:paraId="34F060C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17</w:t>
            </w:r>
          </w:p>
        </w:tc>
        <w:tc>
          <w:tcPr>
            <w:tcW w:w="2481" w:type="dxa"/>
            <w:gridSpan w:val="2"/>
            <w:shd w:val="clear" w:color="auto" w:fill="auto"/>
            <w:noWrap/>
            <w:hideMark/>
          </w:tcPr>
          <w:p w14:paraId="04BD0B42" w14:textId="77777777" w:rsidR="002861C5" w:rsidRPr="002C1E5B"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26.9%</w:t>
            </w:r>
          </w:p>
        </w:tc>
      </w:tr>
      <w:tr w:rsidR="002861C5" w:rsidRPr="00216DC8" w14:paraId="2A9F227F"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4D6339A1" w14:textId="77777777" w:rsidR="002861C5" w:rsidRPr="00216DC8" w:rsidRDefault="002861C5" w:rsidP="0081769E">
            <w:pPr>
              <w:rPr>
                <w:rFonts w:cstheme="majorBidi"/>
                <w:sz w:val="18"/>
                <w:szCs w:val="18"/>
              </w:rPr>
            </w:pPr>
          </w:p>
        </w:tc>
        <w:tc>
          <w:tcPr>
            <w:tcW w:w="1971" w:type="dxa"/>
            <w:shd w:val="clear" w:color="auto" w:fill="auto"/>
            <w:hideMark/>
          </w:tcPr>
          <w:p w14:paraId="72A6AB81"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Triple</w:t>
            </w:r>
            <w:r>
              <w:rPr>
                <w:rFonts w:cstheme="majorBidi"/>
                <w:sz w:val="18"/>
                <w:szCs w:val="18"/>
              </w:rPr>
              <w:t xml:space="preserve"> (SOV/DACLA/RIB)</w:t>
            </w:r>
          </w:p>
        </w:tc>
        <w:tc>
          <w:tcPr>
            <w:tcW w:w="861" w:type="dxa"/>
            <w:shd w:val="clear" w:color="auto" w:fill="auto"/>
            <w:noWrap/>
            <w:hideMark/>
          </w:tcPr>
          <w:p w14:paraId="7F0E61C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1038" w:type="dxa"/>
            <w:gridSpan w:val="2"/>
            <w:shd w:val="clear" w:color="auto" w:fill="auto"/>
            <w:noWrap/>
            <w:hideMark/>
          </w:tcPr>
          <w:p w14:paraId="65CA217A"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874" w:type="dxa"/>
            <w:shd w:val="clear" w:color="auto" w:fill="auto"/>
            <w:noWrap/>
            <w:hideMark/>
          </w:tcPr>
          <w:p w14:paraId="16732DD9"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25</w:t>
            </w:r>
          </w:p>
        </w:tc>
        <w:tc>
          <w:tcPr>
            <w:tcW w:w="1038" w:type="dxa"/>
            <w:shd w:val="clear" w:color="auto" w:fill="auto"/>
            <w:noWrap/>
            <w:hideMark/>
          </w:tcPr>
          <w:p w14:paraId="5BB2A038"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59.2%</w:t>
            </w:r>
          </w:p>
        </w:tc>
        <w:tc>
          <w:tcPr>
            <w:tcW w:w="754" w:type="dxa"/>
            <w:shd w:val="clear" w:color="auto" w:fill="auto"/>
            <w:noWrap/>
            <w:hideMark/>
          </w:tcPr>
          <w:p w14:paraId="6EB95BA2"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25</w:t>
            </w:r>
          </w:p>
        </w:tc>
        <w:tc>
          <w:tcPr>
            <w:tcW w:w="2481" w:type="dxa"/>
            <w:gridSpan w:val="2"/>
            <w:shd w:val="clear" w:color="auto" w:fill="auto"/>
            <w:noWrap/>
            <w:hideMark/>
          </w:tcPr>
          <w:p w14:paraId="57FD4724" w14:textId="77777777" w:rsidR="002861C5" w:rsidRPr="00216DC8"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35.8%</w:t>
            </w:r>
          </w:p>
        </w:tc>
      </w:tr>
      <w:tr w:rsidR="002861C5" w:rsidRPr="00216DC8" w14:paraId="0DA0B05C"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081" w:type="dxa"/>
            <w:vMerge/>
            <w:hideMark/>
          </w:tcPr>
          <w:p w14:paraId="35FB23A0" w14:textId="77777777" w:rsidR="002861C5" w:rsidRPr="00216DC8" w:rsidRDefault="002861C5" w:rsidP="0081769E">
            <w:pPr>
              <w:rPr>
                <w:rFonts w:cstheme="majorBidi"/>
                <w:sz w:val="18"/>
                <w:szCs w:val="18"/>
              </w:rPr>
            </w:pPr>
          </w:p>
        </w:tc>
        <w:tc>
          <w:tcPr>
            <w:tcW w:w="1971" w:type="dxa"/>
            <w:shd w:val="clear" w:color="auto" w:fill="auto"/>
            <w:hideMark/>
          </w:tcPr>
          <w:p w14:paraId="7E928185" w14:textId="6E8B375F"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Pr>
                <w:rFonts w:cstheme="majorBidi"/>
                <w:sz w:val="18"/>
                <w:szCs w:val="18"/>
              </w:rPr>
              <w:t xml:space="preserve">PEG. </w:t>
            </w:r>
            <w:r w:rsidR="00033F29" w:rsidRPr="00216DC8">
              <w:rPr>
                <w:rFonts w:cstheme="majorBidi"/>
                <w:sz w:val="18"/>
                <w:szCs w:val="18"/>
              </w:rPr>
              <w:t>Interferon</w:t>
            </w:r>
            <w:r w:rsidR="00033F29">
              <w:rPr>
                <w:rFonts w:cstheme="majorBidi"/>
                <w:sz w:val="18"/>
                <w:szCs w:val="18"/>
              </w:rPr>
              <w:t xml:space="preserve"> (</w:t>
            </w:r>
            <w:r>
              <w:rPr>
                <w:rFonts w:cstheme="majorBidi"/>
                <w:sz w:val="18"/>
                <w:szCs w:val="18"/>
              </w:rPr>
              <w:t>PI)</w:t>
            </w:r>
          </w:p>
        </w:tc>
        <w:tc>
          <w:tcPr>
            <w:tcW w:w="861" w:type="dxa"/>
            <w:shd w:val="clear" w:color="auto" w:fill="auto"/>
            <w:noWrap/>
            <w:hideMark/>
          </w:tcPr>
          <w:p w14:paraId="557FC7B2"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4</w:t>
            </w:r>
          </w:p>
        </w:tc>
        <w:tc>
          <w:tcPr>
            <w:tcW w:w="1038" w:type="dxa"/>
            <w:gridSpan w:val="2"/>
            <w:shd w:val="clear" w:color="auto" w:fill="auto"/>
            <w:noWrap/>
            <w:hideMark/>
          </w:tcPr>
          <w:p w14:paraId="221CE596"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16%</w:t>
            </w:r>
          </w:p>
        </w:tc>
        <w:tc>
          <w:tcPr>
            <w:tcW w:w="874" w:type="dxa"/>
            <w:shd w:val="clear" w:color="auto" w:fill="auto"/>
            <w:noWrap/>
            <w:hideMark/>
          </w:tcPr>
          <w:p w14:paraId="49A070E0"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1038" w:type="dxa"/>
            <w:shd w:val="clear" w:color="auto" w:fill="auto"/>
            <w:noWrap/>
            <w:hideMark/>
          </w:tcPr>
          <w:p w14:paraId="2B1722DC"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w:t>
            </w:r>
          </w:p>
        </w:tc>
        <w:tc>
          <w:tcPr>
            <w:tcW w:w="754" w:type="dxa"/>
            <w:shd w:val="clear" w:color="auto" w:fill="auto"/>
            <w:noWrap/>
            <w:hideMark/>
          </w:tcPr>
          <w:p w14:paraId="31A11176" w14:textId="77777777" w:rsidR="002861C5" w:rsidRPr="00216DC8"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4</w:t>
            </w:r>
          </w:p>
        </w:tc>
        <w:tc>
          <w:tcPr>
            <w:tcW w:w="2481" w:type="dxa"/>
            <w:gridSpan w:val="2"/>
            <w:shd w:val="clear" w:color="auto" w:fill="auto"/>
            <w:noWrap/>
            <w:hideMark/>
          </w:tcPr>
          <w:p w14:paraId="0B27B6E9" w14:textId="77777777" w:rsidR="002861C5" w:rsidRPr="00216DC8" w:rsidRDefault="002861C5" w:rsidP="00033F29">
            <w:pPr>
              <w:jc w:val="left"/>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16DC8">
              <w:rPr>
                <w:rFonts w:cstheme="majorBidi"/>
                <w:sz w:val="18"/>
                <w:szCs w:val="18"/>
              </w:rPr>
              <w:t>6.0%</w:t>
            </w:r>
          </w:p>
        </w:tc>
      </w:tr>
    </w:tbl>
    <w:p w14:paraId="252422CC" w14:textId="77777777" w:rsidR="009C1BCB" w:rsidRDefault="009C1BCB" w:rsidP="009C1BCB">
      <w:pPr>
        <w:pStyle w:val="Caption"/>
        <w:keepNext/>
        <w:rPr>
          <w:rFonts w:asciiTheme="majorBidi" w:hAnsiTheme="majorBidi" w:cstheme="majorBidi"/>
          <w:i/>
        </w:rPr>
      </w:pPr>
    </w:p>
    <w:p w14:paraId="7D4F6DB0" w14:textId="27EC090E" w:rsidR="009C1BCB" w:rsidRPr="009C1BCB" w:rsidRDefault="009C1BCB" w:rsidP="009C1BCB">
      <w:pPr>
        <w:pStyle w:val="Caption"/>
        <w:keepNext/>
        <w:rPr>
          <w:rFonts w:asciiTheme="majorBidi" w:hAnsiTheme="majorBidi" w:cstheme="majorBidi"/>
          <w:i/>
          <w:rtl/>
        </w:rPr>
      </w:pPr>
      <w:r w:rsidRPr="009C1BCB">
        <w:rPr>
          <w:rFonts w:asciiTheme="majorBidi" w:hAnsiTheme="majorBidi" w:cstheme="majorBidi"/>
          <w:i/>
        </w:rPr>
        <w:t xml:space="preserve">Quantitative variables were expressed as median (range) and compared using the Mann-Whitney </w:t>
      </w:r>
      <w:r w:rsidRPr="009C1BCB">
        <w:rPr>
          <w:rFonts w:asciiTheme="majorBidi" w:hAnsiTheme="majorBidi" w:cstheme="majorBidi"/>
          <w:i/>
          <w:iCs/>
        </w:rPr>
        <w:t>U</w:t>
      </w:r>
      <w:r w:rsidRPr="009C1BCB">
        <w:rPr>
          <w:rFonts w:asciiTheme="majorBidi" w:hAnsiTheme="majorBidi" w:cstheme="majorBidi"/>
          <w:i/>
        </w:rPr>
        <w:t xml:space="preserve"> test. In contrast, qualitative variables were expressed as numbers and percentages and compared using the Chi-square X</w:t>
      </w:r>
      <w:r w:rsidRPr="009C1BCB">
        <w:rPr>
          <w:rFonts w:asciiTheme="majorBidi" w:hAnsiTheme="majorBidi" w:cstheme="majorBidi"/>
          <w:i/>
          <w:vertAlign w:val="superscript"/>
        </w:rPr>
        <w:t>2</w:t>
      </w:r>
      <w:r w:rsidRPr="009C1BCB">
        <w:rPr>
          <w:rFonts w:asciiTheme="majorBidi" w:hAnsiTheme="majorBidi" w:cstheme="majorBidi"/>
          <w:i/>
        </w:rPr>
        <w:t xml:space="preserve"> test.</w:t>
      </w:r>
    </w:p>
    <w:p w14:paraId="4DF147DE" w14:textId="6164440A" w:rsidR="00033F29" w:rsidRPr="00033F29" w:rsidRDefault="00033F29" w:rsidP="00033F29">
      <w:pPr>
        <w:pStyle w:val="Caption"/>
        <w:keepNext/>
      </w:pPr>
      <w:r>
        <w:t xml:space="preserve">Table </w:t>
      </w:r>
      <w:fldSimple w:instr=" SEQ Table \* ARABIC ">
        <w:r w:rsidR="00C73507">
          <w:rPr>
            <w:noProof/>
          </w:rPr>
          <w:t>2</w:t>
        </w:r>
      </w:fldSimple>
      <w:r>
        <w:t>.</w:t>
      </w:r>
      <w:r w:rsidRPr="00033F29">
        <w:rPr>
          <w:rFonts w:asciiTheme="majorBidi" w:hAnsiTheme="majorBidi" w:cstheme="majorBidi"/>
          <w:b w:val="0"/>
          <w:bCs w:val="0"/>
          <w:sz w:val="22"/>
          <w:szCs w:val="22"/>
        </w:rPr>
        <w:t xml:space="preserve"> </w:t>
      </w:r>
      <w:r w:rsidRPr="00033F29">
        <w:t>The clinical presentations of the studied groups.</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2"/>
        <w:tblDescription w:val="Variables were expressed as numbers and percentages and compared using the Chi-square X2 test"/>
      </w:tblPr>
      <w:tblGrid>
        <w:gridCol w:w="1514"/>
        <w:gridCol w:w="1663"/>
        <w:gridCol w:w="771"/>
        <w:gridCol w:w="986"/>
        <w:gridCol w:w="52"/>
        <w:gridCol w:w="754"/>
        <w:gridCol w:w="1123"/>
        <w:gridCol w:w="754"/>
        <w:gridCol w:w="1199"/>
        <w:gridCol w:w="1282"/>
      </w:tblGrid>
      <w:tr w:rsidR="002861C5" w:rsidRPr="00216DC8" w14:paraId="5D110558" w14:textId="77777777" w:rsidTr="00033F2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177" w:type="dxa"/>
            <w:gridSpan w:val="2"/>
            <w:tcBorders>
              <w:top w:val="single" w:sz="4" w:space="0" w:color="auto"/>
              <w:bottom w:val="single" w:sz="4" w:space="0" w:color="auto"/>
            </w:tcBorders>
            <w:hideMark/>
          </w:tcPr>
          <w:p w14:paraId="3B1E92E4" w14:textId="77777777" w:rsidR="002861C5" w:rsidRPr="00216DC8" w:rsidRDefault="002861C5" w:rsidP="0081769E">
            <w:pPr>
              <w:rPr>
                <w:rFonts w:cstheme="majorBidi"/>
                <w:sz w:val="18"/>
                <w:szCs w:val="18"/>
              </w:rPr>
            </w:pPr>
          </w:p>
        </w:tc>
        <w:tc>
          <w:tcPr>
            <w:tcW w:w="1757" w:type="dxa"/>
            <w:gridSpan w:val="2"/>
            <w:tcBorders>
              <w:top w:val="single" w:sz="4" w:space="0" w:color="auto"/>
              <w:bottom w:val="single" w:sz="4" w:space="0" w:color="auto"/>
            </w:tcBorders>
            <w:hideMark/>
          </w:tcPr>
          <w:p w14:paraId="1BDE2C52"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HCC without DAAs</w:t>
            </w:r>
          </w:p>
          <w:p w14:paraId="1EF61AA8" w14:textId="33534080"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N=25</w:t>
            </w:r>
          </w:p>
        </w:tc>
        <w:tc>
          <w:tcPr>
            <w:tcW w:w="1929" w:type="dxa"/>
            <w:gridSpan w:val="3"/>
            <w:tcBorders>
              <w:top w:val="single" w:sz="4" w:space="0" w:color="auto"/>
              <w:bottom w:val="single" w:sz="4" w:space="0" w:color="auto"/>
            </w:tcBorders>
          </w:tcPr>
          <w:p w14:paraId="6C407176"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HCC after DAA</w:t>
            </w:r>
          </w:p>
          <w:p w14:paraId="62697319" w14:textId="63CDE113"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N=42</w:t>
            </w:r>
          </w:p>
        </w:tc>
        <w:tc>
          <w:tcPr>
            <w:tcW w:w="1953" w:type="dxa"/>
            <w:gridSpan w:val="2"/>
            <w:tcBorders>
              <w:top w:val="single" w:sz="4" w:space="0" w:color="auto"/>
              <w:bottom w:val="single" w:sz="4" w:space="0" w:color="auto"/>
            </w:tcBorders>
            <w:hideMark/>
          </w:tcPr>
          <w:p w14:paraId="1833EEEC" w14:textId="77777777" w:rsidR="00033F29"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20"/>
                <w:szCs w:val="20"/>
              </w:rPr>
            </w:pPr>
            <w:r w:rsidRPr="002C1E5B">
              <w:rPr>
                <w:rFonts w:cstheme="majorBidi"/>
                <w:sz w:val="20"/>
                <w:szCs w:val="20"/>
              </w:rPr>
              <w:t>Total</w:t>
            </w:r>
          </w:p>
          <w:p w14:paraId="02717EA5" w14:textId="6401129D"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N=67</w:t>
            </w:r>
          </w:p>
        </w:tc>
        <w:tc>
          <w:tcPr>
            <w:tcW w:w="1282" w:type="dxa"/>
            <w:tcBorders>
              <w:top w:val="single" w:sz="4" w:space="0" w:color="auto"/>
              <w:bottom w:val="single" w:sz="4" w:space="0" w:color="auto"/>
            </w:tcBorders>
            <w:noWrap/>
            <w:hideMark/>
          </w:tcPr>
          <w:p w14:paraId="3E83B058"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P</w:t>
            </w:r>
          </w:p>
        </w:tc>
      </w:tr>
      <w:tr w:rsidR="002861C5" w:rsidRPr="00216DC8" w14:paraId="50D9B3B2"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val="restart"/>
            <w:tcBorders>
              <w:top w:val="single" w:sz="4" w:space="0" w:color="auto"/>
            </w:tcBorders>
          </w:tcPr>
          <w:p w14:paraId="7106F7F4" w14:textId="77777777" w:rsidR="002861C5" w:rsidRPr="00216DC8" w:rsidRDefault="002861C5" w:rsidP="0081769E">
            <w:pPr>
              <w:rPr>
                <w:rFonts w:cstheme="majorBidi"/>
                <w:sz w:val="18"/>
                <w:szCs w:val="18"/>
              </w:rPr>
            </w:pPr>
            <w:r w:rsidRPr="00216DC8">
              <w:rPr>
                <w:rFonts w:cstheme="majorBidi"/>
                <w:sz w:val="18"/>
                <w:szCs w:val="18"/>
              </w:rPr>
              <w:t xml:space="preserve">Presentation </w:t>
            </w:r>
          </w:p>
        </w:tc>
        <w:tc>
          <w:tcPr>
            <w:tcW w:w="1663" w:type="dxa"/>
            <w:tcBorders>
              <w:top w:val="single" w:sz="4" w:space="0" w:color="auto"/>
            </w:tcBorders>
          </w:tcPr>
          <w:p w14:paraId="33633690" w14:textId="192D2BB7" w:rsidR="002861C5" w:rsidRPr="002C1E5B" w:rsidRDefault="00DD4F1B"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Asymptomatic</w:t>
            </w:r>
          </w:p>
        </w:tc>
        <w:tc>
          <w:tcPr>
            <w:tcW w:w="771" w:type="dxa"/>
            <w:tcBorders>
              <w:top w:val="single" w:sz="4" w:space="0" w:color="auto"/>
            </w:tcBorders>
            <w:noWrap/>
          </w:tcPr>
          <w:p w14:paraId="003113F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w:t>
            </w:r>
          </w:p>
        </w:tc>
        <w:tc>
          <w:tcPr>
            <w:tcW w:w="1038" w:type="dxa"/>
            <w:gridSpan w:val="2"/>
            <w:tcBorders>
              <w:top w:val="single" w:sz="4" w:space="0" w:color="auto"/>
            </w:tcBorders>
            <w:noWrap/>
          </w:tcPr>
          <w:p w14:paraId="75D6F86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w:t>
            </w:r>
          </w:p>
        </w:tc>
        <w:tc>
          <w:tcPr>
            <w:tcW w:w="754" w:type="dxa"/>
            <w:tcBorders>
              <w:top w:val="single" w:sz="4" w:space="0" w:color="auto"/>
            </w:tcBorders>
            <w:noWrap/>
          </w:tcPr>
          <w:p w14:paraId="5303E72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w:t>
            </w:r>
          </w:p>
        </w:tc>
        <w:tc>
          <w:tcPr>
            <w:tcW w:w="1123" w:type="dxa"/>
            <w:tcBorders>
              <w:top w:val="single" w:sz="4" w:space="0" w:color="auto"/>
            </w:tcBorders>
            <w:shd w:val="clear" w:color="auto" w:fill="DDD9C3" w:themeFill="background2" w:themeFillShade="E6"/>
            <w:noWrap/>
          </w:tcPr>
          <w:p w14:paraId="57C693E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23.8%</w:t>
            </w:r>
          </w:p>
        </w:tc>
        <w:tc>
          <w:tcPr>
            <w:tcW w:w="754" w:type="dxa"/>
            <w:tcBorders>
              <w:top w:val="single" w:sz="4" w:space="0" w:color="auto"/>
            </w:tcBorders>
            <w:noWrap/>
          </w:tcPr>
          <w:p w14:paraId="782530F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199" w:type="dxa"/>
            <w:tcBorders>
              <w:top w:val="single" w:sz="4" w:space="0" w:color="auto"/>
            </w:tcBorders>
            <w:noWrap/>
          </w:tcPr>
          <w:p w14:paraId="45D3DC4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16.4%</w:t>
            </w:r>
          </w:p>
        </w:tc>
        <w:tc>
          <w:tcPr>
            <w:tcW w:w="1282" w:type="dxa"/>
            <w:tcBorders>
              <w:top w:val="single" w:sz="4" w:space="0" w:color="auto"/>
            </w:tcBorders>
            <w:shd w:val="clear" w:color="auto" w:fill="DDD9C3" w:themeFill="background2" w:themeFillShade="E6"/>
            <w:noWrap/>
          </w:tcPr>
          <w:p w14:paraId="6BB66F53" w14:textId="77777777" w:rsidR="002861C5" w:rsidRPr="00033F29"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0.02</w:t>
            </w:r>
          </w:p>
        </w:tc>
      </w:tr>
      <w:tr w:rsidR="002861C5" w:rsidRPr="00216DC8" w14:paraId="1624E26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hideMark/>
          </w:tcPr>
          <w:p w14:paraId="4ACF86E9" w14:textId="77777777" w:rsidR="002861C5" w:rsidRPr="00216DC8" w:rsidRDefault="002861C5" w:rsidP="0081769E">
            <w:pPr>
              <w:rPr>
                <w:rFonts w:cstheme="majorBidi"/>
                <w:sz w:val="18"/>
                <w:szCs w:val="18"/>
              </w:rPr>
            </w:pPr>
          </w:p>
        </w:tc>
        <w:tc>
          <w:tcPr>
            <w:tcW w:w="1663" w:type="dxa"/>
            <w:vAlign w:val="top"/>
          </w:tcPr>
          <w:p w14:paraId="16776AE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Fatigue</w:t>
            </w:r>
          </w:p>
        </w:tc>
        <w:tc>
          <w:tcPr>
            <w:tcW w:w="771" w:type="dxa"/>
            <w:noWrap/>
            <w:vAlign w:val="top"/>
          </w:tcPr>
          <w:p w14:paraId="7E4D7DC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w:t>
            </w:r>
          </w:p>
        </w:tc>
        <w:tc>
          <w:tcPr>
            <w:tcW w:w="1038" w:type="dxa"/>
            <w:gridSpan w:val="2"/>
            <w:noWrap/>
            <w:vAlign w:val="top"/>
          </w:tcPr>
          <w:p w14:paraId="7DDF3546"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4.0%</w:t>
            </w:r>
          </w:p>
        </w:tc>
        <w:tc>
          <w:tcPr>
            <w:tcW w:w="754" w:type="dxa"/>
            <w:noWrap/>
            <w:vAlign w:val="top"/>
          </w:tcPr>
          <w:p w14:paraId="770BB38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6</w:t>
            </w:r>
          </w:p>
        </w:tc>
        <w:tc>
          <w:tcPr>
            <w:tcW w:w="1123" w:type="dxa"/>
            <w:shd w:val="clear" w:color="auto" w:fill="auto"/>
            <w:noWrap/>
            <w:vAlign w:val="top"/>
          </w:tcPr>
          <w:p w14:paraId="16F3B1B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14.3%</w:t>
            </w:r>
          </w:p>
        </w:tc>
        <w:tc>
          <w:tcPr>
            <w:tcW w:w="754" w:type="dxa"/>
            <w:noWrap/>
            <w:vAlign w:val="top"/>
          </w:tcPr>
          <w:p w14:paraId="1DF67C3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w:t>
            </w:r>
          </w:p>
        </w:tc>
        <w:tc>
          <w:tcPr>
            <w:tcW w:w="1199" w:type="dxa"/>
            <w:noWrap/>
            <w:vAlign w:val="top"/>
          </w:tcPr>
          <w:p w14:paraId="1407708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10.4%</w:t>
            </w:r>
          </w:p>
        </w:tc>
        <w:tc>
          <w:tcPr>
            <w:tcW w:w="1282" w:type="dxa"/>
            <w:shd w:val="clear" w:color="auto" w:fill="auto"/>
            <w:noWrap/>
            <w:hideMark/>
          </w:tcPr>
          <w:p w14:paraId="7C74566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0.09</w:t>
            </w:r>
          </w:p>
        </w:tc>
      </w:tr>
      <w:tr w:rsidR="002861C5" w:rsidRPr="00216DC8" w14:paraId="180F385D"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hideMark/>
          </w:tcPr>
          <w:p w14:paraId="200E497C" w14:textId="77777777" w:rsidR="002861C5" w:rsidRPr="00216DC8" w:rsidRDefault="002861C5" w:rsidP="0081769E">
            <w:pPr>
              <w:rPr>
                <w:rFonts w:cstheme="majorBidi"/>
                <w:sz w:val="18"/>
                <w:szCs w:val="18"/>
              </w:rPr>
            </w:pPr>
          </w:p>
        </w:tc>
        <w:tc>
          <w:tcPr>
            <w:tcW w:w="1663" w:type="dxa"/>
            <w:hideMark/>
          </w:tcPr>
          <w:p w14:paraId="5F25D92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abdominal pain</w:t>
            </w:r>
          </w:p>
        </w:tc>
        <w:tc>
          <w:tcPr>
            <w:tcW w:w="771" w:type="dxa"/>
            <w:noWrap/>
            <w:hideMark/>
          </w:tcPr>
          <w:p w14:paraId="4A07EB4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5</w:t>
            </w:r>
          </w:p>
        </w:tc>
        <w:tc>
          <w:tcPr>
            <w:tcW w:w="1038" w:type="dxa"/>
            <w:gridSpan w:val="2"/>
            <w:shd w:val="clear" w:color="auto" w:fill="auto"/>
            <w:noWrap/>
            <w:hideMark/>
          </w:tcPr>
          <w:p w14:paraId="2CDAF624"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20.0%</w:t>
            </w:r>
          </w:p>
        </w:tc>
        <w:tc>
          <w:tcPr>
            <w:tcW w:w="754" w:type="dxa"/>
            <w:shd w:val="clear" w:color="auto" w:fill="auto"/>
            <w:noWrap/>
            <w:hideMark/>
          </w:tcPr>
          <w:p w14:paraId="67217EA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13</w:t>
            </w:r>
          </w:p>
        </w:tc>
        <w:tc>
          <w:tcPr>
            <w:tcW w:w="1123" w:type="dxa"/>
            <w:shd w:val="clear" w:color="auto" w:fill="auto"/>
            <w:noWrap/>
            <w:hideMark/>
          </w:tcPr>
          <w:p w14:paraId="0B04694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31.0%</w:t>
            </w:r>
          </w:p>
        </w:tc>
        <w:tc>
          <w:tcPr>
            <w:tcW w:w="754" w:type="dxa"/>
            <w:noWrap/>
            <w:hideMark/>
          </w:tcPr>
          <w:p w14:paraId="4348248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18</w:t>
            </w:r>
          </w:p>
        </w:tc>
        <w:tc>
          <w:tcPr>
            <w:tcW w:w="1199" w:type="dxa"/>
            <w:noWrap/>
            <w:hideMark/>
          </w:tcPr>
          <w:p w14:paraId="41AF5246"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26.9%</w:t>
            </w:r>
          </w:p>
        </w:tc>
        <w:tc>
          <w:tcPr>
            <w:tcW w:w="1282" w:type="dxa"/>
            <w:noWrap/>
            <w:hideMark/>
          </w:tcPr>
          <w:p w14:paraId="7DF4167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0.1</w:t>
            </w:r>
          </w:p>
        </w:tc>
      </w:tr>
      <w:tr w:rsidR="002861C5" w:rsidRPr="00216DC8" w14:paraId="3B374C97"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tcPr>
          <w:p w14:paraId="1AF20CF2" w14:textId="77777777" w:rsidR="002861C5" w:rsidRPr="00216DC8" w:rsidRDefault="002861C5" w:rsidP="0081769E">
            <w:pPr>
              <w:rPr>
                <w:rFonts w:cstheme="majorBidi"/>
                <w:sz w:val="18"/>
                <w:szCs w:val="18"/>
              </w:rPr>
            </w:pPr>
          </w:p>
        </w:tc>
        <w:tc>
          <w:tcPr>
            <w:tcW w:w="1663" w:type="dxa"/>
            <w:vAlign w:val="top"/>
          </w:tcPr>
          <w:p w14:paraId="52E76C7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Ascites</w:t>
            </w:r>
          </w:p>
        </w:tc>
        <w:tc>
          <w:tcPr>
            <w:tcW w:w="771" w:type="dxa"/>
            <w:noWrap/>
            <w:vAlign w:val="top"/>
          </w:tcPr>
          <w:p w14:paraId="1339E9A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w:t>
            </w:r>
          </w:p>
        </w:tc>
        <w:tc>
          <w:tcPr>
            <w:tcW w:w="1038" w:type="dxa"/>
            <w:gridSpan w:val="2"/>
            <w:noWrap/>
            <w:vAlign w:val="top"/>
          </w:tcPr>
          <w:p w14:paraId="2FC66BC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w:t>
            </w:r>
          </w:p>
        </w:tc>
        <w:tc>
          <w:tcPr>
            <w:tcW w:w="754" w:type="dxa"/>
            <w:noWrap/>
            <w:vAlign w:val="top"/>
          </w:tcPr>
          <w:p w14:paraId="6A20F07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7</w:t>
            </w:r>
          </w:p>
        </w:tc>
        <w:tc>
          <w:tcPr>
            <w:tcW w:w="1123" w:type="dxa"/>
            <w:noWrap/>
            <w:vAlign w:val="top"/>
          </w:tcPr>
          <w:p w14:paraId="0CB673F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16.7%</w:t>
            </w:r>
          </w:p>
        </w:tc>
        <w:tc>
          <w:tcPr>
            <w:tcW w:w="754" w:type="dxa"/>
            <w:noWrap/>
            <w:vAlign w:val="top"/>
          </w:tcPr>
          <w:p w14:paraId="4E8B263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11</w:t>
            </w:r>
          </w:p>
        </w:tc>
        <w:tc>
          <w:tcPr>
            <w:tcW w:w="1199" w:type="dxa"/>
            <w:noWrap/>
            <w:vAlign w:val="top"/>
          </w:tcPr>
          <w:p w14:paraId="4B46E0C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16.4%</w:t>
            </w:r>
          </w:p>
        </w:tc>
        <w:tc>
          <w:tcPr>
            <w:tcW w:w="1282" w:type="dxa"/>
            <w:noWrap/>
          </w:tcPr>
          <w:p w14:paraId="792929D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0.4</w:t>
            </w:r>
          </w:p>
        </w:tc>
      </w:tr>
      <w:tr w:rsidR="002861C5" w:rsidRPr="00216DC8" w14:paraId="3E404911" w14:textId="77777777" w:rsidTr="00033F29">
        <w:trPr>
          <w:trHeight w:val="298"/>
        </w:trPr>
        <w:tc>
          <w:tcPr>
            <w:cnfStyle w:val="001000000000" w:firstRow="0" w:lastRow="0" w:firstColumn="1" w:lastColumn="0" w:oddVBand="0" w:evenVBand="0" w:oddHBand="0" w:evenHBand="0" w:firstRowFirstColumn="0" w:firstRowLastColumn="0" w:lastRowFirstColumn="0" w:lastRowLastColumn="0"/>
            <w:tcW w:w="1514" w:type="dxa"/>
            <w:vMerge/>
          </w:tcPr>
          <w:p w14:paraId="5381FFEA" w14:textId="77777777" w:rsidR="002861C5" w:rsidRPr="00216DC8" w:rsidRDefault="002861C5" w:rsidP="0081769E">
            <w:pPr>
              <w:rPr>
                <w:rFonts w:cstheme="majorBidi"/>
                <w:sz w:val="18"/>
                <w:szCs w:val="18"/>
              </w:rPr>
            </w:pPr>
          </w:p>
        </w:tc>
        <w:tc>
          <w:tcPr>
            <w:tcW w:w="1663" w:type="dxa"/>
            <w:vAlign w:val="top"/>
          </w:tcPr>
          <w:p w14:paraId="3D43A3A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Hematemesis</w:t>
            </w:r>
          </w:p>
        </w:tc>
        <w:tc>
          <w:tcPr>
            <w:tcW w:w="771" w:type="dxa"/>
            <w:noWrap/>
            <w:vAlign w:val="top"/>
          </w:tcPr>
          <w:p w14:paraId="66EA09D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8</w:t>
            </w:r>
          </w:p>
        </w:tc>
        <w:tc>
          <w:tcPr>
            <w:tcW w:w="1038" w:type="dxa"/>
            <w:gridSpan w:val="2"/>
            <w:shd w:val="clear" w:color="auto" w:fill="DDD9C3" w:themeFill="background2" w:themeFillShade="E6"/>
            <w:noWrap/>
            <w:vAlign w:val="top"/>
          </w:tcPr>
          <w:p w14:paraId="3B897F7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32.0%</w:t>
            </w:r>
          </w:p>
        </w:tc>
        <w:tc>
          <w:tcPr>
            <w:tcW w:w="754" w:type="dxa"/>
            <w:noWrap/>
            <w:vAlign w:val="top"/>
          </w:tcPr>
          <w:p w14:paraId="24EAB3D8"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2</w:t>
            </w:r>
          </w:p>
        </w:tc>
        <w:tc>
          <w:tcPr>
            <w:tcW w:w="1123" w:type="dxa"/>
            <w:noWrap/>
            <w:vAlign w:val="top"/>
          </w:tcPr>
          <w:p w14:paraId="5B023C3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4.8%</w:t>
            </w:r>
          </w:p>
        </w:tc>
        <w:tc>
          <w:tcPr>
            <w:tcW w:w="754" w:type="dxa"/>
            <w:noWrap/>
            <w:vAlign w:val="top"/>
          </w:tcPr>
          <w:p w14:paraId="7FCDB0A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10</w:t>
            </w:r>
          </w:p>
        </w:tc>
        <w:tc>
          <w:tcPr>
            <w:tcW w:w="1199" w:type="dxa"/>
            <w:noWrap/>
            <w:vAlign w:val="top"/>
          </w:tcPr>
          <w:p w14:paraId="10FF9F6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14.9%</w:t>
            </w:r>
          </w:p>
        </w:tc>
        <w:tc>
          <w:tcPr>
            <w:tcW w:w="1282" w:type="dxa"/>
            <w:shd w:val="clear" w:color="auto" w:fill="DDD9C3" w:themeFill="background2" w:themeFillShade="E6"/>
            <w:noWrap/>
          </w:tcPr>
          <w:p w14:paraId="399257D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2C1E5B">
              <w:rPr>
                <w:rFonts w:cstheme="majorBidi"/>
                <w:sz w:val="18"/>
                <w:szCs w:val="18"/>
              </w:rPr>
              <w:t>0.001</w:t>
            </w:r>
          </w:p>
        </w:tc>
      </w:tr>
    </w:tbl>
    <w:p w14:paraId="108217A4" w14:textId="77777777" w:rsidR="009C1BCB" w:rsidRDefault="009C1BCB" w:rsidP="009C1BCB">
      <w:pPr>
        <w:jc w:val="both"/>
        <w:rPr>
          <w:rFonts w:asciiTheme="majorBidi" w:hAnsiTheme="majorBidi" w:cstheme="majorBidi"/>
          <w:b/>
          <w:i/>
          <w:sz w:val="18"/>
          <w:szCs w:val="18"/>
        </w:rPr>
      </w:pPr>
    </w:p>
    <w:p w14:paraId="6C6EFC51" w14:textId="62D53F60" w:rsidR="002861C5" w:rsidRPr="00033F29" w:rsidRDefault="009C1BCB" w:rsidP="009C1BCB">
      <w:pPr>
        <w:jc w:val="both"/>
        <w:rPr>
          <w:rFonts w:asciiTheme="majorBidi" w:hAnsiTheme="majorBidi" w:cstheme="majorBidi"/>
          <w:b/>
          <w:bCs/>
          <w:noProof/>
          <w:sz w:val="20"/>
          <w:szCs w:val="20"/>
        </w:rPr>
      </w:pPr>
      <w:r w:rsidRPr="009C1BCB">
        <w:rPr>
          <w:rFonts w:asciiTheme="majorBidi" w:hAnsiTheme="majorBidi" w:cstheme="majorBidi"/>
          <w:b/>
          <w:i/>
          <w:sz w:val="18"/>
          <w:szCs w:val="18"/>
        </w:rPr>
        <w:t>Variables were expressed as numbers and percentages and compared using the Chi-square X2 test.</w:t>
      </w:r>
      <w:r w:rsidR="002861C5" w:rsidRPr="00033F29">
        <w:rPr>
          <w:rFonts w:asciiTheme="majorBidi" w:hAnsiTheme="majorBidi" w:cstheme="majorBidi"/>
          <w:b/>
          <w:bCs/>
          <w:noProof/>
          <w:sz w:val="20"/>
          <w:szCs w:val="20"/>
        </w:rPr>
        <w:br w:type="page"/>
      </w:r>
    </w:p>
    <w:p w14:paraId="1C793123" w14:textId="3FA0F467" w:rsidR="009C2F43" w:rsidRDefault="009C2F43" w:rsidP="009C2F43">
      <w:pPr>
        <w:pStyle w:val="Caption"/>
        <w:keepNext/>
      </w:pPr>
      <w:r>
        <w:t xml:space="preserve">Table </w:t>
      </w:r>
      <w:fldSimple w:instr=" SEQ Table \* ARABIC ">
        <w:r w:rsidR="00C73507">
          <w:rPr>
            <w:noProof/>
          </w:rPr>
          <w:t>3</w:t>
        </w:r>
      </w:fldSimple>
      <w:r>
        <w:t>.</w:t>
      </w:r>
      <w:r w:rsidRPr="009C2F43">
        <w:rPr>
          <w:rFonts w:asciiTheme="majorBidi" w:hAnsiTheme="majorBidi" w:cstheme="majorBidi"/>
          <w:b w:val="0"/>
          <w:bCs w:val="0"/>
          <w:noProof/>
          <w:sz w:val="24"/>
          <w:szCs w:val="24"/>
        </w:rPr>
        <w:t xml:space="preserve"> </w:t>
      </w:r>
      <w:r w:rsidRPr="009C2F43">
        <w:t>The laboratory data of the studied groups.</w:t>
      </w:r>
    </w:p>
    <w:tbl>
      <w:tblPr>
        <w:tblStyle w:val="TableGrid1"/>
        <w:tblW w:w="999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laboratory data of the studied groups."/>
        <w:tblDescription w:val="Continuous variables are described as mean± SD for normally disturbed variables and compared using the Independent T-test and median (range) for nonnormally disturbed variables and compared using the Mann-Whitney test."/>
      </w:tblPr>
      <w:tblGrid>
        <w:gridCol w:w="2664"/>
        <w:gridCol w:w="2009"/>
        <w:gridCol w:w="1896"/>
        <w:gridCol w:w="2048"/>
        <w:gridCol w:w="1373"/>
      </w:tblGrid>
      <w:tr w:rsidR="002861C5" w:rsidRPr="00216DC8" w14:paraId="7A6D33B2" w14:textId="77777777" w:rsidTr="009C2F43">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664" w:type="dxa"/>
            <w:vMerge w:val="restart"/>
            <w:tcBorders>
              <w:top w:val="single" w:sz="4" w:space="0" w:color="auto"/>
            </w:tcBorders>
            <w:hideMark/>
          </w:tcPr>
          <w:p w14:paraId="43C87AC2" w14:textId="77777777" w:rsidR="002861C5" w:rsidRPr="00216DC8" w:rsidRDefault="002861C5" w:rsidP="0081769E">
            <w:pPr>
              <w:rPr>
                <w:rFonts w:cstheme="majorBidi"/>
                <w:sz w:val="18"/>
                <w:szCs w:val="18"/>
              </w:rPr>
            </w:pPr>
          </w:p>
        </w:tc>
        <w:tc>
          <w:tcPr>
            <w:tcW w:w="3905" w:type="dxa"/>
            <w:gridSpan w:val="2"/>
            <w:tcBorders>
              <w:top w:val="single" w:sz="4" w:space="0" w:color="auto"/>
            </w:tcBorders>
            <w:hideMark/>
          </w:tcPr>
          <w:p w14:paraId="7D1A3B9D"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Group</w:t>
            </w:r>
          </w:p>
        </w:tc>
        <w:tc>
          <w:tcPr>
            <w:tcW w:w="2048" w:type="dxa"/>
            <w:vMerge w:val="restart"/>
            <w:tcBorders>
              <w:top w:val="single" w:sz="4" w:space="0" w:color="auto"/>
            </w:tcBorders>
            <w:hideMark/>
          </w:tcPr>
          <w:p w14:paraId="726DFFC0"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Total</w:t>
            </w:r>
            <w:r w:rsidRPr="002C1E5B">
              <w:rPr>
                <w:rFonts w:cstheme="majorBidi"/>
                <w:sz w:val="20"/>
                <w:szCs w:val="20"/>
              </w:rPr>
              <w:br/>
              <w:t>N=67</w:t>
            </w:r>
          </w:p>
        </w:tc>
        <w:tc>
          <w:tcPr>
            <w:tcW w:w="1373" w:type="dxa"/>
            <w:vMerge w:val="restart"/>
            <w:tcBorders>
              <w:top w:val="single" w:sz="4" w:space="0" w:color="auto"/>
            </w:tcBorders>
            <w:noWrap/>
            <w:hideMark/>
          </w:tcPr>
          <w:p w14:paraId="00F96390" w14:textId="77777777" w:rsidR="002861C5" w:rsidRPr="002C1E5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P</w:t>
            </w:r>
          </w:p>
        </w:tc>
      </w:tr>
      <w:tr w:rsidR="002861C5" w:rsidRPr="00216DC8" w14:paraId="4F36C1F0" w14:textId="77777777" w:rsidTr="009C2F43">
        <w:trPr>
          <w:trHeight w:val="654"/>
        </w:trPr>
        <w:tc>
          <w:tcPr>
            <w:cnfStyle w:val="001000000000" w:firstRow="0" w:lastRow="0" w:firstColumn="1" w:lastColumn="0" w:oddVBand="0" w:evenVBand="0" w:oddHBand="0" w:evenHBand="0" w:firstRowFirstColumn="0" w:firstRowLastColumn="0" w:lastRowFirstColumn="0" w:lastRowLastColumn="0"/>
            <w:tcW w:w="2664" w:type="dxa"/>
            <w:vMerge/>
            <w:tcBorders>
              <w:bottom w:val="single" w:sz="4" w:space="0" w:color="auto"/>
            </w:tcBorders>
            <w:hideMark/>
          </w:tcPr>
          <w:p w14:paraId="4A653032" w14:textId="77777777" w:rsidR="002861C5" w:rsidRPr="00216DC8" w:rsidRDefault="002861C5" w:rsidP="0081769E">
            <w:pPr>
              <w:rPr>
                <w:rFonts w:cstheme="majorBidi"/>
                <w:sz w:val="18"/>
                <w:szCs w:val="18"/>
              </w:rPr>
            </w:pPr>
          </w:p>
        </w:tc>
        <w:tc>
          <w:tcPr>
            <w:tcW w:w="2009" w:type="dxa"/>
            <w:tcBorders>
              <w:bottom w:val="single" w:sz="4" w:space="0" w:color="auto"/>
            </w:tcBorders>
            <w:hideMark/>
          </w:tcPr>
          <w:p w14:paraId="26F6CF33" w14:textId="2ABA83AE"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HCC without DAAs</w:t>
            </w:r>
            <w:r w:rsidR="0072639A" w:rsidRPr="002C1E5B">
              <w:rPr>
                <w:rFonts w:cstheme="majorBidi"/>
                <w:sz w:val="20"/>
                <w:szCs w:val="20"/>
              </w:rPr>
              <w:t xml:space="preserve"> </w:t>
            </w:r>
            <w:r w:rsidRPr="002C1E5B">
              <w:rPr>
                <w:rFonts w:cstheme="majorBidi"/>
                <w:sz w:val="20"/>
                <w:szCs w:val="20"/>
              </w:rPr>
              <w:t>N=25</w:t>
            </w:r>
          </w:p>
        </w:tc>
        <w:tc>
          <w:tcPr>
            <w:tcW w:w="1896" w:type="dxa"/>
            <w:tcBorders>
              <w:bottom w:val="single" w:sz="4" w:space="0" w:color="auto"/>
            </w:tcBorders>
            <w:hideMark/>
          </w:tcPr>
          <w:p w14:paraId="6577939E" w14:textId="38E816A8"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HCC after DAA</w:t>
            </w:r>
            <w:r w:rsidR="0072639A" w:rsidRPr="002C1E5B">
              <w:rPr>
                <w:rFonts w:cstheme="majorBidi"/>
                <w:sz w:val="20"/>
                <w:szCs w:val="20"/>
              </w:rPr>
              <w:t xml:space="preserve"> </w:t>
            </w:r>
            <w:r w:rsidRPr="002C1E5B">
              <w:rPr>
                <w:rFonts w:cstheme="majorBidi"/>
                <w:sz w:val="20"/>
                <w:szCs w:val="20"/>
              </w:rPr>
              <w:t>N=42</w:t>
            </w:r>
          </w:p>
        </w:tc>
        <w:tc>
          <w:tcPr>
            <w:tcW w:w="2048" w:type="dxa"/>
            <w:vMerge/>
            <w:tcBorders>
              <w:bottom w:val="single" w:sz="4" w:space="0" w:color="auto"/>
            </w:tcBorders>
            <w:hideMark/>
          </w:tcPr>
          <w:p w14:paraId="3767082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p>
        </w:tc>
        <w:tc>
          <w:tcPr>
            <w:tcW w:w="1373" w:type="dxa"/>
            <w:vMerge/>
            <w:tcBorders>
              <w:bottom w:val="single" w:sz="4" w:space="0" w:color="auto"/>
            </w:tcBorders>
            <w:hideMark/>
          </w:tcPr>
          <w:p w14:paraId="06B0FF1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p>
        </w:tc>
      </w:tr>
      <w:tr w:rsidR="002861C5" w:rsidRPr="00216DC8" w14:paraId="00FEBA4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Borders>
              <w:top w:val="single" w:sz="4" w:space="0" w:color="auto"/>
            </w:tcBorders>
            <w:hideMark/>
          </w:tcPr>
          <w:p w14:paraId="02BAF0F4" w14:textId="77777777" w:rsidR="002861C5" w:rsidRPr="002C1E5B" w:rsidRDefault="002861C5" w:rsidP="0081769E">
            <w:pPr>
              <w:rPr>
                <w:rFonts w:cstheme="majorBidi"/>
                <w:sz w:val="20"/>
                <w:szCs w:val="20"/>
              </w:rPr>
            </w:pPr>
            <w:r w:rsidRPr="002C1E5B">
              <w:rPr>
                <w:rFonts w:cstheme="majorBidi"/>
                <w:sz w:val="20"/>
                <w:szCs w:val="20"/>
              </w:rPr>
              <w:t>AFP</w:t>
            </w:r>
          </w:p>
        </w:tc>
        <w:tc>
          <w:tcPr>
            <w:tcW w:w="2009" w:type="dxa"/>
            <w:tcBorders>
              <w:top w:val="single" w:sz="4" w:space="0" w:color="auto"/>
            </w:tcBorders>
            <w:noWrap/>
            <w:hideMark/>
          </w:tcPr>
          <w:p w14:paraId="58BA6F2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110.0 (12.0-3024.0)</w:t>
            </w:r>
          </w:p>
        </w:tc>
        <w:tc>
          <w:tcPr>
            <w:tcW w:w="1896" w:type="dxa"/>
            <w:tcBorders>
              <w:top w:val="single" w:sz="4" w:space="0" w:color="auto"/>
            </w:tcBorders>
            <w:noWrap/>
            <w:hideMark/>
          </w:tcPr>
          <w:p w14:paraId="0347BD1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59.0 (4.0-3824.0)</w:t>
            </w:r>
          </w:p>
        </w:tc>
        <w:tc>
          <w:tcPr>
            <w:tcW w:w="2048" w:type="dxa"/>
            <w:tcBorders>
              <w:top w:val="single" w:sz="4" w:space="0" w:color="auto"/>
            </w:tcBorders>
            <w:noWrap/>
            <w:hideMark/>
          </w:tcPr>
          <w:p w14:paraId="722EA8A5"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85.0 (4.0-3824.0)</w:t>
            </w:r>
          </w:p>
        </w:tc>
        <w:tc>
          <w:tcPr>
            <w:tcW w:w="1373" w:type="dxa"/>
            <w:tcBorders>
              <w:top w:val="single" w:sz="4" w:space="0" w:color="auto"/>
            </w:tcBorders>
            <w:noWrap/>
            <w:hideMark/>
          </w:tcPr>
          <w:p w14:paraId="0308BB1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0.361</w:t>
            </w:r>
          </w:p>
        </w:tc>
      </w:tr>
      <w:tr w:rsidR="002861C5" w:rsidRPr="00216DC8" w14:paraId="687350B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473CE380" w14:textId="77777777" w:rsidR="002861C5" w:rsidRPr="002C1E5B" w:rsidRDefault="002861C5" w:rsidP="0081769E">
            <w:pPr>
              <w:rPr>
                <w:rFonts w:cstheme="majorBidi"/>
                <w:sz w:val="20"/>
                <w:szCs w:val="20"/>
              </w:rPr>
            </w:pPr>
            <w:r w:rsidRPr="002C1E5B">
              <w:rPr>
                <w:rFonts w:cstheme="majorBidi"/>
                <w:sz w:val="20"/>
                <w:szCs w:val="20"/>
              </w:rPr>
              <w:t>PLT</w:t>
            </w:r>
          </w:p>
        </w:tc>
        <w:tc>
          <w:tcPr>
            <w:tcW w:w="2009" w:type="dxa"/>
            <w:noWrap/>
            <w:hideMark/>
          </w:tcPr>
          <w:p w14:paraId="05F08EB3"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128 (74-298)</w:t>
            </w:r>
          </w:p>
        </w:tc>
        <w:tc>
          <w:tcPr>
            <w:tcW w:w="1896" w:type="dxa"/>
            <w:noWrap/>
            <w:hideMark/>
          </w:tcPr>
          <w:p w14:paraId="789F0A4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106 (45-356)</w:t>
            </w:r>
          </w:p>
        </w:tc>
        <w:tc>
          <w:tcPr>
            <w:tcW w:w="2048" w:type="dxa"/>
            <w:noWrap/>
            <w:hideMark/>
          </w:tcPr>
          <w:p w14:paraId="085AD1F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114 (45-356)</w:t>
            </w:r>
          </w:p>
        </w:tc>
        <w:tc>
          <w:tcPr>
            <w:tcW w:w="1373" w:type="dxa"/>
            <w:noWrap/>
            <w:hideMark/>
          </w:tcPr>
          <w:p w14:paraId="1F35A7C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0.321</w:t>
            </w:r>
          </w:p>
        </w:tc>
      </w:tr>
      <w:tr w:rsidR="002861C5" w:rsidRPr="00216DC8" w14:paraId="21736D11"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2AEC763E" w14:textId="77777777" w:rsidR="002861C5" w:rsidRPr="002C1E5B" w:rsidRDefault="002861C5" w:rsidP="0081769E">
            <w:pPr>
              <w:rPr>
                <w:rFonts w:cstheme="majorBidi"/>
                <w:sz w:val="20"/>
                <w:szCs w:val="20"/>
              </w:rPr>
            </w:pPr>
            <w:r w:rsidRPr="002C1E5B">
              <w:rPr>
                <w:rFonts w:cstheme="majorBidi"/>
                <w:sz w:val="20"/>
                <w:szCs w:val="20"/>
              </w:rPr>
              <w:t>Hb</w:t>
            </w:r>
          </w:p>
        </w:tc>
        <w:tc>
          <w:tcPr>
            <w:tcW w:w="2009" w:type="dxa"/>
            <w:noWrap/>
            <w:hideMark/>
          </w:tcPr>
          <w:p w14:paraId="4C80E25E"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9.9±1.3</w:t>
            </w:r>
          </w:p>
        </w:tc>
        <w:tc>
          <w:tcPr>
            <w:tcW w:w="1896" w:type="dxa"/>
            <w:noWrap/>
            <w:hideMark/>
          </w:tcPr>
          <w:p w14:paraId="077912AF"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10.6±1.3</w:t>
            </w:r>
          </w:p>
        </w:tc>
        <w:tc>
          <w:tcPr>
            <w:tcW w:w="2048" w:type="dxa"/>
            <w:noWrap/>
            <w:hideMark/>
          </w:tcPr>
          <w:p w14:paraId="4ACE7194"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10.3±1.3</w:t>
            </w:r>
          </w:p>
        </w:tc>
        <w:tc>
          <w:tcPr>
            <w:tcW w:w="1373" w:type="dxa"/>
            <w:shd w:val="clear" w:color="auto" w:fill="EEECE1" w:themeFill="background2"/>
            <w:noWrap/>
            <w:hideMark/>
          </w:tcPr>
          <w:p w14:paraId="6CE828D5"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0.048</w:t>
            </w:r>
          </w:p>
        </w:tc>
      </w:tr>
      <w:tr w:rsidR="002861C5" w:rsidRPr="00216DC8" w14:paraId="3415E093"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642BD80D" w14:textId="77777777" w:rsidR="002861C5" w:rsidRPr="002C1E5B" w:rsidRDefault="002861C5" w:rsidP="0081769E">
            <w:pPr>
              <w:rPr>
                <w:rFonts w:cstheme="majorBidi"/>
                <w:sz w:val="20"/>
                <w:szCs w:val="20"/>
              </w:rPr>
            </w:pPr>
            <w:r w:rsidRPr="002C1E5B">
              <w:rPr>
                <w:rFonts w:cstheme="majorBidi"/>
                <w:sz w:val="20"/>
                <w:szCs w:val="20"/>
              </w:rPr>
              <w:t>AST</w:t>
            </w:r>
          </w:p>
        </w:tc>
        <w:tc>
          <w:tcPr>
            <w:tcW w:w="2009" w:type="dxa"/>
            <w:noWrap/>
            <w:hideMark/>
          </w:tcPr>
          <w:p w14:paraId="010C5161"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80 (18-80)</w:t>
            </w:r>
          </w:p>
        </w:tc>
        <w:tc>
          <w:tcPr>
            <w:tcW w:w="1896" w:type="dxa"/>
            <w:noWrap/>
            <w:hideMark/>
          </w:tcPr>
          <w:p w14:paraId="509AA3D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55 (16-55)</w:t>
            </w:r>
          </w:p>
        </w:tc>
        <w:tc>
          <w:tcPr>
            <w:tcW w:w="2048" w:type="dxa"/>
            <w:noWrap/>
            <w:hideMark/>
          </w:tcPr>
          <w:p w14:paraId="578D6D3D"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61 (16-80)</w:t>
            </w:r>
          </w:p>
        </w:tc>
        <w:tc>
          <w:tcPr>
            <w:tcW w:w="1373" w:type="dxa"/>
            <w:shd w:val="clear" w:color="auto" w:fill="EEECE1" w:themeFill="background2"/>
            <w:noWrap/>
            <w:hideMark/>
          </w:tcPr>
          <w:p w14:paraId="67A4B08C"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&lt;0.001</w:t>
            </w:r>
          </w:p>
        </w:tc>
      </w:tr>
      <w:tr w:rsidR="002861C5" w:rsidRPr="00216DC8" w14:paraId="20EAE730"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46552897" w14:textId="77777777" w:rsidR="002861C5" w:rsidRPr="002C1E5B" w:rsidRDefault="002861C5" w:rsidP="0081769E">
            <w:pPr>
              <w:rPr>
                <w:rFonts w:cstheme="majorBidi"/>
                <w:sz w:val="20"/>
                <w:szCs w:val="20"/>
              </w:rPr>
            </w:pPr>
            <w:r w:rsidRPr="002C1E5B">
              <w:rPr>
                <w:rFonts w:cstheme="majorBidi"/>
                <w:sz w:val="20"/>
                <w:szCs w:val="20"/>
              </w:rPr>
              <w:t>ALT</w:t>
            </w:r>
          </w:p>
        </w:tc>
        <w:tc>
          <w:tcPr>
            <w:tcW w:w="2009" w:type="dxa"/>
            <w:noWrap/>
            <w:hideMark/>
          </w:tcPr>
          <w:p w14:paraId="4C0303BE"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65 (14-228)</w:t>
            </w:r>
          </w:p>
        </w:tc>
        <w:tc>
          <w:tcPr>
            <w:tcW w:w="1896" w:type="dxa"/>
            <w:noWrap/>
            <w:hideMark/>
          </w:tcPr>
          <w:p w14:paraId="2AB37687"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47 (15-228)</w:t>
            </w:r>
          </w:p>
        </w:tc>
        <w:tc>
          <w:tcPr>
            <w:tcW w:w="2048" w:type="dxa"/>
            <w:noWrap/>
            <w:hideMark/>
          </w:tcPr>
          <w:p w14:paraId="41D6DF1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49 (14-228)</w:t>
            </w:r>
          </w:p>
        </w:tc>
        <w:tc>
          <w:tcPr>
            <w:tcW w:w="1373" w:type="dxa"/>
            <w:noWrap/>
            <w:hideMark/>
          </w:tcPr>
          <w:p w14:paraId="6B39BBE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0.238</w:t>
            </w:r>
          </w:p>
        </w:tc>
      </w:tr>
      <w:tr w:rsidR="002861C5" w:rsidRPr="00216DC8" w14:paraId="2A537CD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6EB3D48E" w14:textId="77777777" w:rsidR="002861C5" w:rsidRPr="002C1E5B" w:rsidRDefault="002861C5" w:rsidP="0081769E">
            <w:pPr>
              <w:rPr>
                <w:rFonts w:cstheme="majorBidi"/>
                <w:sz w:val="20"/>
                <w:szCs w:val="20"/>
              </w:rPr>
            </w:pPr>
            <w:r w:rsidRPr="002C1E5B">
              <w:rPr>
                <w:rFonts w:cstheme="majorBidi"/>
                <w:sz w:val="20"/>
                <w:szCs w:val="20"/>
              </w:rPr>
              <w:t>Bilirubin</w:t>
            </w:r>
          </w:p>
        </w:tc>
        <w:tc>
          <w:tcPr>
            <w:tcW w:w="2009" w:type="dxa"/>
            <w:noWrap/>
            <w:hideMark/>
          </w:tcPr>
          <w:p w14:paraId="03EE4DA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1.87 (0.60-19.00)</w:t>
            </w:r>
          </w:p>
        </w:tc>
        <w:tc>
          <w:tcPr>
            <w:tcW w:w="1896" w:type="dxa"/>
            <w:noWrap/>
            <w:hideMark/>
          </w:tcPr>
          <w:p w14:paraId="682632D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1.30 (0.50-19.00)</w:t>
            </w:r>
          </w:p>
        </w:tc>
        <w:tc>
          <w:tcPr>
            <w:tcW w:w="2048" w:type="dxa"/>
            <w:noWrap/>
            <w:hideMark/>
          </w:tcPr>
          <w:p w14:paraId="1C7887BF"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1.45 (0.50-19.00)</w:t>
            </w:r>
          </w:p>
        </w:tc>
        <w:tc>
          <w:tcPr>
            <w:tcW w:w="1373" w:type="dxa"/>
            <w:shd w:val="clear" w:color="auto" w:fill="EEECE1" w:themeFill="background2"/>
            <w:noWrap/>
            <w:hideMark/>
          </w:tcPr>
          <w:p w14:paraId="56FC5B9D"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0.003</w:t>
            </w:r>
          </w:p>
        </w:tc>
      </w:tr>
      <w:tr w:rsidR="002861C5" w:rsidRPr="00216DC8" w14:paraId="6544CFD7"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Pr>
          <w:p w14:paraId="5FE8FFAC" w14:textId="77777777" w:rsidR="002861C5" w:rsidRPr="002C1E5B" w:rsidRDefault="002861C5" w:rsidP="0081769E">
            <w:pPr>
              <w:rPr>
                <w:sz w:val="20"/>
                <w:szCs w:val="20"/>
              </w:rPr>
            </w:pPr>
            <w:r w:rsidRPr="002C1E5B">
              <w:rPr>
                <w:sz w:val="20"/>
                <w:szCs w:val="20"/>
              </w:rPr>
              <w:t>ALB</w:t>
            </w:r>
          </w:p>
        </w:tc>
        <w:tc>
          <w:tcPr>
            <w:tcW w:w="2009" w:type="dxa"/>
            <w:noWrap/>
          </w:tcPr>
          <w:p w14:paraId="08A552D6"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2.73±0.56</w:t>
            </w:r>
          </w:p>
        </w:tc>
        <w:tc>
          <w:tcPr>
            <w:tcW w:w="1896" w:type="dxa"/>
            <w:noWrap/>
          </w:tcPr>
          <w:p w14:paraId="49679E0E"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3.36±0.61</w:t>
            </w:r>
          </w:p>
        </w:tc>
        <w:tc>
          <w:tcPr>
            <w:tcW w:w="2048" w:type="dxa"/>
            <w:noWrap/>
          </w:tcPr>
          <w:p w14:paraId="27274F69"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3.12±0.66</w:t>
            </w:r>
          </w:p>
        </w:tc>
        <w:tc>
          <w:tcPr>
            <w:tcW w:w="1373" w:type="dxa"/>
            <w:shd w:val="clear" w:color="auto" w:fill="EEECE1" w:themeFill="background2"/>
            <w:noWrap/>
          </w:tcPr>
          <w:p w14:paraId="2A1E3E32" w14:textId="77777777" w:rsidR="002861C5" w:rsidRPr="009C2F43"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9C2F43">
              <w:rPr>
                <w:rFonts w:cstheme="majorBidi"/>
                <w:sz w:val="20"/>
                <w:szCs w:val="20"/>
              </w:rPr>
              <w:t>&lt;0.001</w:t>
            </w:r>
          </w:p>
        </w:tc>
      </w:tr>
      <w:tr w:rsidR="002861C5" w:rsidRPr="00216DC8" w14:paraId="36671331"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hideMark/>
          </w:tcPr>
          <w:p w14:paraId="1BE6567B" w14:textId="77777777" w:rsidR="002861C5" w:rsidRPr="002C1E5B" w:rsidRDefault="002861C5" w:rsidP="0081769E">
            <w:pPr>
              <w:rPr>
                <w:rFonts w:cstheme="majorBidi"/>
                <w:sz w:val="20"/>
                <w:szCs w:val="20"/>
              </w:rPr>
            </w:pPr>
            <w:r w:rsidRPr="002C1E5B">
              <w:rPr>
                <w:rFonts w:cstheme="majorBidi"/>
                <w:sz w:val="20"/>
                <w:szCs w:val="20"/>
              </w:rPr>
              <w:t>INR</w:t>
            </w:r>
          </w:p>
        </w:tc>
        <w:tc>
          <w:tcPr>
            <w:tcW w:w="2009" w:type="dxa"/>
            <w:noWrap/>
            <w:hideMark/>
          </w:tcPr>
          <w:p w14:paraId="6E906B52"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(0.9-2.2)</w:t>
            </w:r>
          </w:p>
        </w:tc>
        <w:tc>
          <w:tcPr>
            <w:tcW w:w="1896" w:type="dxa"/>
            <w:noWrap/>
            <w:hideMark/>
          </w:tcPr>
          <w:p w14:paraId="3572234C"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(0.9-1.9)</w:t>
            </w:r>
          </w:p>
        </w:tc>
        <w:tc>
          <w:tcPr>
            <w:tcW w:w="2048" w:type="dxa"/>
            <w:noWrap/>
            <w:hideMark/>
          </w:tcPr>
          <w:p w14:paraId="76C0F3D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1.3 (0.9-2.2)</w:t>
            </w:r>
          </w:p>
        </w:tc>
        <w:tc>
          <w:tcPr>
            <w:tcW w:w="1373" w:type="dxa"/>
            <w:noWrap/>
            <w:hideMark/>
          </w:tcPr>
          <w:p w14:paraId="6357B27B"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0.763</w:t>
            </w:r>
          </w:p>
        </w:tc>
      </w:tr>
      <w:tr w:rsidR="002861C5" w:rsidRPr="00216DC8" w14:paraId="07E2DAAE" w14:textId="77777777" w:rsidTr="009C2F43">
        <w:trPr>
          <w:trHeight w:val="319"/>
        </w:trPr>
        <w:tc>
          <w:tcPr>
            <w:cnfStyle w:val="001000000000" w:firstRow="0" w:lastRow="0" w:firstColumn="1" w:lastColumn="0" w:oddVBand="0" w:evenVBand="0" w:oddHBand="0" w:evenHBand="0" w:firstRowFirstColumn="0" w:firstRowLastColumn="0" w:lastRowFirstColumn="0" w:lastRowLastColumn="0"/>
            <w:tcW w:w="2664" w:type="dxa"/>
            <w:tcBorders>
              <w:bottom w:val="single" w:sz="4" w:space="0" w:color="auto"/>
            </w:tcBorders>
            <w:hideMark/>
          </w:tcPr>
          <w:p w14:paraId="2B5817F8" w14:textId="77777777" w:rsidR="002861C5" w:rsidRPr="002C1E5B" w:rsidRDefault="002861C5" w:rsidP="0081769E">
            <w:pPr>
              <w:rPr>
                <w:rFonts w:cstheme="majorBidi"/>
                <w:sz w:val="20"/>
                <w:szCs w:val="20"/>
              </w:rPr>
            </w:pPr>
            <w:r w:rsidRPr="002C1E5B">
              <w:rPr>
                <w:rFonts w:cstheme="majorBidi"/>
                <w:sz w:val="20"/>
                <w:szCs w:val="20"/>
              </w:rPr>
              <w:t>Creatinine</w:t>
            </w:r>
          </w:p>
        </w:tc>
        <w:tc>
          <w:tcPr>
            <w:tcW w:w="2009" w:type="dxa"/>
            <w:tcBorders>
              <w:bottom w:val="single" w:sz="4" w:space="0" w:color="auto"/>
            </w:tcBorders>
            <w:noWrap/>
            <w:hideMark/>
          </w:tcPr>
          <w:p w14:paraId="6D9C3E69"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1.00 (0.39-2.10)</w:t>
            </w:r>
          </w:p>
        </w:tc>
        <w:tc>
          <w:tcPr>
            <w:tcW w:w="1896" w:type="dxa"/>
            <w:tcBorders>
              <w:bottom w:val="single" w:sz="4" w:space="0" w:color="auto"/>
            </w:tcBorders>
            <w:noWrap/>
            <w:hideMark/>
          </w:tcPr>
          <w:p w14:paraId="1E1340A0"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 (0.60-11.60)</w:t>
            </w:r>
          </w:p>
        </w:tc>
        <w:tc>
          <w:tcPr>
            <w:tcW w:w="2048" w:type="dxa"/>
            <w:tcBorders>
              <w:bottom w:val="single" w:sz="4" w:space="0" w:color="auto"/>
            </w:tcBorders>
            <w:noWrap/>
            <w:hideMark/>
          </w:tcPr>
          <w:p w14:paraId="63A304FA" w14:textId="77777777" w:rsidR="002861C5" w:rsidRPr="002C1E5B"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1.10 (0.39-11.60)</w:t>
            </w:r>
          </w:p>
        </w:tc>
        <w:tc>
          <w:tcPr>
            <w:tcW w:w="1373" w:type="dxa"/>
            <w:tcBorders>
              <w:bottom w:val="single" w:sz="4" w:space="0" w:color="auto"/>
            </w:tcBorders>
            <w:noWrap/>
            <w:hideMark/>
          </w:tcPr>
          <w:p w14:paraId="0002D646" w14:textId="77777777" w:rsidR="002861C5" w:rsidRPr="002C1E5B" w:rsidRDefault="002861C5" w:rsidP="009C1BCB">
            <w:pPr>
              <w:keepNext/>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C1E5B">
              <w:rPr>
                <w:rFonts w:cstheme="majorBidi"/>
                <w:sz w:val="20"/>
                <w:szCs w:val="20"/>
              </w:rPr>
              <w:t>0.162</w:t>
            </w:r>
          </w:p>
        </w:tc>
      </w:tr>
    </w:tbl>
    <w:p w14:paraId="67A2C17F" w14:textId="77777777" w:rsidR="009C1BCB" w:rsidRPr="009C1BCB" w:rsidRDefault="009C1BCB" w:rsidP="009C1BCB">
      <w:pPr>
        <w:rPr>
          <w:b/>
          <w:bCs/>
          <w:sz w:val="18"/>
          <w:szCs w:val="18"/>
        </w:rPr>
      </w:pPr>
      <w:r w:rsidRPr="009C1BCB">
        <w:rPr>
          <w:b/>
          <w:bCs/>
          <w:sz w:val="18"/>
          <w:szCs w:val="18"/>
        </w:rPr>
        <w:t>Continuous variables are described as mean± SD for normally disturbed variables and compared using the Independent T-test and median (range) for nonnormally disturbed variables and compared using the Mann-Whitney test.</w:t>
      </w:r>
    </w:p>
    <w:p w14:paraId="1F566596" w14:textId="72364B07" w:rsidR="001E0B5E" w:rsidRDefault="001E0B5E" w:rsidP="001E0B5E">
      <w:pPr>
        <w:pStyle w:val="Caption"/>
        <w:keepNext/>
      </w:pPr>
      <w:r>
        <w:t xml:space="preserve">Table </w:t>
      </w:r>
      <w:fldSimple w:instr=" SEQ Table \* ARABIC ">
        <w:r w:rsidR="00C73507">
          <w:rPr>
            <w:noProof/>
          </w:rPr>
          <w:t>4</w:t>
        </w:r>
      </w:fldSimple>
      <w:r>
        <w:t>.</w:t>
      </w:r>
      <w:r w:rsidRPr="001E0B5E">
        <w:rPr>
          <w:rFonts w:asciiTheme="majorBidi" w:hAnsiTheme="majorBidi" w:cstheme="majorBidi"/>
          <w:b w:val="0"/>
          <w:bCs w:val="0"/>
          <w:noProof/>
          <w:sz w:val="24"/>
          <w:szCs w:val="24"/>
        </w:rPr>
        <w:t xml:space="preserve"> </w:t>
      </w:r>
      <w:r w:rsidRPr="001E0B5E">
        <w:t>the pattern of the HCC and the interventions applied to the studied groups.</w:t>
      </w:r>
    </w:p>
    <w:tbl>
      <w:tblPr>
        <w:tblStyle w:val="TableGrid1"/>
        <w:tblpPr w:leftFromText="180" w:rightFromText="180" w:vertAnchor="text" w:tblpXSpec="center" w:tblpY="1"/>
        <w:tblOverlap w:val="never"/>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the pattern of the HCC and the interventions applied to the studied groups."/>
        <w:tblDescription w:val="Variables were expressed as numbers and percentages and compared using the Chi-square X2 test."/>
      </w:tblPr>
      <w:tblGrid>
        <w:gridCol w:w="1809"/>
        <w:gridCol w:w="1754"/>
        <w:gridCol w:w="997"/>
        <w:gridCol w:w="1038"/>
        <w:gridCol w:w="810"/>
        <w:gridCol w:w="1170"/>
        <w:gridCol w:w="900"/>
        <w:gridCol w:w="1260"/>
        <w:gridCol w:w="1242"/>
      </w:tblGrid>
      <w:tr w:rsidR="00036582" w:rsidRPr="00216DC8" w14:paraId="50207978" w14:textId="77777777" w:rsidTr="001E0B5E">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563" w:type="dxa"/>
            <w:gridSpan w:val="2"/>
            <w:tcBorders>
              <w:top w:val="single" w:sz="4" w:space="0" w:color="auto"/>
              <w:bottom w:val="single" w:sz="4" w:space="0" w:color="auto"/>
            </w:tcBorders>
            <w:hideMark/>
          </w:tcPr>
          <w:p w14:paraId="22DB7B40" w14:textId="77777777" w:rsidR="002861C5" w:rsidRPr="00216DC8" w:rsidRDefault="002861C5" w:rsidP="0081769E">
            <w:pPr>
              <w:rPr>
                <w:rFonts w:cstheme="majorBidi"/>
                <w:sz w:val="18"/>
                <w:szCs w:val="18"/>
              </w:rPr>
            </w:pPr>
          </w:p>
        </w:tc>
        <w:tc>
          <w:tcPr>
            <w:tcW w:w="2035" w:type="dxa"/>
            <w:gridSpan w:val="2"/>
            <w:tcBorders>
              <w:top w:val="single" w:sz="4" w:space="0" w:color="auto"/>
              <w:bottom w:val="single" w:sz="4" w:space="0" w:color="auto"/>
            </w:tcBorders>
          </w:tcPr>
          <w:p w14:paraId="5913FBD3"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HCC without DAAs</w:t>
            </w:r>
          </w:p>
          <w:p w14:paraId="6EB0A29E"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N=25</w:t>
            </w:r>
          </w:p>
        </w:tc>
        <w:tc>
          <w:tcPr>
            <w:tcW w:w="1980" w:type="dxa"/>
            <w:gridSpan w:val="2"/>
            <w:tcBorders>
              <w:top w:val="single" w:sz="4" w:space="0" w:color="auto"/>
              <w:bottom w:val="single" w:sz="4" w:space="0" w:color="auto"/>
            </w:tcBorders>
          </w:tcPr>
          <w:p w14:paraId="1B6C5FDD" w14:textId="77777777" w:rsidR="0017557B"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b w:val="0"/>
                <w:i w:val="0"/>
                <w:sz w:val="18"/>
                <w:szCs w:val="18"/>
              </w:rPr>
            </w:pPr>
            <w:r w:rsidRPr="001E0B5E">
              <w:rPr>
                <w:rFonts w:cstheme="majorBidi"/>
                <w:sz w:val="18"/>
                <w:szCs w:val="18"/>
              </w:rPr>
              <w:t>HCC after DAA</w:t>
            </w:r>
          </w:p>
          <w:p w14:paraId="095B86DB" w14:textId="66E5DD6C"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N=42</w:t>
            </w:r>
          </w:p>
        </w:tc>
        <w:tc>
          <w:tcPr>
            <w:tcW w:w="2160" w:type="dxa"/>
            <w:gridSpan w:val="2"/>
            <w:tcBorders>
              <w:top w:val="single" w:sz="4" w:space="0" w:color="auto"/>
              <w:bottom w:val="single" w:sz="4" w:space="0" w:color="auto"/>
            </w:tcBorders>
            <w:hideMark/>
          </w:tcPr>
          <w:p w14:paraId="175131FD"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Total n(%)</w:t>
            </w:r>
          </w:p>
        </w:tc>
        <w:tc>
          <w:tcPr>
            <w:tcW w:w="1242" w:type="dxa"/>
            <w:tcBorders>
              <w:top w:val="single" w:sz="4" w:space="0" w:color="auto"/>
              <w:bottom w:val="single" w:sz="4" w:space="0" w:color="auto"/>
            </w:tcBorders>
            <w:hideMark/>
          </w:tcPr>
          <w:p w14:paraId="20F773C1" w14:textId="77777777" w:rsidR="002861C5" w:rsidRPr="001E0B5E" w:rsidRDefault="002861C5" w:rsidP="0081769E">
            <w:pPr>
              <w:cnfStyle w:val="100000000000" w:firstRow="1"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 Value</w:t>
            </w:r>
          </w:p>
        </w:tc>
      </w:tr>
      <w:tr w:rsidR="00036582" w:rsidRPr="00216DC8" w14:paraId="5E767820"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tcBorders>
            <w:vAlign w:val="top"/>
          </w:tcPr>
          <w:p w14:paraId="08E0DFF1" w14:textId="77777777" w:rsidR="002861C5" w:rsidRPr="001E0B5E" w:rsidRDefault="002861C5" w:rsidP="0081769E">
            <w:pPr>
              <w:jc w:val="both"/>
              <w:rPr>
                <w:sz w:val="18"/>
                <w:szCs w:val="18"/>
              </w:rPr>
            </w:pPr>
            <w:r w:rsidRPr="001E0B5E">
              <w:rPr>
                <w:sz w:val="18"/>
                <w:szCs w:val="18"/>
              </w:rPr>
              <w:t>Liver status</w:t>
            </w:r>
          </w:p>
          <w:p w14:paraId="35FBD0E1" w14:textId="77777777" w:rsidR="002861C5" w:rsidRPr="001E0B5E" w:rsidRDefault="002861C5" w:rsidP="0081769E">
            <w:pPr>
              <w:jc w:val="both"/>
              <w:rPr>
                <w:sz w:val="18"/>
                <w:szCs w:val="18"/>
              </w:rPr>
            </w:pPr>
          </w:p>
        </w:tc>
        <w:tc>
          <w:tcPr>
            <w:tcW w:w="0" w:type="auto"/>
            <w:tcBorders>
              <w:top w:val="single" w:sz="4" w:space="0" w:color="auto"/>
            </w:tcBorders>
            <w:vAlign w:val="top"/>
          </w:tcPr>
          <w:p w14:paraId="188927A6"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Cirrhosis</w:t>
            </w:r>
          </w:p>
        </w:tc>
        <w:tc>
          <w:tcPr>
            <w:tcW w:w="997" w:type="dxa"/>
            <w:tcBorders>
              <w:top w:val="single" w:sz="4" w:space="0" w:color="auto"/>
            </w:tcBorders>
            <w:noWrap/>
            <w:vAlign w:val="top"/>
          </w:tcPr>
          <w:p w14:paraId="60C2D1F6"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14</w:t>
            </w:r>
          </w:p>
        </w:tc>
        <w:tc>
          <w:tcPr>
            <w:tcW w:w="1038" w:type="dxa"/>
            <w:tcBorders>
              <w:top w:val="single" w:sz="4" w:space="0" w:color="auto"/>
            </w:tcBorders>
            <w:vAlign w:val="top"/>
          </w:tcPr>
          <w:p w14:paraId="2CFDAF39"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56%</w:t>
            </w:r>
          </w:p>
        </w:tc>
        <w:tc>
          <w:tcPr>
            <w:tcW w:w="810" w:type="dxa"/>
            <w:tcBorders>
              <w:top w:val="single" w:sz="4" w:space="0" w:color="auto"/>
            </w:tcBorders>
            <w:vAlign w:val="top"/>
          </w:tcPr>
          <w:p w14:paraId="1B37E3EB"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32</w:t>
            </w:r>
          </w:p>
        </w:tc>
        <w:tc>
          <w:tcPr>
            <w:tcW w:w="1170" w:type="dxa"/>
            <w:tcBorders>
              <w:top w:val="single" w:sz="4" w:space="0" w:color="auto"/>
            </w:tcBorders>
            <w:vAlign w:val="top"/>
          </w:tcPr>
          <w:p w14:paraId="4A2F696A"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76.2%</w:t>
            </w:r>
          </w:p>
        </w:tc>
        <w:tc>
          <w:tcPr>
            <w:tcW w:w="900" w:type="dxa"/>
            <w:tcBorders>
              <w:top w:val="single" w:sz="4" w:space="0" w:color="auto"/>
            </w:tcBorders>
            <w:noWrap/>
            <w:vAlign w:val="top"/>
          </w:tcPr>
          <w:p w14:paraId="17EBE672" w14:textId="77777777" w:rsidR="002861C5" w:rsidRPr="001E0B5E" w:rsidRDefault="002861C5" w:rsidP="0081769E">
            <w:pPr>
              <w:jc w:val="both"/>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46</w:t>
            </w:r>
          </w:p>
        </w:tc>
        <w:tc>
          <w:tcPr>
            <w:tcW w:w="1260" w:type="dxa"/>
            <w:tcBorders>
              <w:top w:val="single" w:sz="4" w:space="0" w:color="auto"/>
            </w:tcBorders>
          </w:tcPr>
          <w:p w14:paraId="4FF45C3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64.2%</w:t>
            </w:r>
          </w:p>
        </w:tc>
        <w:tc>
          <w:tcPr>
            <w:tcW w:w="1242" w:type="dxa"/>
            <w:vMerge w:val="restart"/>
            <w:tcBorders>
              <w:top w:val="single" w:sz="4" w:space="0" w:color="auto"/>
            </w:tcBorders>
            <w:noWrap/>
          </w:tcPr>
          <w:p w14:paraId="6C82515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0.08</w:t>
            </w:r>
          </w:p>
        </w:tc>
      </w:tr>
      <w:tr w:rsidR="00036582" w:rsidRPr="00216DC8" w14:paraId="31B2DD0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01EB4C74" w14:textId="77777777" w:rsidR="002861C5" w:rsidRPr="001E0B5E" w:rsidRDefault="002861C5" w:rsidP="0081769E">
            <w:pPr>
              <w:rPr>
                <w:rFonts w:cstheme="majorBidi"/>
                <w:b w:val="0"/>
                <w:i w:val="0"/>
                <w:sz w:val="18"/>
                <w:szCs w:val="18"/>
              </w:rPr>
            </w:pPr>
          </w:p>
        </w:tc>
        <w:tc>
          <w:tcPr>
            <w:tcW w:w="0" w:type="auto"/>
            <w:vAlign w:val="top"/>
          </w:tcPr>
          <w:p w14:paraId="3AE0B60A" w14:textId="38A39F88" w:rsidR="002861C5" w:rsidRPr="001E0B5E" w:rsidRDefault="00DD4F1B"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Non-cirrhosis</w:t>
            </w:r>
          </w:p>
        </w:tc>
        <w:tc>
          <w:tcPr>
            <w:tcW w:w="997" w:type="dxa"/>
            <w:noWrap/>
            <w:vAlign w:val="top"/>
          </w:tcPr>
          <w:p w14:paraId="59B4647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11</w:t>
            </w:r>
          </w:p>
        </w:tc>
        <w:tc>
          <w:tcPr>
            <w:tcW w:w="1038" w:type="dxa"/>
            <w:vAlign w:val="top"/>
          </w:tcPr>
          <w:p w14:paraId="787E267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44%</w:t>
            </w:r>
          </w:p>
        </w:tc>
        <w:tc>
          <w:tcPr>
            <w:tcW w:w="810" w:type="dxa"/>
            <w:vAlign w:val="top"/>
          </w:tcPr>
          <w:p w14:paraId="1A9717F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10</w:t>
            </w:r>
          </w:p>
        </w:tc>
        <w:tc>
          <w:tcPr>
            <w:tcW w:w="1170" w:type="dxa"/>
            <w:vAlign w:val="top"/>
          </w:tcPr>
          <w:p w14:paraId="317E820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23.8%</w:t>
            </w:r>
          </w:p>
        </w:tc>
        <w:tc>
          <w:tcPr>
            <w:tcW w:w="900" w:type="dxa"/>
            <w:noWrap/>
            <w:vAlign w:val="top"/>
          </w:tcPr>
          <w:p w14:paraId="5D4FC5B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sz w:val="18"/>
                <w:szCs w:val="18"/>
              </w:rPr>
              <w:t>21</w:t>
            </w:r>
          </w:p>
        </w:tc>
        <w:tc>
          <w:tcPr>
            <w:tcW w:w="1260" w:type="dxa"/>
          </w:tcPr>
          <w:p w14:paraId="586223D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35.2%</w:t>
            </w:r>
          </w:p>
        </w:tc>
        <w:tc>
          <w:tcPr>
            <w:tcW w:w="1242" w:type="dxa"/>
            <w:vMerge/>
            <w:noWrap/>
          </w:tcPr>
          <w:p w14:paraId="4806388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color w:val="C00000"/>
                <w:sz w:val="18"/>
                <w:szCs w:val="18"/>
              </w:rPr>
            </w:pPr>
          </w:p>
        </w:tc>
      </w:tr>
      <w:tr w:rsidR="00036582" w:rsidRPr="00216DC8" w14:paraId="4FEE7C6C"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vAlign w:val="top"/>
          </w:tcPr>
          <w:p w14:paraId="35D5E414" w14:textId="03C3F971" w:rsidR="002861C5" w:rsidRPr="001E0B5E" w:rsidRDefault="001E0B5E" w:rsidP="0081769E">
            <w:pPr>
              <w:jc w:val="left"/>
              <w:rPr>
                <w:rFonts w:cstheme="majorBidi"/>
                <w:bCs/>
                <w:i w:val="0"/>
                <w:sz w:val="18"/>
                <w:szCs w:val="18"/>
              </w:rPr>
            </w:pPr>
            <w:r w:rsidRPr="001E0B5E">
              <w:rPr>
                <w:rFonts w:cstheme="majorBidi"/>
                <w:bCs/>
                <w:i w:val="0"/>
                <w:sz w:val="18"/>
                <w:szCs w:val="18"/>
              </w:rPr>
              <w:t>Child. p</w:t>
            </w:r>
          </w:p>
        </w:tc>
        <w:tc>
          <w:tcPr>
            <w:tcW w:w="0" w:type="auto"/>
            <w:vAlign w:val="top"/>
          </w:tcPr>
          <w:p w14:paraId="699BB63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A</w:t>
            </w:r>
          </w:p>
        </w:tc>
        <w:tc>
          <w:tcPr>
            <w:tcW w:w="997" w:type="dxa"/>
            <w:noWrap/>
            <w:vAlign w:val="top"/>
          </w:tcPr>
          <w:p w14:paraId="15AB66B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w:t>
            </w:r>
          </w:p>
        </w:tc>
        <w:tc>
          <w:tcPr>
            <w:tcW w:w="1038" w:type="dxa"/>
            <w:vAlign w:val="top"/>
          </w:tcPr>
          <w:p w14:paraId="6B8FDCB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8%</w:t>
            </w:r>
          </w:p>
        </w:tc>
        <w:tc>
          <w:tcPr>
            <w:tcW w:w="810" w:type="dxa"/>
            <w:vAlign w:val="top"/>
          </w:tcPr>
          <w:p w14:paraId="0913EDD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12</w:t>
            </w:r>
          </w:p>
        </w:tc>
        <w:tc>
          <w:tcPr>
            <w:tcW w:w="1170" w:type="dxa"/>
            <w:vAlign w:val="top"/>
          </w:tcPr>
          <w:p w14:paraId="5C9921E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29%</w:t>
            </w:r>
          </w:p>
        </w:tc>
        <w:tc>
          <w:tcPr>
            <w:tcW w:w="900" w:type="dxa"/>
            <w:noWrap/>
            <w:vAlign w:val="top"/>
          </w:tcPr>
          <w:p w14:paraId="79B6AD5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14</w:t>
            </w:r>
          </w:p>
        </w:tc>
        <w:tc>
          <w:tcPr>
            <w:tcW w:w="1260" w:type="dxa"/>
          </w:tcPr>
          <w:p w14:paraId="7024468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20.9%</w:t>
            </w:r>
          </w:p>
        </w:tc>
        <w:tc>
          <w:tcPr>
            <w:tcW w:w="1242" w:type="dxa"/>
            <w:noWrap/>
          </w:tcPr>
          <w:p w14:paraId="3AB1BEB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0.1</w:t>
            </w:r>
          </w:p>
        </w:tc>
      </w:tr>
      <w:tr w:rsidR="00036582" w:rsidRPr="00216DC8" w14:paraId="154A8449"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0B282470" w14:textId="77777777" w:rsidR="002861C5" w:rsidRPr="001E0B5E" w:rsidRDefault="002861C5" w:rsidP="0081769E">
            <w:pPr>
              <w:rPr>
                <w:rFonts w:cstheme="majorBidi"/>
                <w:b w:val="0"/>
                <w:i w:val="0"/>
                <w:sz w:val="18"/>
                <w:szCs w:val="18"/>
              </w:rPr>
            </w:pPr>
          </w:p>
        </w:tc>
        <w:tc>
          <w:tcPr>
            <w:tcW w:w="0" w:type="auto"/>
            <w:vAlign w:val="top"/>
          </w:tcPr>
          <w:p w14:paraId="1E0A911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B</w:t>
            </w:r>
          </w:p>
        </w:tc>
        <w:tc>
          <w:tcPr>
            <w:tcW w:w="997" w:type="dxa"/>
            <w:noWrap/>
            <w:vAlign w:val="top"/>
          </w:tcPr>
          <w:p w14:paraId="166BEB6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w:t>
            </w:r>
          </w:p>
        </w:tc>
        <w:tc>
          <w:tcPr>
            <w:tcW w:w="1038" w:type="dxa"/>
            <w:vAlign w:val="top"/>
          </w:tcPr>
          <w:p w14:paraId="4531B68A" w14:textId="77777777" w:rsidR="002861C5" w:rsidRPr="001E0B5E" w:rsidRDefault="002861C5" w:rsidP="0081769E">
            <w:pPr>
              <w:tabs>
                <w:tab w:val="left" w:pos="285"/>
                <w:tab w:val="center" w:pos="370"/>
              </w:tabs>
              <w:jc w:val="left"/>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ab/>
              <w:t>12%</w:t>
            </w:r>
          </w:p>
        </w:tc>
        <w:tc>
          <w:tcPr>
            <w:tcW w:w="810" w:type="dxa"/>
            <w:vAlign w:val="top"/>
          </w:tcPr>
          <w:p w14:paraId="1F349E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7</w:t>
            </w:r>
          </w:p>
        </w:tc>
        <w:tc>
          <w:tcPr>
            <w:tcW w:w="1170" w:type="dxa"/>
            <w:vAlign w:val="top"/>
          </w:tcPr>
          <w:p w14:paraId="40BEFF6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17%</w:t>
            </w:r>
          </w:p>
        </w:tc>
        <w:tc>
          <w:tcPr>
            <w:tcW w:w="900" w:type="dxa"/>
            <w:noWrap/>
            <w:vAlign w:val="top"/>
          </w:tcPr>
          <w:p w14:paraId="7A5966C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10</w:t>
            </w:r>
          </w:p>
        </w:tc>
        <w:tc>
          <w:tcPr>
            <w:tcW w:w="1260" w:type="dxa"/>
          </w:tcPr>
          <w:p w14:paraId="52C83E3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14.9%</w:t>
            </w:r>
          </w:p>
        </w:tc>
        <w:tc>
          <w:tcPr>
            <w:tcW w:w="1242" w:type="dxa"/>
            <w:noWrap/>
          </w:tcPr>
          <w:p w14:paraId="6707120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7B6CDEAD"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ign w:val="top"/>
          </w:tcPr>
          <w:p w14:paraId="66C1A8C7" w14:textId="77777777" w:rsidR="002861C5" w:rsidRPr="001E0B5E" w:rsidRDefault="002861C5" w:rsidP="0081769E">
            <w:pPr>
              <w:rPr>
                <w:rFonts w:cstheme="majorBidi"/>
                <w:b w:val="0"/>
                <w:i w:val="0"/>
                <w:sz w:val="18"/>
                <w:szCs w:val="18"/>
              </w:rPr>
            </w:pPr>
          </w:p>
        </w:tc>
        <w:tc>
          <w:tcPr>
            <w:tcW w:w="0" w:type="auto"/>
            <w:vAlign w:val="top"/>
          </w:tcPr>
          <w:p w14:paraId="2E74C65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C</w:t>
            </w:r>
          </w:p>
        </w:tc>
        <w:tc>
          <w:tcPr>
            <w:tcW w:w="997" w:type="dxa"/>
            <w:noWrap/>
            <w:vAlign w:val="top"/>
          </w:tcPr>
          <w:p w14:paraId="50E9CE9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6</w:t>
            </w:r>
          </w:p>
        </w:tc>
        <w:tc>
          <w:tcPr>
            <w:tcW w:w="1038" w:type="dxa"/>
            <w:vAlign w:val="top"/>
          </w:tcPr>
          <w:p w14:paraId="34A7990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24%</w:t>
            </w:r>
          </w:p>
        </w:tc>
        <w:tc>
          <w:tcPr>
            <w:tcW w:w="810" w:type="dxa"/>
            <w:vAlign w:val="top"/>
          </w:tcPr>
          <w:p w14:paraId="1CA5718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13</w:t>
            </w:r>
          </w:p>
        </w:tc>
        <w:tc>
          <w:tcPr>
            <w:tcW w:w="1170" w:type="dxa"/>
            <w:vAlign w:val="top"/>
          </w:tcPr>
          <w:p w14:paraId="12017B2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31%</w:t>
            </w:r>
          </w:p>
        </w:tc>
        <w:tc>
          <w:tcPr>
            <w:tcW w:w="900" w:type="dxa"/>
            <w:noWrap/>
            <w:vAlign w:val="top"/>
          </w:tcPr>
          <w:p w14:paraId="5DDD32B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sz w:val="18"/>
                <w:szCs w:val="18"/>
              </w:rPr>
            </w:pPr>
            <w:r w:rsidRPr="001E0B5E">
              <w:rPr>
                <w:sz w:val="18"/>
                <w:szCs w:val="18"/>
              </w:rPr>
              <w:t>19</w:t>
            </w:r>
          </w:p>
        </w:tc>
        <w:tc>
          <w:tcPr>
            <w:tcW w:w="1260" w:type="dxa"/>
          </w:tcPr>
          <w:p w14:paraId="09F0A51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0B5E">
              <w:rPr>
                <w:rFonts w:ascii="Arial" w:hAnsi="Arial" w:cs="Arial"/>
                <w:sz w:val="18"/>
                <w:szCs w:val="18"/>
              </w:rPr>
              <w:t>28.4%</w:t>
            </w:r>
          </w:p>
        </w:tc>
        <w:tc>
          <w:tcPr>
            <w:tcW w:w="1242" w:type="dxa"/>
            <w:noWrap/>
          </w:tcPr>
          <w:p w14:paraId="6FFA968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0.3</w:t>
            </w:r>
          </w:p>
        </w:tc>
      </w:tr>
      <w:tr w:rsidR="00036582" w:rsidRPr="00216DC8" w14:paraId="3A6F41C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1AA790F4" w14:textId="77777777" w:rsidR="002861C5" w:rsidRPr="001E0B5E" w:rsidRDefault="002861C5" w:rsidP="0081769E">
            <w:pPr>
              <w:jc w:val="left"/>
              <w:rPr>
                <w:rFonts w:cstheme="majorBidi"/>
                <w:sz w:val="18"/>
                <w:szCs w:val="18"/>
              </w:rPr>
            </w:pPr>
            <w:r w:rsidRPr="001E0B5E">
              <w:rPr>
                <w:rFonts w:cstheme="majorBidi"/>
                <w:sz w:val="18"/>
                <w:szCs w:val="18"/>
              </w:rPr>
              <w:t>HCC Number</w:t>
            </w:r>
          </w:p>
        </w:tc>
        <w:tc>
          <w:tcPr>
            <w:tcW w:w="0" w:type="auto"/>
            <w:hideMark/>
          </w:tcPr>
          <w:p w14:paraId="2970AF1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Single</w:t>
            </w:r>
          </w:p>
        </w:tc>
        <w:tc>
          <w:tcPr>
            <w:tcW w:w="997" w:type="dxa"/>
            <w:noWrap/>
            <w:hideMark/>
          </w:tcPr>
          <w:p w14:paraId="62F9E60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038" w:type="dxa"/>
            <w:noWrap/>
            <w:hideMark/>
          </w:tcPr>
          <w:p w14:paraId="27F9E71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52.0%</w:t>
            </w:r>
          </w:p>
        </w:tc>
        <w:tc>
          <w:tcPr>
            <w:tcW w:w="810" w:type="dxa"/>
            <w:noWrap/>
            <w:hideMark/>
          </w:tcPr>
          <w:p w14:paraId="3922592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31</w:t>
            </w:r>
          </w:p>
        </w:tc>
        <w:tc>
          <w:tcPr>
            <w:tcW w:w="1170" w:type="dxa"/>
            <w:noWrap/>
            <w:hideMark/>
          </w:tcPr>
          <w:p w14:paraId="75C42A0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73.8%</w:t>
            </w:r>
          </w:p>
        </w:tc>
        <w:tc>
          <w:tcPr>
            <w:tcW w:w="900" w:type="dxa"/>
            <w:noWrap/>
            <w:hideMark/>
          </w:tcPr>
          <w:p w14:paraId="018D331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44</w:t>
            </w:r>
          </w:p>
        </w:tc>
        <w:tc>
          <w:tcPr>
            <w:tcW w:w="1260" w:type="dxa"/>
            <w:noWrap/>
            <w:hideMark/>
          </w:tcPr>
          <w:p w14:paraId="20EE16E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65.7%</w:t>
            </w:r>
          </w:p>
        </w:tc>
        <w:tc>
          <w:tcPr>
            <w:tcW w:w="1242" w:type="dxa"/>
            <w:vMerge w:val="restart"/>
            <w:noWrap/>
            <w:hideMark/>
          </w:tcPr>
          <w:p w14:paraId="68F281ED"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0.069</w:t>
            </w:r>
          </w:p>
        </w:tc>
      </w:tr>
      <w:tr w:rsidR="00036582" w:rsidRPr="00216DC8" w14:paraId="4C7C7D93"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tcPr>
          <w:p w14:paraId="593BDF10" w14:textId="77777777" w:rsidR="002861C5" w:rsidRPr="001E0B5E" w:rsidRDefault="002861C5" w:rsidP="0081769E">
            <w:pPr>
              <w:rPr>
                <w:rFonts w:cstheme="majorBidi"/>
                <w:sz w:val="18"/>
                <w:szCs w:val="18"/>
              </w:rPr>
            </w:pPr>
          </w:p>
        </w:tc>
        <w:tc>
          <w:tcPr>
            <w:tcW w:w="0" w:type="auto"/>
          </w:tcPr>
          <w:p w14:paraId="68E94C3D"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Multi</w:t>
            </w:r>
          </w:p>
        </w:tc>
        <w:tc>
          <w:tcPr>
            <w:tcW w:w="997" w:type="dxa"/>
            <w:noWrap/>
          </w:tcPr>
          <w:p w14:paraId="591EC1C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w:t>
            </w:r>
          </w:p>
        </w:tc>
        <w:tc>
          <w:tcPr>
            <w:tcW w:w="1038" w:type="dxa"/>
            <w:noWrap/>
          </w:tcPr>
          <w:p w14:paraId="0BFD1F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48.0%</w:t>
            </w:r>
          </w:p>
        </w:tc>
        <w:tc>
          <w:tcPr>
            <w:tcW w:w="810" w:type="dxa"/>
            <w:noWrap/>
          </w:tcPr>
          <w:p w14:paraId="089B1AD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11</w:t>
            </w:r>
          </w:p>
        </w:tc>
        <w:tc>
          <w:tcPr>
            <w:tcW w:w="1170" w:type="dxa"/>
            <w:noWrap/>
          </w:tcPr>
          <w:p w14:paraId="4160994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26.2%</w:t>
            </w:r>
          </w:p>
        </w:tc>
        <w:tc>
          <w:tcPr>
            <w:tcW w:w="900" w:type="dxa"/>
            <w:noWrap/>
          </w:tcPr>
          <w:p w14:paraId="31E4C1A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23</w:t>
            </w:r>
          </w:p>
        </w:tc>
        <w:tc>
          <w:tcPr>
            <w:tcW w:w="1260" w:type="dxa"/>
            <w:noWrap/>
          </w:tcPr>
          <w:p w14:paraId="2FE54E5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34.3%</w:t>
            </w:r>
          </w:p>
        </w:tc>
        <w:tc>
          <w:tcPr>
            <w:tcW w:w="1242" w:type="dxa"/>
            <w:vMerge/>
            <w:noWrap/>
          </w:tcPr>
          <w:p w14:paraId="0AFAA44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0F53CAA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5EEA4512" w14:textId="77777777" w:rsidR="002861C5" w:rsidRPr="001E0B5E" w:rsidRDefault="002861C5" w:rsidP="0081769E">
            <w:pPr>
              <w:jc w:val="left"/>
              <w:rPr>
                <w:rFonts w:cstheme="majorBidi"/>
                <w:sz w:val="18"/>
                <w:szCs w:val="18"/>
              </w:rPr>
            </w:pPr>
            <w:r w:rsidRPr="001E0B5E">
              <w:rPr>
                <w:rFonts w:cstheme="majorBidi"/>
                <w:sz w:val="18"/>
                <w:szCs w:val="18"/>
              </w:rPr>
              <w:t>PVT</w:t>
            </w:r>
          </w:p>
        </w:tc>
        <w:tc>
          <w:tcPr>
            <w:tcW w:w="0" w:type="auto"/>
            <w:hideMark/>
          </w:tcPr>
          <w:p w14:paraId="5C68A71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PVT</w:t>
            </w:r>
          </w:p>
        </w:tc>
        <w:tc>
          <w:tcPr>
            <w:tcW w:w="997" w:type="dxa"/>
            <w:noWrap/>
            <w:hideMark/>
          </w:tcPr>
          <w:p w14:paraId="35E0131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w:t>
            </w:r>
          </w:p>
        </w:tc>
        <w:tc>
          <w:tcPr>
            <w:tcW w:w="1038" w:type="dxa"/>
            <w:noWrap/>
            <w:hideMark/>
          </w:tcPr>
          <w:p w14:paraId="704980D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12.0%</w:t>
            </w:r>
          </w:p>
        </w:tc>
        <w:tc>
          <w:tcPr>
            <w:tcW w:w="810" w:type="dxa"/>
            <w:noWrap/>
            <w:hideMark/>
          </w:tcPr>
          <w:p w14:paraId="4EDFD0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12</w:t>
            </w:r>
          </w:p>
        </w:tc>
        <w:tc>
          <w:tcPr>
            <w:tcW w:w="1170" w:type="dxa"/>
            <w:noWrap/>
            <w:hideMark/>
          </w:tcPr>
          <w:p w14:paraId="7B5C30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28.6%</w:t>
            </w:r>
          </w:p>
        </w:tc>
        <w:tc>
          <w:tcPr>
            <w:tcW w:w="900" w:type="dxa"/>
            <w:noWrap/>
            <w:hideMark/>
          </w:tcPr>
          <w:p w14:paraId="1AAA9D6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15</w:t>
            </w:r>
          </w:p>
        </w:tc>
        <w:tc>
          <w:tcPr>
            <w:tcW w:w="1260" w:type="dxa"/>
            <w:noWrap/>
            <w:hideMark/>
          </w:tcPr>
          <w:p w14:paraId="1E649EB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22.4%</w:t>
            </w:r>
          </w:p>
        </w:tc>
        <w:tc>
          <w:tcPr>
            <w:tcW w:w="1242" w:type="dxa"/>
            <w:vMerge w:val="restart"/>
            <w:noWrap/>
            <w:hideMark/>
          </w:tcPr>
          <w:p w14:paraId="152A358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0.116</w:t>
            </w:r>
          </w:p>
        </w:tc>
      </w:tr>
      <w:tr w:rsidR="00036582" w:rsidRPr="00216DC8" w14:paraId="05B00FC6"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1C92C110" w14:textId="77777777" w:rsidR="002861C5" w:rsidRPr="001E0B5E" w:rsidRDefault="002861C5" w:rsidP="0081769E">
            <w:pPr>
              <w:rPr>
                <w:rFonts w:cstheme="majorBidi"/>
                <w:sz w:val="18"/>
                <w:szCs w:val="18"/>
              </w:rPr>
            </w:pPr>
          </w:p>
        </w:tc>
        <w:tc>
          <w:tcPr>
            <w:tcW w:w="0" w:type="auto"/>
            <w:hideMark/>
          </w:tcPr>
          <w:p w14:paraId="45054C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No PVT</w:t>
            </w:r>
          </w:p>
        </w:tc>
        <w:tc>
          <w:tcPr>
            <w:tcW w:w="997" w:type="dxa"/>
            <w:noWrap/>
            <w:hideMark/>
          </w:tcPr>
          <w:p w14:paraId="7753604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22</w:t>
            </w:r>
          </w:p>
        </w:tc>
        <w:tc>
          <w:tcPr>
            <w:tcW w:w="1038" w:type="dxa"/>
            <w:noWrap/>
            <w:hideMark/>
          </w:tcPr>
          <w:p w14:paraId="54A13E9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88.0%</w:t>
            </w:r>
          </w:p>
        </w:tc>
        <w:tc>
          <w:tcPr>
            <w:tcW w:w="810" w:type="dxa"/>
            <w:noWrap/>
            <w:hideMark/>
          </w:tcPr>
          <w:p w14:paraId="48EBD724"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170" w:type="dxa"/>
            <w:noWrap/>
            <w:hideMark/>
          </w:tcPr>
          <w:p w14:paraId="1AA94C3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71.4%</w:t>
            </w:r>
          </w:p>
        </w:tc>
        <w:tc>
          <w:tcPr>
            <w:tcW w:w="900" w:type="dxa"/>
            <w:noWrap/>
            <w:hideMark/>
          </w:tcPr>
          <w:p w14:paraId="6BDD55B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52</w:t>
            </w:r>
          </w:p>
        </w:tc>
        <w:tc>
          <w:tcPr>
            <w:tcW w:w="1260" w:type="dxa"/>
            <w:noWrap/>
            <w:hideMark/>
          </w:tcPr>
          <w:p w14:paraId="252DF36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77.6%</w:t>
            </w:r>
          </w:p>
        </w:tc>
        <w:tc>
          <w:tcPr>
            <w:tcW w:w="1242" w:type="dxa"/>
            <w:vMerge/>
            <w:noWrap/>
            <w:hideMark/>
          </w:tcPr>
          <w:p w14:paraId="6EDF403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205DA45F"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4E59C79D" w14:textId="77777777" w:rsidR="002861C5" w:rsidRPr="001E0B5E" w:rsidRDefault="002861C5" w:rsidP="0081769E">
            <w:pPr>
              <w:jc w:val="left"/>
              <w:rPr>
                <w:rFonts w:cstheme="majorBidi"/>
                <w:sz w:val="18"/>
                <w:szCs w:val="18"/>
              </w:rPr>
            </w:pPr>
            <w:r w:rsidRPr="001E0B5E">
              <w:rPr>
                <w:rFonts w:cstheme="majorBidi"/>
                <w:sz w:val="18"/>
                <w:szCs w:val="18"/>
              </w:rPr>
              <w:t>Milan C</w:t>
            </w:r>
          </w:p>
        </w:tc>
        <w:tc>
          <w:tcPr>
            <w:tcW w:w="0" w:type="auto"/>
            <w:hideMark/>
          </w:tcPr>
          <w:p w14:paraId="654BC4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Within</w:t>
            </w:r>
          </w:p>
        </w:tc>
        <w:tc>
          <w:tcPr>
            <w:tcW w:w="997" w:type="dxa"/>
            <w:noWrap/>
            <w:hideMark/>
          </w:tcPr>
          <w:p w14:paraId="26ADF84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16</w:t>
            </w:r>
          </w:p>
        </w:tc>
        <w:tc>
          <w:tcPr>
            <w:tcW w:w="1038" w:type="dxa"/>
            <w:noWrap/>
            <w:hideMark/>
          </w:tcPr>
          <w:p w14:paraId="7B1A7A6E"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64.0%</w:t>
            </w:r>
          </w:p>
        </w:tc>
        <w:tc>
          <w:tcPr>
            <w:tcW w:w="810" w:type="dxa"/>
            <w:noWrap/>
            <w:hideMark/>
          </w:tcPr>
          <w:p w14:paraId="41D7C8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21</w:t>
            </w:r>
          </w:p>
        </w:tc>
        <w:tc>
          <w:tcPr>
            <w:tcW w:w="1170" w:type="dxa"/>
            <w:noWrap/>
            <w:hideMark/>
          </w:tcPr>
          <w:p w14:paraId="0E327CD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50%</w:t>
            </w:r>
          </w:p>
        </w:tc>
        <w:tc>
          <w:tcPr>
            <w:tcW w:w="900" w:type="dxa"/>
            <w:noWrap/>
            <w:hideMark/>
          </w:tcPr>
          <w:p w14:paraId="41EBDE0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37</w:t>
            </w:r>
          </w:p>
        </w:tc>
        <w:tc>
          <w:tcPr>
            <w:tcW w:w="1260" w:type="dxa"/>
            <w:noWrap/>
            <w:hideMark/>
          </w:tcPr>
          <w:p w14:paraId="10B1ACE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55.2%</w:t>
            </w:r>
          </w:p>
        </w:tc>
        <w:tc>
          <w:tcPr>
            <w:tcW w:w="1242" w:type="dxa"/>
            <w:vMerge w:val="restart"/>
            <w:noWrap/>
            <w:hideMark/>
          </w:tcPr>
          <w:p w14:paraId="0B42E52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0.458</w:t>
            </w:r>
          </w:p>
        </w:tc>
      </w:tr>
      <w:tr w:rsidR="00036582" w:rsidRPr="00216DC8" w14:paraId="7521A38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43778184" w14:textId="77777777" w:rsidR="002861C5" w:rsidRPr="001E0B5E" w:rsidRDefault="002861C5" w:rsidP="0081769E">
            <w:pPr>
              <w:rPr>
                <w:rFonts w:cstheme="majorBidi"/>
                <w:sz w:val="18"/>
                <w:szCs w:val="18"/>
              </w:rPr>
            </w:pPr>
          </w:p>
        </w:tc>
        <w:tc>
          <w:tcPr>
            <w:tcW w:w="0" w:type="auto"/>
            <w:hideMark/>
          </w:tcPr>
          <w:p w14:paraId="5AB076D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Out</w:t>
            </w:r>
          </w:p>
        </w:tc>
        <w:tc>
          <w:tcPr>
            <w:tcW w:w="997" w:type="dxa"/>
            <w:noWrap/>
            <w:hideMark/>
          </w:tcPr>
          <w:p w14:paraId="3ECC5120"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9</w:t>
            </w:r>
          </w:p>
        </w:tc>
        <w:tc>
          <w:tcPr>
            <w:tcW w:w="1038" w:type="dxa"/>
            <w:noWrap/>
            <w:hideMark/>
          </w:tcPr>
          <w:p w14:paraId="3F5120D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36.0%</w:t>
            </w:r>
          </w:p>
        </w:tc>
        <w:tc>
          <w:tcPr>
            <w:tcW w:w="810" w:type="dxa"/>
            <w:noWrap/>
            <w:hideMark/>
          </w:tcPr>
          <w:p w14:paraId="266618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21</w:t>
            </w:r>
          </w:p>
        </w:tc>
        <w:tc>
          <w:tcPr>
            <w:tcW w:w="1170" w:type="dxa"/>
            <w:noWrap/>
            <w:hideMark/>
          </w:tcPr>
          <w:p w14:paraId="35B6525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50%</w:t>
            </w:r>
          </w:p>
        </w:tc>
        <w:tc>
          <w:tcPr>
            <w:tcW w:w="900" w:type="dxa"/>
            <w:noWrap/>
            <w:hideMark/>
          </w:tcPr>
          <w:p w14:paraId="2E80B6D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260" w:type="dxa"/>
            <w:noWrap/>
            <w:hideMark/>
          </w:tcPr>
          <w:p w14:paraId="1AF3C9B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43.8%</w:t>
            </w:r>
          </w:p>
        </w:tc>
        <w:tc>
          <w:tcPr>
            <w:tcW w:w="1242" w:type="dxa"/>
            <w:vMerge/>
            <w:noWrap/>
            <w:hideMark/>
          </w:tcPr>
          <w:p w14:paraId="158D9F3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p>
        </w:tc>
      </w:tr>
      <w:tr w:rsidR="00036582" w:rsidRPr="00216DC8" w14:paraId="47B43572"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val="restart"/>
            <w:hideMark/>
          </w:tcPr>
          <w:p w14:paraId="268B1B68" w14:textId="77777777" w:rsidR="002861C5" w:rsidRPr="001E0B5E" w:rsidRDefault="002861C5" w:rsidP="0081769E">
            <w:pPr>
              <w:rPr>
                <w:rFonts w:cstheme="majorBidi"/>
                <w:sz w:val="18"/>
                <w:szCs w:val="18"/>
              </w:rPr>
            </w:pPr>
            <w:r w:rsidRPr="001E0B5E">
              <w:rPr>
                <w:rFonts w:cstheme="majorBidi"/>
                <w:sz w:val="18"/>
                <w:szCs w:val="18"/>
              </w:rPr>
              <w:t>Intervention</w:t>
            </w:r>
          </w:p>
        </w:tc>
        <w:tc>
          <w:tcPr>
            <w:tcW w:w="0" w:type="auto"/>
            <w:hideMark/>
          </w:tcPr>
          <w:p w14:paraId="41A7227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Microwave</w:t>
            </w:r>
          </w:p>
        </w:tc>
        <w:tc>
          <w:tcPr>
            <w:tcW w:w="997" w:type="dxa"/>
            <w:noWrap/>
            <w:hideMark/>
          </w:tcPr>
          <w:p w14:paraId="43E15C0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038" w:type="dxa"/>
            <w:shd w:val="clear" w:color="auto" w:fill="F2F2F2" w:themeFill="background1" w:themeFillShade="F2"/>
            <w:noWrap/>
            <w:hideMark/>
          </w:tcPr>
          <w:p w14:paraId="379593D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8.0%</w:t>
            </w:r>
          </w:p>
        </w:tc>
        <w:tc>
          <w:tcPr>
            <w:tcW w:w="810" w:type="dxa"/>
            <w:noWrap/>
            <w:hideMark/>
          </w:tcPr>
          <w:p w14:paraId="0054E07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8</w:t>
            </w:r>
          </w:p>
        </w:tc>
        <w:tc>
          <w:tcPr>
            <w:tcW w:w="1170" w:type="dxa"/>
            <w:shd w:val="clear" w:color="auto" w:fill="D9D9D9" w:themeFill="background1" w:themeFillShade="D9"/>
            <w:noWrap/>
            <w:hideMark/>
          </w:tcPr>
          <w:p w14:paraId="533414C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19.0%</w:t>
            </w:r>
          </w:p>
        </w:tc>
        <w:tc>
          <w:tcPr>
            <w:tcW w:w="900" w:type="dxa"/>
            <w:noWrap/>
            <w:hideMark/>
          </w:tcPr>
          <w:p w14:paraId="100D6D6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10</w:t>
            </w:r>
          </w:p>
        </w:tc>
        <w:tc>
          <w:tcPr>
            <w:tcW w:w="1260" w:type="dxa"/>
            <w:noWrap/>
            <w:hideMark/>
          </w:tcPr>
          <w:p w14:paraId="6E2A2A1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14.9%</w:t>
            </w:r>
          </w:p>
        </w:tc>
        <w:tc>
          <w:tcPr>
            <w:tcW w:w="1242" w:type="dxa"/>
            <w:noWrap/>
            <w:hideMark/>
          </w:tcPr>
          <w:p w14:paraId="629D4D8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54C215C6" w14:textId="77777777" w:rsidTr="001E0B5E">
        <w:trPr>
          <w:trHeight w:val="70"/>
        </w:trPr>
        <w:tc>
          <w:tcPr>
            <w:cnfStyle w:val="001000000000" w:firstRow="0" w:lastRow="0" w:firstColumn="1" w:lastColumn="0" w:oddVBand="0" w:evenVBand="0" w:oddHBand="0" w:evenHBand="0" w:firstRowFirstColumn="0" w:firstRowLastColumn="0" w:lastRowFirstColumn="0" w:lastRowLastColumn="0"/>
            <w:tcW w:w="1809" w:type="dxa"/>
            <w:vMerge/>
            <w:hideMark/>
          </w:tcPr>
          <w:p w14:paraId="6773247D" w14:textId="77777777" w:rsidR="002861C5" w:rsidRPr="001E0B5E" w:rsidRDefault="002861C5" w:rsidP="0081769E">
            <w:pPr>
              <w:rPr>
                <w:rFonts w:cstheme="majorBidi"/>
                <w:sz w:val="18"/>
                <w:szCs w:val="18"/>
              </w:rPr>
            </w:pPr>
          </w:p>
        </w:tc>
        <w:tc>
          <w:tcPr>
            <w:tcW w:w="0" w:type="auto"/>
            <w:hideMark/>
          </w:tcPr>
          <w:p w14:paraId="474BB397"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Supportive</w:t>
            </w:r>
          </w:p>
        </w:tc>
        <w:tc>
          <w:tcPr>
            <w:tcW w:w="997" w:type="dxa"/>
            <w:noWrap/>
            <w:hideMark/>
          </w:tcPr>
          <w:p w14:paraId="3E357C1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6</w:t>
            </w:r>
          </w:p>
        </w:tc>
        <w:tc>
          <w:tcPr>
            <w:tcW w:w="1038" w:type="dxa"/>
            <w:shd w:val="clear" w:color="auto" w:fill="F2F2F2" w:themeFill="background1" w:themeFillShade="F2"/>
            <w:noWrap/>
            <w:hideMark/>
          </w:tcPr>
          <w:p w14:paraId="24E5C50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24.0%</w:t>
            </w:r>
          </w:p>
        </w:tc>
        <w:tc>
          <w:tcPr>
            <w:tcW w:w="810" w:type="dxa"/>
            <w:noWrap/>
            <w:hideMark/>
          </w:tcPr>
          <w:p w14:paraId="1DC4C5D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14</w:t>
            </w:r>
          </w:p>
        </w:tc>
        <w:tc>
          <w:tcPr>
            <w:tcW w:w="1170" w:type="dxa"/>
            <w:shd w:val="clear" w:color="auto" w:fill="D9D9D9" w:themeFill="background1" w:themeFillShade="D9"/>
            <w:noWrap/>
            <w:hideMark/>
          </w:tcPr>
          <w:p w14:paraId="20E654D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33.3%</w:t>
            </w:r>
          </w:p>
        </w:tc>
        <w:tc>
          <w:tcPr>
            <w:tcW w:w="900" w:type="dxa"/>
            <w:noWrap/>
            <w:hideMark/>
          </w:tcPr>
          <w:p w14:paraId="3F52B65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20</w:t>
            </w:r>
          </w:p>
        </w:tc>
        <w:tc>
          <w:tcPr>
            <w:tcW w:w="1260" w:type="dxa"/>
            <w:noWrap/>
            <w:hideMark/>
          </w:tcPr>
          <w:p w14:paraId="632A24C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29.9%</w:t>
            </w:r>
          </w:p>
        </w:tc>
        <w:tc>
          <w:tcPr>
            <w:tcW w:w="1242" w:type="dxa"/>
            <w:noWrap/>
            <w:hideMark/>
          </w:tcPr>
          <w:p w14:paraId="62D3070B"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0.2</w:t>
            </w:r>
          </w:p>
        </w:tc>
      </w:tr>
      <w:tr w:rsidR="00036582" w:rsidRPr="00216DC8" w14:paraId="2E52E672"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4CA3289" w14:textId="77777777" w:rsidR="002861C5" w:rsidRPr="001E0B5E" w:rsidRDefault="002861C5" w:rsidP="0081769E">
            <w:pPr>
              <w:rPr>
                <w:rFonts w:cstheme="majorBidi"/>
                <w:sz w:val="18"/>
                <w:szCs w:val="18"/>
              </w:rPr>
            </w:pPr>
          </w:p>
        </w:tc>
        <w:tc>
          <w:tcPr>
            <w:tcW w:w="0" w:type="auto"/>
            <w:hideMark/>
          </w:tcPr>
          <w:p w14:paraId="4C0170E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PEI</w:t>
            </w:r>
          </w:p>
        </w:tc>
        <w:tc>
          <w:tcPr>
            <w:tcW w:w="997" w:type="dxa"/>
            <w:noWrap/>
            <w:hideMark/>
          </w:tcPr>
          <w:p w14:paraId="6E565F62"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w:t>
            </w:r>
          </w:p>
        </w:tc>
        <w:tc>
          <w:tcPr>
            <w:tcW w:w="1038" w:type="dxa"/>
            <w:noWrap/>
            <w:hideMark/>
          </w:tcPr>
          <w:p w14:paraId="0296154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4.0%</w:t>
            </w:r>
          </w:p>
        </w:tc>
        <w:tc>
          <w:tcPr>
            <w:tcW w:w="810" w:type="dxa"/>
            <w:noWrap/>
            <w:hideMark/>
          </w:tcPr>
          <w:p w14:paraId="52BB4D8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170" w:type="dxa"/>
            <w:shd w:val="clear" w:color="auto" w:fill="F2F2F2" w:themeFill="background1" w:themeFillShade="F2"/>
            <w:noWrap/>
            <w:hideMark/>
          </w:tcPr>
          <w:p w14:paraId="769A6D9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4.8%</w:t>
            </w:r>
          </w:p>
        </w:tc>
        <w:tc>
          <w:tcPr>
            <w:tcW w:w="900" w:type="dxa"/>
            <w:noWrap/>
            <w:hideMark/>
          </w:tcPr>
          <w:p w14:paraId="1D6A3AA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2</w:t>
            </w:r>
          </w:p>
        </w:tc>
        <w:tc>
          <w:tcPr>
            <w:tcW w:w="1260" w:type="dxa"/>
            <w:noWrap/>
            <w:hideMark/>
          </w:tcPr>
          <w:p w14:paraId="0F57FC2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3.0%</w:t>
            </w:r>
          </w:p>
        </w:tc>
        <w:tc>
          <w:tcPr>
            <w:tcW w:w="1242" w:type="dxa"/>
            <w:noWrap/>
            <w:hideMark/>
          </w:tcPr>
          <w:p w14:paraId="3D70E01F"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0.4</w:t>
            </w:r>
          </w:p>
        </w:tc>
      </w:tr>
      <w:tr w:rsidR="00036582" w:rsidRPr="00216DC8" w14:paraId="157E8D1B"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D5F6D72" w14:textId="77777777" w:rsidR="002861C5" w:rsidRPr="001E0B5E" w:rsidRDefault="002861C5" w:rsidP="0081769E">
            <w:pPr>
              <w:rPr>
                <w:rFonts w:cstheme="majorBidi"/>
                <w:sz w:val="18"/>
                <w:szCs w:val="18"/>
              </w:rPr>
            </w:pPr>
          </w:p>
        </w:tc>
        <w:tc>
          <w:tcPr>
            <w:tcW w:w="0" w:type="auto"/>
            <w:hideMark/>
          </w:tcPr>
          <w:p w14:paraId="10F67393"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Radiofrequency</w:t>
            </w:r>
          </w:p>
        </w:tc>
        <w:tc>
          <w:tcPr>
            <w:tcW w:w="997" w:type="dxa"/>
            <w:noWrap/>
            <w:hideMark/>
          </w:tcPr>
          <w:p w14:paraId="59BC9AFA"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w:t>
            </w:r>
          </w:p>
        </w:tc>
        <w:tc>
          <w:tcPr>
            <w:tcW w:w="1038" w:type="dxa"/>
            <w:noWrap/>
            <w:hideMark/>
          </w:tcPr>
          <w:p w14:paraId="33925B16"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4.0%</w:t>
            </w:r>
          </w:p>
        </w:tc>
        <w:tc>
          <w:tcPr>
            <w:tcW w:w="810" w:type="dxa"/>
            <w:noWrap/>
            <w:hideMark/>
          </w:tcPr>
          <w:p w14:paraId="10BD34E9"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170" w:type="dxa"/>
            <w:shd w:val="clear" w:color="auto" w:fill="D9D9D9" w:themeFill="background1" w:themeFillShade="D9"/>
            <w:noWrap/>
            <w:hideMark/>
          </w:tcPr>
          <w:p w14:paraId="45A380EC"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31.0%</w:t>
            </w:r>
          </w:p>
        </w:tc>
        <w:tc>
          <w:tcPr>
            <w:tcW w:w="900" w:type="dxa"/>
            <w:noWrap/>
            <w:hideMark/>
          </w:tcPr>
          <w:p w14:paraId="2C95B301"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13</w:t>
            </w:r>
          </w:p>
        </w:tc>
        <w:tc>
          <w:tcPr>
            <w:tcW w:w="1260" w:type="dxa"/>
            <w:noWrap/>
            <w:hideMark/>
          </w:tcPr>
          <w:p w14:paraId="0600FBF8"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18"/>
                <w:szCs w:val="18"/>
              </w:rPr>
            </w:pPr>
            <w:r w:rsidRPr="001E0B5E">
              <w:rPr>
                <w:rFonts w:cstheme="majorBidi"/>
                <w:sz w:val="18"/>
                <w:szCs w:val="18"/>
              </w:rPr>
              <w:t>19.4%</w:t>
            </w:r>
          </w:p>
        </w:tc>
        <w:tc>
          <w:tcPr>
            <w:tcW w:w="1242" w:type="dxa"/>
            <w:shd w:val="clear" w:color="auto" w:fill="EEECE1" w:themeFill="background2"/>
            <w:noWrap/>
            <w:hideMark/>
          </w:tcPr>
          <w:p w14:paraId="6ECEFAF5" w14:textId="77777777" w:rsidR="002861C5" w:rsidRPr="001E0B5E"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b/>
                <w:bCs/>
                <w:sz w:val="18"/>
                <w:szCs w:val="18"/>
              </w:rPr>
            </w:pPr>
            <w:r w:rsidRPr="001E0B5E">
              <w:rPr>
                <w:rFonts w:cstheme="majorBidi"/>
                <w:b/>
                <w:bCs/>
                <w:sz w:val="18"/>
                <w:szCs w:val="18"/>
              </w:rPr>
              <w:t>0.005</w:t>
            </w:r>
          </w:p>
        </w:tc>
      </w:tr>
      <w:tr w:rsidR="00036582" w:rsidRPr="00216DC8" w14:paraId="39A06165"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hideMark/>
          </w:tcPr>
          <w:p w14:paraId="32F80147" w14:textId="77777777" w:rsidR="002861C5" w:rsidRPr="00216DC8" w:rsidRDefault="002861C5" w:rsidP="0081769E">
            <w:pPr>
              <w:rPr>
                <w:rFonts w:cstheme="majorBidi"/>
                <w:sz w:val="18"/>
                <w:szCs w:val="18"/>
              </w:rPr>
            </w:pPr>
          </w:p>
        </w:tc>
        <w:tc>
          <w:tcPr>
            <w:tcW w:w="0" w:type="auto"/>
            <w:hideMark/>
          </w:tcPr>
          <w:p w14:paraId="6F55CAAB"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Sorafenib</w:t>
            </w:r>
          </w:p>
        </w:tc>
        <w:tc>
          <w:tcPr>
            <w:tcW w:w="997" w:type="dxa"/>
            <w:noWrap/>
            <w:hideMark/>
          </w:tcPr>
          <w:p w14:paraId="494D0612"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1</w:t>
            </w:r>
          </w:p>
        </w:tc>
        <w:tc>
          <w:tcPr>
            <w:tcW w:w="1038" w:type="dxa"/>
            <w:shd w:val="clear" w:color="auto" w:fill="F2F2F2" w:themeFill="background1" w:themeFillShade="F2"/>
            <w:noWrap/>
            <w:hideMark/>
          </w:tcPr>
          <w:p w14:paraId="2AEEB56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4.0%</w:t>
            </w:r>
          </w:p>
        </w:tc>
        <w:tc>
          <w:tcPr>
            <w:tcW w:w="810" w:type="dxa"/>
            <w:noWrap/>
            <w:hideMark/>
          </w:tcPr>
          <w:p w14:paraId="22B33573"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2</w:t>
            </w:r>
          </w:p>
        </w:tc>
        <w:tc>
          <w:tcPr>
            <w:tcW w:w="1170" w:type="dxa"/>
            <w:shd w:val="clear" w:color="auto" w:fill="F2F2F2" w:themeFill="background1" w:themeFillShade="F2"/>
            <w:noWrap/>
            <w:hideMark/>
          </w:tcPr>
          <w:p w14:paraId="50163340"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4.8%</w:t>
            </w:r>
          </w:p>
        </w:tc>
        <w:tc>
          <w:tcPr>
            <w:tcW w:w="900" w:type="dxa"/>
            <w:noWrap/>
            <w:hideMark/>
          </w:tcPr>
          <w:p w14:paraId="7EB8FA1C"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3</w:t>
            </w:r>
          </w:p>
        </w:tc>
        <w:tc>
          <w:tcPr>
            <w:tcW w:w="1260" w:type="dxa"/>
            <w:noWrap/>
            <w:hideMark/>
          </w:tcPr>
          <w:p w14:paraId="195FF88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4.5%</w:t>
            </w:r>
          </w:p>
        </w:tc>
        <w:tc>
          <w:tcPr>
            <w:tcW w:w="1242" w:type="dxa"/>
            <w:noWrap/>
            <w:hideMark/>
          </w:tcPr>
          <w:p w14:paraId="11CE7D0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0.4</w:t>
            </w:r>
          </w:p>
        </w:tc>
      </w:tr>
      <w:tr w:rsidR="00036582" w:rsidRPr="00216DC8" w14:paraId="6407577D" w14:textId="77777777" w:rsidTr="001E0B5E">
        <w:trPr>
          <w:trHeight w:val="288"/>
        </w:trPr>
        <w:tc>
          <w:tcPr>
            <w:cnfStyle w:val="001000000000" w:firstRow="0" w:lastRow="0" w:firstColumn="1" w:lastColumn="0" w:oddVBand="0" w:evenVBand="0" w:oddHBand="0" w:evenHBand="0" w:firstRowFirstColumn="0" w:firstRowLastColumn="0" w:lastRowFirstColumn="0" w:lastRowLastColumn="0"/>
            <w:tcW w:w="1809" w:type="dxa"/>
            <w:vMerge/>
            <w:tcBorders>
              <w:bottom w:val="single" w:sz="4" w:space="0" w:color="auto"/>
            </w:tcBorders>
            <w:hideMark/>
          </w:tcPr>
          <w:p w14:paraId="58C53B54" w14:textId="77777777" w:rsidR="002861C5" w:rsidRPr="00216DC8" w:rsidRDefault="002861C5" w:rsidP="0081769E">
            <w:pPr>
              <w:rPr>
                <w:rFonts w:cstheme="majorBidi"/>
                <w:sz w:val="18"/>
                <w:szCs w:val="18"/>
              </w:rPr>
            </w:pPr>
          </w:p>
        </w:tc>
        <w:tc>
          <w:tcPr>
            <w:tcW w:w="0" w:type="auto"/>
            <w:tcBorders>
              <w:bottom w:val="single" w:sz="4" w:space="0" w:color="auto"/>
            </w:tcBorders>
            <w:hideMark/>
          </w:tcPr>
          <w:p w14:paraId="2181E4F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TACE</w:t>
            </w:r>
          </w:p>
        </w:tc>
        <w:tc>
          <w:tcPr>
            <w:tcW w:w="997" w:type="dxa"/>
            <w:tcBorders>
              <w:bottom w:val="single" w:sz="4" w:space="0" w:color="auto"/>
            </w:tcBorders>
            <w:noWrap/>
            <w:hideMark/>
          </w:tcPr>
          <w:p w14:paraId="0F3A0E09"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1</w:t>
            </w:r>
          </w:p>
        </w:tc>
        <w:tc>
          <w:tcPr>
            <w:tcW w:w="1038" w:type="dxa"/>
            <w:tcBorders>
              <w:bottom w:val="single" w:sz="4" w:space="0" w:color="auto"/>
            </w:tcBorders>
            <w:shd w:val="clear" w:color="auto" w:fill="F2F2F2" w:themeFill="background1" w:themeFillShade="F2"/>
            <w:noWrap/>
            <w:hideMark/>
          </w:tcPr>
          <w:p w14:paraId="4139201F"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4.0%</w:t>
            </w:r>
          </w:p>
        </w:tc>
        <w:tc>
          <w:tcPr>
            <w:tcW w:w="810" w:type="dxa"/>
            <w:tcBorders>
              <w:bottom w:val="single" w:sz="4" w:space="0" w:color="auto"/>
            </w:tcBorders>
            <w:noWrap/>
            <w:hideMark/>
          </w:tcPr>
          <w:p w14:paraId="47922F96"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3</w:t>
            </w:r>
          </w:p>
        </w:tc>
        <w:tc>
          <w:tcPr>
            <w:tcW w:w="1170" w:type="dxa"/>
            <w:tcBorders>
              <w:bottom w:val="single" w:sz="4" w:space="0" w:color="auto"/>
            </w:tcBorders>
            <w:shd w:val="clear" w:color="auto" w:fill="F2F2F2" w:themeFill="background1" w:themeFillShade="F2"/>
            <w:noWrap/>
            <w:hideMark/>
          </w:tcPr>
          <w:p w14:paraId="4E385DAA"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7.1%</w:t>
            </w:r>
          </w:p>
        </w:tc>
        <w:tc>
          <w:tcPr>
            <w:tcW w:w="900" w:type="dxa"/>
            <w:tcBorders>
              <w:bottom w:val="single" w:sz="4" w:space="0" w:color="auto"/>
            </w:tcBorders>
            <w:noWrap/>
            <w:hideMark/>
          </w:tcPr>
          <w:p w14:paraId="636E2A3B"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4</w:t>
            </w:r>
          </w:p>
        </w:tc>
        <w:tc>
          <w:tcPr>
            <w:tcW w:w="1260" w:type="dxa"/>
            <w:tcBorders>
              <w:bottom w:val="single" w:sz="4" w:space="0" w:color="auto"/>
            </w:tcBorders>
            <w:noWrap/>
            <w:hideMark/>
          </w:tcPr>
          <w:p w14:paraId="145713B8" w14:textId="77777777" w:rsidR="002861C5" w:rsidRPr="00036582" w:rsidRDefault="002861C5" w:rsidP="0081769E">
            <w:pP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6.0%</w:t>
            </w:r>
          </w:p>
        </w:tc>
        <w:tc>
          <w:tcPr>
            <w:tcW w:w="1242" w:type="dxa"/>
            <w:tcBorders>
              <w:bottom w:val="single" w:sz="4" w:space="0" w:color="auto"/>
            </w:tcBorders>
            <w:noWrap/>
            <w:hideMark/>
          </w:tcPr>
          <w:p w14:paraId="6B9C3E1A" w14:textId="77777777" w:rsidR="002861C5" w:rsidRPr="00036582" w:rsidRDefault="002861C5" w:rsidP="00BE14CB">
            <w:pPr>
              <w:keepNext/>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036582">
              <w:rPr>
                <w:rFonts w:cstheme="majorBidi"/>
                <w:sz w:val="20"/>
                <w:szCs w:val="20"/>
              </w:rPr>
              <w:t>0.3</w:t>
            </w:r>
          </w:p>
        </w:tc>
      </w:tr>
    </w:tbl>
    <w:p w14:paraId="39B203EB" w14:textId="562D89DB" w:rsidR="00BE14CB" w:rsidRDefault="00BE14CB" w:rsidP="00BE14CB">
      <w:pPr>
        <w:pStyle w:val="Caption"/>
        <w:framePr w:w="8559" w:h="299" w:hRule="exact" w:hSpace="180" w:wrap="around" w:vAnchor="text" w:hAnchor="page" w:x="2299" w:y="380"/>
        <w:suppressOverlap/>
      </w:pPr>
      <w:r>
        <w:t xml:space="preserve">Variables were expressed as numbers and </w:t>
      </w:r>
      <w:r w:rsidRPr="00BE14CB">
        <w:t>percentages and compared using the Chi-square X2 test.</w:t>
      </w:r>
      <w:r>
        <w:t xml:space="preserve"> </w:t>
      </w:r>
    </w:p>
    <w:p w14:paraId="4EC7483D" w14:textId="77777777" w:rsidR="00C73146" w:rsidRDefault="00C73146" w:rsidP="00634ACA">
      <w:pPr>
        <w:pStyle w:val="NoSpacing"/>
        <w:jc w:val="both"/>
        <w:rPr>
          <w:b/>
          <w:bCs/>
        </w:rPr>
      </w:pPr>
      <w:bookmarkStart w:id="7" w:name="_Hlk83430678"/>
      <w:bookmarkStart w:id="8" w:name="_Hlk108656433"/>
      <w:bookmarkStart w:id="9" w:name="_Hlk79175225"/>
    </w:p>
    <w:p w14:paraId="107438DE" w14:textId="35245B17" w:rsidR="00E325AE" w:rsidRPr="00761549" w:rsidRDefault="00E325AE" w:rsidP="00634ACA">
      <w:pPr>
        <w:pStyle w:val="NoSpacing"/>
        <w:jc w:val="both"/>
        <w:rPr>
          <w:b/>
          <w:bCs/>
          <w:sz w:val="24"/>
          <w:szCs w:val="24"/>
        </w:rPr>
      </w:pPr>
      <w:r w:rsidRPr="00761549">
        <w:rPr>
          <w:b/>
          <w:bCs/>
          <w:sz w:val="24"/>
          <w:szCs w:val="24"/>
        </w:rPr>
        <w:t>Discussion</w:t>
      </w:r>
    </w:p>
    <w:p w14:paraId="55B65811" w14:textId="064EA1B2" w:rsidR="00E325AE" w:rsidRPr="001020E4" w:rsidRDefault="00E325AE" w:rsidP="000648F9">
      <w:pPr>
        <w:pStyle w:val="NoSpacing"/>
        <w:jc w:val="both"/>
        <w:rPr>
          <w:rFonts w:asciiTheme="majorBidi" w:hAnsiTheme="majorBidi"/>
          <w:sz w:val="24"/>
          <w:szCs w:val="24"/>
        </w:rPr>
      </w:pPr>
      <w:r w:rsidRPr="001020E4">
        <w:rPr>
          <w:rFonts w:asciiTheme="majorBidi" w:hAnsiTheme="majorBidi"/>
          <w:sz w:val="24"/>
          <w:szCs w:val="24"/>
        </w:rPr>
        <w:t xml:space="preserve">HCV infection is a leading cause of chronic liver disease and hepatocellular cancer (HCC). Hepatocellular carcinoma (HCC) is prevalent worldwide and </w:t>
      </w:r>
      <w:r w:rsidR="00736A4B" w:rsidRPr="001020E4">
        <w:rPr>
          <w:rFonts w:asciiTheme="majorBidi" w:hAnsiTheme="majorBidi"/>
          <w:sz w:val="24"/>
          <w:szCs w:val="24"/>
        </w:rPr>
        <w:t xml:space="preserve">in </w:t>
      </w:r>
      <w:r w:rsidRPr="001020E4">
        <w:rPr>
          <w:rFonts w:asciiTheme="majorBidi" w:hAnsiTheme="majorBidi"/>
          <w:sz w:val="24"/>
          <w:szCs w:val="24"/>
        </w:rPr>
        <w:t xml:space="preserve">Egypt. </w:t>
      </w:r>
      <w:r w:rsidR="000648F9" w:rsidRPr="001020E4">
        <w:rPr>
          <w:rFonts w:asciiTheme="majorBidi" w:hAnsiTheme="majorBidi"/>
          <w:sz w:val="24"/>
          <w:szCs w:val="24"/>
        </w:rPr>
        <w:t> Egypt ranks the third and 15</w:t>
      </w:r>
      <w:r w:rsidR="000648F9" w:rsidRPr="001020E4">
        <w:rPr>
          <w:rFonts w:asciiTheme="majorBidi" w:hAnsiTheme="majorBidi"/>
          <w:sz w:val="24"/>
          <w:szCs w:val="24"/>
          <w:vertAlign w:val="superscript"/>
        </w:rPr>
        <w:t>th</w:t>
      </w:r>
      <w:r w:rsidR="000648F9" w:rsidRPr="001020E4">
        <w:rPr>
          <w:rFonts w:asciiTheme="majorBidi" w:hAnsiTheme="majorBidi"/>
          <w:sz w:val="24"/>
          <w:szCs w:val="24"/>
        </w:rPr>
        <w:t xml:space="preserve"> most populous in Africa and worldwide, respectively.  </w:t>
      </w:r>
      <w:r w:rsidR="00CF6F37" w:rsidRPr="001020E4">
        <w:rPr>
          <w:rFonts w:asciiTheme="majorBidi" w:hAnsiTheme="majorBidi"/>
          <w:sz w:val="24"/>
          <w:szCs w:val="24"/>
        </w:rPr>
        <w:t>[9].</w:t>
      </w:r>
      <w:r w:rsidR="00CF6F37" w:rsidRPr="001020E4">
        <w:rPr>
          <w:rFonts w:asciiTheme="majorBidi" w:hAnsiTheme="majorBidi"/>
          <w:color w:val="333333"/>
          <w:sz w:val="24"/>
          <w:szCs w:val="24"/>
          <w:shd w:val="clear" w:color="auto" w:fill="FCFCFC"/>
        </w:rPr>
        <w:t xml:space="preserve"> </w:t>
      </w:r>
      <w:r w:rsidRPr="001020E4">
        <w:rPr>
          <w:rFonts w:asciiTheme="majorBidi" w:hAnsiTheme="majorBidi"/>
          <w:sz w:val="24"/>
          <w:szCs w:val="24"/>
        </w:rPr>
        <w:t xml:space="preserve">Even though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are associated with higher SVR, there is still debate concerning the relationship between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and </w:t>
      </w:r>
      <w:r w:rsidR="004A0671" w:rsidRPr="001020E4">
        <w:rPr>
          <w:rFonts w:asciiTheme="majorBidi" w:hAnsiTheme="majorBidi"/>
          <w:sz w:val="24"/>
          <w:szCs w:val="24"/>
        </w:rPr>
        <w:t>the development, recurrence,</w:t>
      </w:r>
      <w:r w:rsidRPr="001020E4">
        <w:rPr>
          <w:rFonts w:asciiTheme="majorBidi" w:hAnsiTheme="majorBidi"/>
          <w:sz w:val="24"/>
          <w:szCs w:val="24"/>
        </w:rPr>
        <w:t xml:space="preserve"> morphological</w:t>
      </w:r>
      <w:r w:rsidR="004A0671" w:rsidRPr="001020E4">
        <w:rPr>
          <w:rFonts w:asciiTheme="majorBidi" w:hAnsiTheme="majorBidi"/>
          <w:sz w:val="24"/>
          <w:szCs w:val="24"/>
        </w:rPr>
        <w:t>,</w:t>
      </w:r>
      <w:r w:rsidRPr="001020E4">
        <w:rPr>
          <w:rFonts w:asciiTheme="majorBidi" w:hAnsiTheme="majorBidi"/>
          <w:sz w:val="24"/>
          <w:szCs w:val="24"/>
        </w:rPr>
        <w:t xml:space="preserve"> and clinical characteristics of de novo HCC</w:t>
      </w:r>
      <w:r w:rsidR="00CF6F37" w:rsidRPr="001020E4">
        <w:rPr>
          <w:rFonts w:asciiTheme="majorBidi" w:hAnsiTheme="majorBidi"/>
          <w:sz w:val="24"/>
          <w:szCs w:val="24"/>
        </w:rPr>
        <w:t xml:space="preserve"> [10, 11].</w:t>
      </w:r>
      <w:r w:rsidRPr="001020E4">
        <w:rPr>
          <w:rFonts w:asciiTheme="majorBidi" w:hAnsiTheme="majorBidi"/>
          <w:sz w:val="24"/>
          <w:szCs w:val="24"/>
        </w:rPr>
        <w:t xml:space="preserve"> Our goal was to </w:t>
      </w:r>
      <w:r w:rsidR="00333C82" w:rsidRPr="001020E4">
        <w:rPr>
          <w:rFonts w:asciiTheme="majorBidi" w:hAnsiTheme="majorBidi"/>
          <w:sz w:val="24"/>
          <w:szCs w:val="24"/>
        </w:rPr>
        <w:t>study</w:t>
      </w:r>
      <w:r w:rsidRPr="001020E4">
        <w:rPr>
          <w:rFonts w:asciiTheme="majorBidi" w:hAnsiTheme="majorBidi"/>
          <w:sz w:val="24"/>
          <w:szCs w:val="24"/>
        </w:rPr>
        <w:t xml:space="preserve"> the </w:t>
      </w:r>
      <w:r w:rsidR="00023684" w:rsidRPr="001020E4">
        <w:rPr>
          <w:rFonts w:asciiTheme="majorBidi" w:hAnsiTheme="majorBidi"/>
          <w:sz w:val="24"/>
          <w:szCs w:val="24"/>
        </w:rPr>
        <w:t>factors</w:t>
      </w:r>
      <w:r w:rsidRPr="001020E4">
        <w:rPr>
          <w:rFonts w:asciiTheme="majorBidi" w:hAnsiTheme="majorBidi"/>
          <w:sz w:val="24"/>
          <w:szCs w:val="24"/>
        </w:rPr>
        <w:t xml:space="preserve"> of HCC associated with direct antiviral treatments for hepatitis C infection.</w:t>
      </w:r>
    </w:p>
    <w:p w14:paraId="4F5D5F96" w14:textId="3B2EE6A6" w:rsidR="00E325AE" w:rsidRPr="001020E4" w:rsidRDefault="00E325AE" w:rsidP="00834507">
      <w:pPr>
        <w:pStyle w:val="NoSpacing"/>
        <w:jc w:val="both"/>
        <w:rPr>
          <w:rFonts w:asciiTheme="majorBidi" w:hAnsiTheme="majorBidi"/>
          <w:sz w:val="24"/>
          <w:szCs w:val="24"/>
        </w:rPr>
      </w:pPr>
      <w:r w:rsidRPr="001020E4">
        <w:rPr>
          <w:rFonts w:asciiTheme="majorBidi" w:eastAsia="SimSun" w:hAnsiTheme="majorBidi"/>
          <w:sz w:val="24"/>
          <w:szCs w:val="24"/>
          <w:lang w:eastAsia="zh-CN"/>
        </w:rPr>
        <w:t xml:space="preserve">The study enrolled 67 patients with HCC, divided into two groups according to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therapy or not. Group I included 25 HCC patients not treated by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000648F9" w:rsidRPr="001020E4">
        <w:rPr>
          <w:rFonts w:asciiTheme="majorBidi" w:eastAsia="SimSun" w:hAnsiTheme="majorBidi"/>
          <w:sz w:val="24"/>
          <w:szCs w:val="24"/>
          <w:lang w:eastAsia="zh-CN"/>
        </w:rPr>
        <w:t>,</w:t>
      </w:r>
      <w:r w:rsidRPr="001020E4">
        <w:rPr>
          <w:rFonts w:asciiTheme="majorBidi" w:eastAsia="SimSun" w:hAnsiTheme="majorBidi"/>
          <w:sz w:val="24"/>
          <w:szCs w:val="24"/>
          <w:lang w:eastAsia="zh-CN"/>
        </w:rPr>
        <w:t xml:space="preserve"> and group II included 42 patients previously treated by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and gained SVR, all the patients were HCC naive. The studied population with HCC showed male </w:t>
      </w:r>
      <w:r w:rsidRPr="001020E4">
        <w:rPr>
          <w:rFonts w:asciiTheme="majorBidi" w:hAnsiTheme="majorBidi"/>
          <w:sz w:val="24"/>
          <w:szCs w:val="24"/>
        </w:rPr>
        <w:t>predominan</w:t>
      </w:r>
      <w:r w:rsidR="00333C82" w:rsidRPr="001020E4">
        <w:rPr>
          <w:rFonts w:asciiTheme="majorBidi" w:hAnsiTheme="majorBidi"/>
          <w:sz w:val="24"/>
          <w:szCs w:val="24"/>
        </w:rPr>
        <w:t>ce</w:t>
      </w:r>
      <w:r w:rsidRPr="001020E4">
        <w:rPr>
          <w:rFonts w:asciiTheme="majorBidi" w:hAnsiTheme="majorBidi"/>
          <w:sz w:val="24"/>
          <w:szCs w:val="24"/>
        </w:rPr>
        <w:t xml:space="preserve"> 77</w:t>
      </w:r>
      <w:r w:rsidRPr="001020E4">
        <w:rPr>
          <w:rFonts w:asciiTheme="majorBidi" w:eastAsia="SimSun" w:hAnsiTheme="majorBidi"/>
          <w:sz w:val="24"/>
          <w:szCs w:val="24"/>
          <w:lang w:eastAsia="zh-CN"/>
        </w:rPr>
        <w:t xml:space="preserve">.6% with </w:t>
      </w:r>
      <w:r w:rsidR="000648F9" w:rsidRPr="001020E4">
        <w:rPr>
          <w:rFonts w:asciiTheme="majorBidi" w:eastAsia="SimSun" w:hAnsiTheme="majorBidi"/>
          <w:sz w:val="24"/>
          <w:szCs w:val="24"/>
          <w:lang w:eastAsia="zh-CN"/>
        </w:rPr>
        <w:t xml:space="preserve">an </w:t>
      </w:r>
      <w:r w:rsidRPr="001020E4">
        <w:rPr>
          <w:rFonts w:asciiTheme="majorBidi" w:eastAsia="SimSun" w:hAnsiTheme="majorBidi"/>
          <w:sz w:val="24"/>
          <w:szCs w:val="24"/>
          <w:lang w:eastAsia="zh-CN"/>
        </w:rPr>
        <w:t xml:space="preserve">age range </w:t>
      </w:r>
      <w:r w:rsidR="00584726" w:rsidRPr="001020E4">
        <w:rPr>
          <w:rFonts w:asciiTheme="majorBidi" w:eastAsia="SimSun" w:hAnsiTheme="majorBidi"/>
          <w:sz w:val="24"/>
          <w:szCs w:val="24"/>
          <w:lang w:eastAsia="zh-CN"/>
        </w:rPr>
        <w:t xml:space="preserve">of </w:t>
      </w:r>
      <w:r w:rsidRPr="001020E4">
        <w:rPr>
          <w:rFonts w:asciiTheme="majorBidi" w:eastAsia="SimSun" w:hAnsiTheme="majorBidi"/>
          <w:sz w:val="24"/>
          <w:szCs w:val="24"/>
          <w:lang w:eastAsia="zh-CN"/>
        </w:rPr>
        <w:t xml:space="preserve">45-83 years. Fatima </w:t>
      </w:r>
      <w:r w:rsidR="00584726" w:rsidRPr="001020E4">
        <w:rPr>
          <w:rFonts w:asciiTheme="majorBidi" w:eastAsia="SimSun" w:hAnsiTheme="majorBidi"/>
          <w:sz w:val="24"/>
          <w:szCs w:val="24"/>
          <w:lang w:eastAsia="zh-CN"/>
        </w:rPr>
        <w:t>et al.</w:t>
      </w:r>
      <w:r w:rsidRPr="001020E4">
        <w:rPr>
          <w:rFonts w:asciiTheme="majorBidi" w:eastAsia="SimSun" w:hAnsiTheme="majorBidi"/>
          <w:sz w:val="24"/>
          <w:szCs w:val="24"/>
          <w:lang w:eastAsia="zh-CN"/>
        </w:rPr>
        <w:t xml:space="preserve"> 2020</w:t>
      </w:r>
      <w:r w:rsidR="00DF7B2E" w:rsidRPr="001020E4">
        <w:rPr>
          <w:rFonts w:asciiTheme="majorBidi" w:eastAsia="SimSun" w:hAnsiTheme="majorBidi"/>
          <w:sz w:val="24"/>
          <w:szCs w:val="24"/>
          <w:lang w:eastAsia="zh-CN"/>
        </w:rPr>
        <w:t xml:space="preserve"> [6]</w:t>
      </w:r>
      <w:r w:rsidRPr="001020E4">
        <w:rPr>
          <w:rFonts w:asciiTheme="majorBidi" w:eastAsia="SimSun" w:hAnsiTheme="majorBidi"/>
          <w:sz w:val="24"/>
          <w:szCs w:val="24"/>
          <w:lang w:eastAsia="zh-CN"/>
        </w:rPr>
        <w:t xml:space="preserve"> recorded that 62% of the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patients were men</w:t>
      </w:r>
      <w:r w:rsidR="0058548D" w:rsidRPr="001020E4">
        <w:rPr>
          <w:rFonts w:asciiTheme="majorBidi" w:eastAsia="SimSun" w:hAnsiTheme="majorBidi"/>
          <w:sz w:val="24"/>
          <w:szCs w:val="24"/>
          <w:lang w:eastAsia="zh-CN"/>
        </w:rPr>
        <w:t>. Moreover,</w:t>
      </w:r>
      <w:r w:rsidRPr="001020E4">
        <w:rPr>
          <w:rFonts w:asciiTheme="majorBidi" w:eastAsia="SimSun" w:hAnsiTheme="majorBidi"/>
          <w:sz w:val="24"/>
          <w:szCs w:val="24"/>
          <w:lang w:eastAsia="zh-CN"/>
        </w:rPr>
        <w:t xml:space="preserve"> </w:t>
      </w:r>
      <w:r w:rsidR="004A0671" w:rsidRPr="001020E4">
        <w:rPr>
          <w:rFonts w:asciiTheme="majorBidi" w:eastAsia="SimSun" w:hAnsiTheme="majorBidi"/>
          <w:sz w:val="24"/>
          <w:szCs w:val="24"/>
          <w:lang w:eastAsia="zh-CN"/>
        </w:rPr>
        <w:t>t</w:t>
      </w:r>
      <w:r w:rsidRPr="001020E4">
        <w:rPr>
          <w:rFonts w:asciiTheme="majorBidi" w:eastAsia="SimSun" w:hAnsiTheme="majorBidi"/>
          <w:sz w:val="24"/>
          <w:szCs w:val="24"/>
          <w:lang w:eastAsia="zh-CN"/>
        </w:rPr>
        <w:t xml:space="preserve">he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group had more patients in the 40–60 age range, whereas the </w:t>
      </w:r>
      <w:r w:rsidR="004E055F" w:rsidRPr="001020E4">
        <w:rPr>
          <w:rFonts w:asciiTheme="majorBidi" w:hAnsiTheme="majorBidi"/>
          <w:sz w:val="24"/>
          <w:szCs w:val="24"/>
        </w:rPr>
        <w:t>(Pegylated Interferon)</w:t>
      </w:r>
      <w:r w:rsidR="004E055F" w:rsidRPr="001020E4">
        <w:rPr>
          <w:rFonts w:asciiTheme="majorBidi" w:eastAsia="SimSun" w:hAnsiTheme="majorBidi"/>
          <w:sz w:val="24"/>
          <w:szCs w:val="24"/>
          <w:lang w:eastAsia="zh-CN"/>
        </w:rPr>
        <w:t xml:space="preserve"> </w:t>
      </w:r>
      <w:r w:rsidRPr="001020E4">
        <w:rPr>
          <w:rFonts w:asciiTheme="majorBidi" w:eastAsia="SimSun" w:hAnsiTheme="majorBidi"/>
          <w:sz w:val="24"/>
          <w:szCs w:val="24"/>
          <w:lang w:eastAsia="zh-CN"/>
        </w:rPr>
        <w:t xml:space="preserve">PI group had more patients over 60. </w:t>
      </w:r>
      <w:r w:rsidR="004A0671" w:rsidRPr="001020E4">
        <w:rPr>
          <w:rFonts w:asciiTheme="majorBidi" w:eastAsia="SimSun" w:hAnsiTheme="majorBidi"/>
          <w:sz w:val="24"/>
          <w:szCs w:val="24"/>
          <w:lang w:eastAsia="zh-CN"/>
        </w:rPr>
        <w:t>In our study, t</w:t>
      </w:r>
      <w:r w:rsidRPr="001020E4">
        <w:rPr>
          <w:rFonts w:asciiTheme="majorBidi" w:eastAsia="SimSun" w:hAnsiTheme="majorBidi"/>
          <w:sz w:val="24"/>
          <w:szCs w:val="24"/>
          <w:lang w:eastAsia="zh-CN"/>
        </w:rPr>
        <w:t xml:space="preserve">he HCC </w:t>
      </w:r>
      <w:r w:rsidR="0058548D" w:rsidRPr="001020E4">
        <w:rPr>
          <w:rFonts w:asciiTheme="majorBidi" w:eastAsia="SimSun" w:hAnsiTheme="majorBidi"/>
          <w:sz w:val="24"/>
          <w:szCs w:val="24"/>
          <w:lang w:eastAsia="zh-CN"/>
        </w:rPr>
        <w:t>post-DAAs</w:t>
      </w:r>
      <w:r w:rsidRPr="001020E4">
        <w:rPr>
          <w:rFonts w:asciiTheme="majorBidi" w:eastAsia="SimSun" w:hAnsiTheme="majorBidi"/>
          <w:sz w:val="24"/>
          <w:szCs w:val="24"/>
          <w:lang w:eastAsia="zh-CN"/>
        </w:rPr>
        <w:t xml:space="preserve"> </w:t>
      </w:r>
      <w:r w:rsidR="00534E17" w:rsidRPr="001020E4">
        <w:rPr>
          <w:rFonts w:asciiTheme="majorBidi" w:eastAsia="SimSun" w:hAnsiTheme="majorBidi"/>
          <w:sz w:val="24"/>
          <w:szCs w:val="24"/>
          <w:lang w:eastAsia="zh-CN"/>
        </w:rPr>
        <w:t xml:space="preserve">prevalence </w:t>
      </w:r>
      <w:r w:rsidRPr="001020E4">
        <w:rPr>
          <w:rFonts w:asciiTheme="majorBidi" w:eastAsia="SimSun" w:hAnsiTheme="majorBidi"/>
          <w:sz w:val="24"/>
          <w:szCs w:val="24"/>
          <w:lang w:eastAsia="zh-CN"/>
        </w:rPr>
        <w:t xml:space="preserve">was 62.7%, while </w:t>
      </w:r>
      <w:r w:rsidR="00023684" w:rsidRPr="001020E4">
        <w:rPr>
          <w:rFonts w:asciiTheme="majorBidi" w:eastAsia="SimSun" w:hAnsiTheme="majorBidi"/>
          <w:sz w:val="24"/>
          <w:szCs w:val="24"/>
          <w:lang w:eastAsia="zh-CN"/>
        </w:rPr>
        <w:t xml:space="preserve">it </w:t>
      </w:r>
      <w:r w:rsidRPr="001020E4">
        <w:rPr>
          <w:rFonts w:asciiTheme="majorBidi" w:eastAsia="SimSun" w:hAnsiTheme="majorBidi"/>
          <w:sz w:val="24"/>
          <w:szCs w:val="24"/>
          <w:lang w:eastAsia="zh-CN"/>
        </w:rPr>
        <w:t xml:space="preserve">was 37.7% in </w:t>
      </w:r>
      <w:r w:rsidR="0058548D" w:rsidRPr="001020E4">
        <w:rPr>
          <w:rFonts w:asciiTheme="majorBidi" w:eastAsia="SimSun" w:hAnsiTheme="majorBidi"/>
          <w:sz w:val="24"/>
          <w:szCs w:val="24"/>
          <w:lang w:eastAsia="zh-CN"/>
        </w:rPr>
        <w:t xml:space="preserve">the </w:t>
      </w:r>
      <w:r w:rsidRPr="001020E4">
        <w:rPr>
          <w:rFonts w:asciiTheme="majorBidi" w:eastAsia="SimSun" w:hAnsiTheme="majorBidi"/>
          <w:sz w:val="24"/>
          <w:szCs w:val="24"/>
          <w:lang w:eastAsia="zh-CN"/>
        </w:rPr>
        <w:t xml:space="preserve">group without </w:t>
      </w:r>
      <w:r w:rsidR="006136F5" w:rsidRPr="001020E4">
        <w:rPr>
          <w:rFonts w:asciiTheme="majorBidi" w:eastAsia="SimSun" w:hAnsiTheme="majorBidi"/>
          <w:sz w:val="24"/>
          <w:szCs w:val="24"/>
          <w:lang w:eastAsia="zh-CN"/>
        </w:rPr>
        <w:t>DAA</w:t>
      </w:r>
      <w:r w:rsidR="00834507" w:rsidRPr="001020E4">
        <w:rPr>
          <w:rFonts w:asciiTheme="majorBidi" w:eastAsia="SimSun" w:hAnsiTheme="majorBidi"/>
          <w:sz w:val="24"/>
          <w:szCs w:val="24"/>
          <w:lang w:eastAsia="zh-CN"/>
        </w:rPr>
        <w:t>s</w:t>
      </w:r>
      <w:r w:rsidRPr="001020E4">
        <w:rPr>
          <w:rFonts w:asciiTheme="majorBidi" w:eastAsia="SimSun" w:hAnsiTheme="majorBidi"/>
          <w:sz w:val="24"/>
          <w:szCs w:val="24"/>
          <w:lang w:eastAsia="zh-CN"/>
        </w:rPr>
        <w:t xml:space="preserve"> (Table 1), </w:t>
      </w:r>
      <w:r w:rsidRPr="001020E4">
        <w:rPr>
          <w:rFonts w:asciiTheme="majorBidi" w:hAnsiTheme="majorBidi"/>
          <w:sz w:val="24"/>
          <w:szCs w:val="24"/>
        </w:rPr>
        <w:t>which ca</w:t>
      </w:r>
      <w:r w:rsidR="004E055F" w:rsidRPr="001020E4">
        <w:rPr>
          <w:rFonts w:asciiTheme="majorBidi" w:hAnsiTheme="majorBidi"/>
          <w:sz w:val="24"/>
          <w:szCs w:val="24"/>
        </w:rPr>
        <w:t xml:space="preserve">n be explained by the </w:t>
      </w:r>
      <w:r w:rsidR="006136F5" w:rsidRPr="001020E4">
        <w:rPr>
          <w:rFonts w:asciiTheme="majorBidi" w:hAnsiTheme="majorBidi"/>
          <w:sz w:val="24"/>
          <w:szCs w:val="24"/>
        </w:rPr>
        <w:t>DAA</w:t>
      </w:r>
      <w:r w:rsidR="00834507" w:rsidRPr="001020E4">
        <w:rPr>
          <w:rFonts w:asciiTheme="majorBidi" w:hAnsiTheme="majorBidi"/>
          <w:sz w:val="24"/>
          <w:szCs w:val="24"/>
        </w:rPr>
        <w:t>s</w:t>
      </w:r>
      <w:r w:rsidRPr="001020E4">
        <w:rPr>
          <w:rFonts w:asciiTheme="majorBidi" w:hAnsiTheme="majorBidi"/>
          <w:sz w:val="24"/>
          <w:szCs w:val="24"/>
        </w:rPr>
        <w:t xml:space="preserve"> era for the treatment of HCV patients</w:t>
      </w:r>
      <w:r w:rsidR="004A0671" w:rsidRPr="001020E4">
        <w:rPr>
          <w:rFonts w:asciiTheme="majorBidi" w:hAnsiTheme="majorBidi"/>
          <w:sz w:val="24"/>
          <w:szCs w:val="24"/>
        </w:rPr>
        <w:t xml:space="preserve"> in Egypt</w:t>
      </w:r>
      <w:r w:rsidR="00534E17" w:rsidRPr="001020E4">
        <w:rPr>
          <w:rFonts w:asciiTheme="majorBidi" w:hAnsiTheme="majorBidi"/>
          <w:sz w:val="24"/>
          <w:szCs w:val="24"/>
        </w:rPr>
        <w:t xml:space="preserve"> </w:t>
      </w:r>
      <w:r w:rsidR="0058548D" w:rsidRPr="001020E4">
        <w:rPr>
          <w:rFonts w:asciiTheme="majorBidi" w:hAnsiTheme="majorBidi"/>
          <w:sz w:val="24"/>
          <w:szCs w:val="24"/>
        </w:rPr>
        <w:t>in</w:t>
      </w:r>
      <w:r w:rsidR="00534E17" w:rsidRPr="001020E4">
        <w:rPr>
          <w:rFonts w:asciiTheme="majorBidi" w:hAnsiTheme="majorBidi"/>
          <w:sz w:val="24"/>
          <w:szCs w:val="24"/>
        </w:rPr>
        <w:t xml:space="preserve"> the last years</w:t>
      </w:r>
      <w:r w:rsidRPr="001020E4">
        <w:rPr>
          <w:rFonts w:asciiTheme="majorBidi" w:hAnsiTheme="majorBidi"/>
          <w:sz w:val="24"/>
          <w:szCs w:val="24"/>
        </w:rPr>
        <w:t>.</w:t>
      </w:r>
    </w:p>
    <w:p w14:paraId="4C28EE69" w14:textId="35E31328" w:rsidR="00834507" w:rsidRPr="001020E4" w:rsidRDefault="00E325AE" w:rsidP="003C4F44">
      <w:pPr>
        <w:pStyle w:val="NoSpacing"/>
        <w:jc w:val="both"/>
        <w:rPr>
          <w:rFonts w:asciiTheme="majorBidi" w:hAnsiTheme="majorBidi"/>
          <w:sz w:val="24"/>
          <w:szCs w:val="24"/>
        </w:rPr>
      </w:pPr>
      <w:r w:rsidRPr="001020E4">
        <w:rPr>
          <w:rFonts w:asciiTheme="majorBidi" w:hAnsiTheme="majorBidi"/>
          <w:sz w:val="24"/>
          <w:szCs w:val="24"/>
        </w:rPr>
        <w:t>There was no significant difference between the two groups regarding age, sex, BMI</w:t>
      </w:r>
      <w:r w:rsidR="0058548D" w:rsidRPr="001020E4">
        <w:rPr>
          <w:rFonts w:asciiTheme="majorBidi" w:hAnsiTheme="majorBidi"/>
          <w:sz w:val="24"/>
          <w:szCs w:val="24"/>
        </w:rPr>
        <w:t>,</w:t>
      </w:r>
      <w:r w:rsidRPr="001020E4">
        <w:rPr>
          <w:rFonts w:asciiTheme="majorBidi" w:hAnsiTheme="majorBidi"/>
          <w:sz w:val="24"/>
          <w:szCs w:val="24"/>
        </w:rPr>
        <w:t xml:space="preserve"> and diabetes mellitus</w:t>
      </w:r>
      <w:r w:rsidR="0058548D" w:rsidRPr="001020E4">
        <w:rPr>
          <w:rFonts w:asciiTheme="majorBidi" w:hAnsiTheme="majorBidi"/>
          <w:sz w:val="24"/>
          <w:szCs w:val="24"/>
        </w:rPr>
        <w:t>. El</w:t>
      </w:r>
      <w:r w:rsidRPr="001020E4">
        <w:rPr>
          <w:rFonts w:asciiTheme="majorBidi" w:hAnsiTheme="majorBidi"/>
          <w:sz w:val="24"/>
          <w:szCs w:val="24"/>
        </w:rPr>
        <w:t> Fayoumie et al., 2020</w:t>
      </w:r>
      <w:r w:rsidR="00203EB8" w:rsidRPr="001020E4">
        <w:rPr>
          <w:rFonts w:asciiTheme="majorBidi" w:hAnsiTheme="majorBidi"/>
          <w:sz w:val="24"/>
          <w:szCs w:val="24"/>
        </w:rPr>
        <w:t xml:space="preserve"> </w:t>
      </w:r>
      <w:r w:rsidR="0025058B" w:rsidRPr="001020E4">
        <w:rPr>
          <w:rFonts w:asciiTheme="majorBidi" w:hAnsiTheme="majorBidi"/>
          <w:sz w:val="24"/>
          <w:szCs w:val="24"/>
        </w:rPr>
        <w:t xml:space="preserve">[12] </w:t>
      </w:r>
      <w:r w:rsidR="00203EB8" w:rsidRPr="001020E4">
        <w:rPr>
          <w:rFonts w:asciiTheme="majorBidi" w:hAnsiTheme="majorBidi"/>
          <w:sz w:val="24"/>
          <w:szCs w:val="24"/>
        </w:rPr>
        <w:t xml:space="preserve">studied the Pattern of </w:t>
      </w:r>
      <w:r w:rsidRPr="001020E4">
        <w:rPr>
          <w:rFonts w:asciiTheme="majorBidi" w:hAnsiTheme="majorBidi"/>
          <w:sz w:val="24"/>
          <w:szCs w:val="24"/>
        </w:rPr>
        <w:t xml:space="preserve">HCC after </w:t>
      </w:r>
      <w:r w:rsidR="006136F5" w:rsidRPr="001020E4">
        <w:rPr>
          <w:rFonts w:asciiTheme="majorBidi" w:hAnsiTheme="majorBidi"/>
          <w:sz w:val="24"/>
          <w:szCs w:val="24"/>
        </w:rPr>
        <w:t>DAA</w:t>
      </w:r>
      <w:r w:rsidR="003C4F44" w:rsidRPr="001020E4">
        <w:rPr>
          <w:rFonts w:asciiTheme="majorBidi" w:hAnsiTheme="majorBidi"/>
          <w:sz w:val="24"/>
          <w:szCs w:val="24"/>
        </w:rPr>
        <w:t>s</w:t>
      </w:r>
      <w:r w:rsidR="00243124" w:rsidRPr="001020E4">
        <w:rPr>
          <w:rFonts w:asciiTheme="majorBidi" w:hAnsiTheme="majorBidi"/>
          <w:sz w:val="24"/>
          <w:szCs w:val="24"/>
        </w:rPr>
        <w:t>. They recorded that the HCC patients</w:t>
      </w:r>
      <w:r w:rsidR="0053758C">
        <w:rPr>
          <w:rFonts w:asciiTheme="majorBidi" w:hAnsiTheme="majorBidi"/>
          <w:sz w:val="24"/>
          <w:szCs w:val="24"/>
        </w:rPr>
        <w:t>'</w:t>
      </w:r>
      <w:r w:rsidR="00243124" w:rsidRPr="001020E4">
        <w:rPr>
          <w:rFonts w:asciiTheme="majorBidi" w:hAnsiTheme="majorBidi"/>
          <w:sz w:val="24"/>
          <w:szCs w:val="24"/>
        </w:rPr>
        <w:t xml:space="preserve"> mean age after DAAs treatment (59.1± 7.4years) was older than the HCC patients who did not receive DAAs medication. Still, there</w:t>
      </w:r>
      <w:r w:rsidRPr="001020E4">
        <w:rPr>
          <w:rFonts w:asciiTheme="majorBidi" w:hAnsiTheme="majorBidi"/>
          <w:sz w:val="24"/>
          <w:szCs w:val="24"/>
        </w:rPr>
        <w:t xml:space="preserve"> was not a significant variance in sex distribution between the groups. HCC </w:t>
      </w:r>
      <w:r w:rsidR="00243124" w:rsidRPr="001020E4">
        <w:rPr>
          <w:rFonts w:asciiTheme="majorBidi" w:hAnsiTheme="majorBidi"/>
          <w:sz w:val="24"/>
          <w:szCs w:val="24"/>
        </w:rPr>
        <w:t>post-DAAs</w:t>
      </w:r>
      <w:r w:rsidRPr="001020E4">
        <w:rPr>
          <w:rFonts w:asciiTheme="majorBidi" w:hAnsiTheme="majorBidi"/>
          <w:sz w:val="24"/>
          <w:szCs w:val="24"/>
        </w:rPr>
        <w:t xml:space="preserve"> </w:t>
      </w:r>
      <w:r w:rsidR="00243124" w:rsidRPr="001020E4">
        <w:rPr>
          <w:rFonts w:asciiTheme="majorBidi" w:hAnsiTheme="majorBidi"/>
          <w:sz w:val="24"/>
          <w:szCs w:val="24"/>
        </w:rPr>
        <w:t>are</w:t>
      </w:r>
      <w:r w:rsidRPr="001020E4">
        <w:rPr>
          <w:rFonts w:asciiTheme="majorBidi" w:hAnsiTheme="majorBidi"/>
          <w:sz w:val="24"/>
          <w:szCs w:val="24"/>
        </w:rPr>
        <w:t xml:space="preserve"> recorded with triple therapy (59.2%) more than the dual therapy (40.8%), while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Pr="001020E4">
        <w:rPr>
          <w:rFonts w:asciiTheme="majorBidi" w:hAnsiTheme="majorBidi"/>
          <w:sz w:val="24"/>
          <w:szCs w:val="24"/>
        </w:rPr>
        <w:t xml:space="preserve"> group with no specific antiviral management represented 84% and with PI</w:t>
      </w:r>
      <w:r w:rsidR="00834507" w:rsidRPr="001020E4">
        <w:rPr>
          <w:rFonts w:asciiTheme="majorBidi" w:hAnsiTheme="majorBidi"/>
          <w:sz w:val="24"/>
          <w:szCs w:val="24"/>
        </w:rPr>
        <w:t>/RBV</w:t>
      </w:r>
      <w:r w:rsidRPr="001020E4">
        <w:rPr>
          <w:rFonts w:asciiTheme="majorBidi" w:hAnsiTheme="majorBidi"/>
          <w:sz w:val="24"/>
          <w:szCs w:val="24"/>
        </w:rPr>
        <w:t xml:space="preserve"> was 16% (Table </w:t>
      </w:r>
      <w:r w:rsidR="003C745D" w:rsidRPr="001020E4">
        <w:rPr>
          <w:rFonts w:asciiTheme="majorBidi" w:hAnsiTheme="majorBidi"/>
          <w:sz w:val="24"/>
          <w:szCs w:val="24"/>
        </w:rPr>
        <w:t>1</w:t>
      </w:r>
      <w:r w:rsidRPr="001020E4">
        <w:rPr>
          <w:rFonts w:asciiTheme="majorBidi" w:hAnsiTheme="majorBidi"/>
          <w:sz w:val="24"/>
          <w:szCs w:val="24"/>
        </w:rPr>
        <w:t>).</w:t>
      </w:r>
    </w:p>
    <w:p w14:paraId="594F01B8" w14:textId="6ED026CE" w:rsidR="00CA0156" w:rsidRPr="001020E4" w:rsidRDefault="00834507" w:rsidP="0006542B">
      <w:pPr>
        <w:pStyle w:val="NoSpacing"/>
        <w:jc w:val="both"/>
        <w:rPr>
          <w:rFonts w:asciiTheme="majorBidi" w:hAnsiTheme="majorBidi"/>
          <w:sz w:val="24"/>
          <w:szCs w:val="24"/>
        </w:rPr>
      </w:pPr>
      <w:r w:rsidRPr="001020E4">
        <w:rPr>
          <w:rFonts w:asciiTheme="majorBidi" w:hAnsiTheme="majorBidi"/>
          <w:sz w:val="24"/>
          <w:szCs w:val="24"/>
        </w:rPr>
        <w:t>There was a significant difference between the two groups regarding the clinical presentation</w:t>
      </w:r>
      <w:r w:rsidR="00243124" w:rsidRPr="001020E4">
        <w:rPr>
          <w:rFonts w:asciiTheme="majorBidi" w:hAnsiTheme="majorBidi"/>
          <w:sz w:val="24"/>
          <w:szCs w:val="24"/>
        </w:rPr>
        <w:t>. HCC</w:t>
      </w:r>
      <w:r w:rsidRPr="001020E4">
        <w:rPr>
          <w:rFonts w:asciiTheme="majorBidi" w:hAnsiTheme="majorBidi"/>
          <w:sz w:val="24"/>
          <w:szCs w:val="24"/>
        </w:rPr>
        <w:t xml:space="preserve"> presented in </w:t>
      </w:r>
      <w:r w:rsidR="00243124" w:rsidRPr="001020E4">
        <w:rPr>
          <w:rFonts w:asciiTheme="majorBidi" w:hAnsiTheme="majorBidi"/>
          <w:sz w:val="24"/>
          <w:szCs w:val="24"/>
        </w:rPr>
        <w:t xml:space="preserve">the </w:t>
      </w:r>
      <w:r w:rsidRPr="001020E4">
        <w:rPr>
          <w:rFonts w:asciiTheme="majorBidi" w:hAnsiTheme="majorBidi"/>
          <w:sz w:val="24"/>
          <w:szCs w:val="24"/>
        </w:rPr>
        <w:t>first group mainly</w:t>
      </w:r>
      <w:r w:rsidRPr="00234B0F">
        <w:rPr>
          <w:rFonts w:asciiTheme="majorBidi" w:hAnsiTheme="majorBidi"/>
        </w:rPr>
        <w:t xml:space="preserve"> </w:t>
      </w:r>
      <w:r w:rsidRPr="001020E4">
        <w:rPr>
          <w:rFonts w:asciiTheme="majorBidi" w:hAnsiTheme="majorBidi"/>
          <w:sz w:val="24"/>
          <w:szCs w:val="24"/>
        </w:rPr>
        <w:t>decompensating as hematemesis (HM) (32%) and hepatic encephalopathy (HE) (24%)</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W</w:t>
      </w:r>
      <w:r w:rsidRPr="001020E4">
        <w:rPr>
          <w:rFonts w:asciiTheme="majorBidi" w:hAnsiTheme="majorBidi"/>
          <w:sz w:val="24"/>
          <w:szCs w:val="24"/>
        </w:rPr>
        <w:t xml:space="preserve">hile in </w:t>
      </w:r>
      <w:r w:rsidR="00EC2929" w:rsidRPr="001020E4">
        <w:rPr>
          <w:rFonts w:asciiTheme="majorBidi" w:hAnsiTheme="majorBidi"/>
          <w:sz w:val="24"/>
          <w:szCs w:val="24"/>
        </w:rPr>
        <w:t>the post-DAAs</w:t>
      </w:r>
      <w:r w:rsidRPr="001020E4">
        <w:rPr>
          <w:rFonts w:asciiTheme="majorBidi" w:hAnsiTheme="majorBidi"/>
          <w:sz w:val="24"/>
          <w:szCs w:val="24"/>
        </w:rPr>
        <w:t xml:space="preserve"> group, HCC </w:t>
      </w:r>
      <w:r w:rsidR="009C5250" w:rsidRPr="001020E4">
        <w:rPr>
          <w:rFonts w:asciiTheme="majorBidi" w:hAnsiTheme="majorBidi"/>
          <w:sz w:val="24"/>
          <w:szCs w:val="24"/>
        </w:rPr>
        <w:t xml:space="preserve">was </w:t>
      </w:r>
      <w:r w:rsidRPr="001020E4">
        <w:rPr>
          <w:rFonts w:asciiTheme="majorBidi" w:hAnsiTheme="majorBidi"/>
          <w:sz w:val="24"/>
          <w:szCs w:val="24"/>
        </w:rPr>
        <w:t>significant</w:t>
      </w:r>
      <w:r w:rsidR="009C5250" w:rsidRPr="001020E4">
        <w:rPr>
          <w:rFonts w:asciiTheme="majorBidi" w:hAnsiTheme="majorBidi"/>
          <w:sz w:val="24"/>
          <w:szCs w:val="24"/>
        </w:rPr>
        <w:t>ly</w:t>
      </w:r>
      <w:r w:rsidRPr="001020E4">
        <w:rPr>
          <w:rFonts w:asciiTheme="majorBidi" w:hAnsiTheme="majorBidi"/>
          <w:sz w:val="24"/>
          <w:szCs w:val="24"/>
        </w:rPr>
        <w:t xml:space="preserve"> diagnosed during routine follow-up </w:t>
      </w:r>
      <w:r w:rsidR="009C5250" w:rsidRPr="001020E4">
        <w:rPr>
          <w:rFonts w:asciiTheme="majorBidi" w:hAnsiTheme="majorBidi"/>
          <w:sz w:val="24"/>
          <w:szCs w:val="24"/>
        </w:rPr>
        <w:t xml:space="preserve">at </w:t>
      </w:r>
      <w:r w:rsidRPr="001020E4">
        <w:rPr>
          <w:rFonts w:asciiTheme="majorBidi" w:hAnsiTheme="majorBidi"/>
          <w:sz w:val="24"/>
          <w:szCs w:val="24"/>
        </w:rPr>
        <w:t xml:space="preserve">23.8% and right hypochondria pain </w:t>
      </w:r>
      <w:r w:rsidR="009C5250" w:rsidRPr="001020E4">
        <w:rPr>
          <w:rFonts w:asciiTheme="majorBidi" w:hAnsiTheme="majorBidi"/>
          <w:sz w:val="24"/>
          <w:szCs w:val="24"/>
        </w:rPr>
        <w:t xml:space="preserve">at </w:t>
      </w:r>
      <w:r w:rsidRPr="001020E4">
        <w:rPr>
          <w:rFonts w:asciiTheme="majorBidi" w:hAnsiTheme="majorBidi"/>
          <w:sz w:val="24"/>
          <w:szCs w:val="24"/>
        </w:rPr>
        <w:t>31%</w:t>
      </w:r>
      <w:r w:rsidR="009C5250" w:rsidRPr="001020E4">
        <w:rPr>
          <w:rFonts w:asciiTheme="majorBidi" w:hAnsiTheme="majorBidi"/>
          <w:sz w:val="24"/>
          <w:szCs w:val="24"/>
        </w:rPr>
        <w:t>.</w:t>
      </w:r>
      <w:r w:rsidRPr="001020E4">
        <w:rPr>
          <w:rFonts w:asciiTheme="majorBidi" w:hAnsiTheme="majorBidi"/>
          <w:sz w:val="24"/>
          <w:szCs w:val="24"/>
        </w:rPr>
        <w:t xml:space="preserve"> </w:t>
      </w:r>
      <w:r w:rsidR="009C5250" w:rsidRPr="001020E4">
        <w:rPr>
          <w:rFonts w:asciiTheme="majorBidi" w:hAnsiTheme="majorBidi"/>
          <w:sz w:val="24"/>
          <w:szCs w:val="24"/>
        </w:rPr>
        <w:t>H</w:t>
      </w:r>
      <w:r w:rsidR="004C1A8D" w:rsidRPr="001020E4">
        <w:rPr>
          <w:rFonts w:asciiTheme="majorBidi" w:hAnsiTheme="majorBidi"/>
          <w:sz w:val="24"/>
          <w:szCs w:val="24"/>
        </w:rPr>
        <w:t>owever</w:t>
      </w:r>
      <w:r w:rsidR="00EC2929" w:rsidRPr="001020E4">
        <w:rPr>
          <w:rFonts w:asciiTheme="majorBidi" w:hAnsiTheme="majorBidi"/>
          <w:sz w:val="24"/>
          <w:szCs w:val="24"/>
        </w:rPr>
        <w:t>,</w:t>
      </w:r>
      <w:r w:rsidR="00E325AE" w:rsidRPr="001020E4">
        <w:rPr>
          <w:rFonts w:asciiTheme="majorBidi" w:hAnsiTheme="majorBidi"/>
          <w:sz w:val="24"/>
          <w:szCs w:val="24"/>
        </w:rPr>
        <w:t xml:space="preserve"> Fatima et al. </w:t>
      </w:r>
      <w:r w:rsidR="004A0671" w:rsidRPr="001020E4">
        <w:rPr>
          <w:rFonts w:asciiTheme="majorBidi" w:hAnsiTheme="majorBidi"/>
          <w:sz w:val="24"/>
          <w:szCs w:val="24"/>
        </w:rPr>
        <w:t xml:space="preserve">2020 </w:t>
      </w:r>
      <w:r w:rsidR="004C1A8D" w:rsidRPr="001020E4">
        <w:rPr>
          <w:rFonts w:asciiTheme="majorBidi" w:hAnsiTheme="majorBidi"/>
          <w:sz w:val="24"/>
          <w:szCs w:val="24"/>
        </w:rPr>
        <w:t xml:space="preserve">[6] </w:t>
      </w:r>
      <w:r w:rsidR="009C5250" w:rsidRPr="001020E4">
        <w:rPr>
          <w:rFonts w:asciiTheme="majorBidi" w:hAnsiTheme="majorBidi"/>
          <w:sz w:val="24"/>
          <w:szCs w:val="24"/>
        </w:rPr>
        <w:t>showed</w:t>
      </w:r>
      <w:r w:rsidR="00E325AE" w:rsidRPr="001020E4">
        <w:rPr>
          <w:rFonts w:asciiTheme="majorBidi" w:hAnsiTheme="majorBidi"/>
          <w:sz w:val="24"/>
          <w:szCs w:val="24"/>
        </w:rPr>
        <w:t xml:space="preserve"> no discernible difference between the HCC patterns in patients receiving </w:t>
      </w:r>
      <w:r w:rsidR="006136F5" w:rsidRPr="001020E4">
        <w:rPr>
          <w:rFonts w:asciiTheme="majorBidi" w:hAnsiTheme="majorBidi"/>
          <w:sz w:val="24"/>
          <w:szCs w:val="24"/>
        </w:rPr>
        <w:t>DAA</w:t>
      </w:r>
      <w:r w:rsidR="003C4F44" w:rsidRPr="001020E4">
        <w:rPr>
          <w:rFonts w:asciiTheme="majorBidi" w:hAnsiTheme="majorBidi"/>
          <w:sz w:val="24"/>
          <w:szCs w:val="24"/>
        </w:rPr>
        <w:t>s</w:t>
      </w:r>
      <w:r w:rsidR="00E325AE" w:rsidRPr="001020E4">
        <w:rPr>
          <w:rFonts w:asciiTheme="majorBidi" w:hAnsiTheme="majorBidi"/>
          <w:sz w:val="24"/>
          <w:szCs w:val="24"/>
        </w:rPr>
        <w:t xml:space="preserve"> or PI therapy at the initial presentation.</w:t>
      </w:r>
      <w:r w:rsidR="00CA0156" w:rsidRPr="001020E4">
        <w:rPr>
          <w:rFonts w:asciiTheme="majorBidi" w:hAnsiTheme="majorBidi"/>
          <w:sz w:val="24"/>
          <w:szCs w:val="24"/>
        </w:rPr>
        <w:t xml:space="preserve"> Moreover</w:t>
      </w:r>
      <w:r w:rsidR="00EC2929" w:rsidRPr="001020E4">
        <w:rPr>
          <w:rFonts w:asciiTheme="majorBidi" w:hAnsiTheme="majorBidi"/>
          <w:sz w:val="24"/>
          <w:szCs w:val="24"/>
        </w:rPr>
        <w:t>,</w:t>
      </w:r>
      <w:r w:rsidR="00CA0156" w:rsidRPr="001020E4">
        <w:rPr>
          <w:rFonts w:asciiTheme="majorBidi" w:hAnsiTheme="majorBidi"/>
          <w:sz w:val="24"/>
          <w:szCs w:val="24"/>
        </w:rPr>
        <w:t xml:space="preserve"> in our study, </w:t>
      </w:r>
      <w:r w:rsidR="000348FD" w:rsidRPr="001020E4">
        <w:rPr>
          <w:rFonts w:asciiTheme="majorBidi" w:hAnsiTheme="majorBidi"/>
          <w:sz w:val="24"/>
          <w:szCs w:val="24"/>
        </w:rPr>
        <w:t>there</w:t>
      </w:r>
      <w:r w:rsidR="00CA0156" w:rsidRPr="001020E4">
        <w:rPr>
          <w:rFonts w:asciiTheme="majorBidi" w:hAnsiTheme="majorBidi"/>
          <w:sz w:val="24"/>
          <w:szCs w:val="24"/>
        </w:rPr>
        <w:t xml:space="preserve"> were significant differences between the two groups regarding AST p-value &lt;0.001, Bilirubin 0.003, Albumin &lt;0.001and HB level</w:t>
      </w:r>
      <w:r w:rsidR="00CA0156" w:rsidRPr="00234B0F">
        <w:rPr>
          <w:rFonts w:asciiTheme="majorBidi" w:hAnsiTheme="majorBidi"/>
        </w:rPr>
        <w:t xml:space="preserve"> </w:t>
      </w:r>
      <w:r w:rsidR="00CA0156" w:rsidRPr="001020E4">
        <w:rPr>
          <w:rFonts w:asciiTheme="majorBidi" w:hAnsiTheme="majorBidi"/>
          <w:sz w:val="24"/>
          <w:szCs w:val="24"/>
        </w:rPr>
        <w:t xml:space="preserve">0.02, which reflect </w:t>
      </w:r>
      <w:r w:rsidR="00EC2929" w:rsidRPr="001020E4">
        <w:rPr>
          <w:rFonts w:asciiTheme="majorBidi" w:hAnsiTheme="majorBidi"/>
          <w:sz w:val="24"/>
          <w:szCs w:val="24"/>
        </w:rPr>
        <w:t xml:space="preserve">a </w:t>
      </w:r>
      <w:r w:rsidR="003C4F44" w:rsidRPr="001020E4">
        <w:rPr>
          <w:rFonts w:asciiTheme="majorBidi" w:hAnsiTheme="majorBidi"/>
          <w:sz w:val="24"/>
          <w:szCs w:val="24"/>
        </w:rPr>
        <w:t>predominant liver failure</w:t>
      </w:r>
      <w:r w:rsidR="00CA0156" w:rsidRPr="001020E4">
        <w:rPr>
          <w:rFonts w:asciiTheme="majorBidi" w:hAnsiTheme="majorBidi"/>
          <w:sz w:val="24"/>
          <w:szCs w:val="24"/>
        </w:rPr>
        <w:t xml:space="preserve"> in the HCC without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group (Table 3). In coherence with Fatima </w:t>
      </w:r>
      <w:r w:rsidR="00EC2929" w:rsidRPr="001020E4">
        <w:rPr>
          <w:rFonts w:asciiTheme="majorBidi" w:hAnsiTheme="majorBidi"/>
          <w:sz w:val="24"/>
          <w:szCs w:val="24"/>
        </w:rPr>
        <w:t>et al.</w:t>
      </w:r>
      <w:r w:rsidR="00CA0156" w:rsidRPr="001020E4">
        <w:rPr>
          <w:rFonts w:asciiTheme="majorBidi" w:hAnsiTheme="majorBidi"/>
          <w:sz w:val="24"/>
          <w:szCs w:val="24"/>
        </w:rPr>
        <w:t>, 2020[6], they discovered that</w:t>
      </w:r>
      <w:r w:rsidR="00CA0156" w:rsidRPr="00234B0F">
        <w:rPr>
          <w:rFonts w:asciiTheme="majorBidi" w:hAnsiTheme="majorBidi"/>
        </w:rPr>
        <w:t xml:space="preserve"> </w:t>
      </w:r>
      <w:r w:rsidR="00CA0156" w:rsidRPr="001020E4">
        <w:rPr>
          <w:rFonts w:asciiTheme="majorBidi" w:hAnsiTheme="majorBidi"/>
          <w:sz w:val="24"/>
          <w:szCs w:val="24"/>
        </w:rPr>
        <w:t>liver fibrosis was</w:t>
      </w:r>
      <w:r w:rsidR="00CA0156" w:rsidRPr="00234B0F">
        <w:rPr>
          <w:rFonts w:asciiTheme="majorBidi" w:hAnsiTheme="majorBidi"/>
        </w:rPr>
        <w:t xml:space="preserve"> </w:t>
      </w:r>
      <w:r w:rsidR="00CA0156" w:rsidRPr="001020E4">
        <w:rPr>
          <w:rFonts w:asciiTheme="majorBidi" w:hAnsiTheme="majorBidi"/>
          <w:sz w:val="24"/>
          <w:szCs w:val="24"/>
        </w:rPr>
        <w:t xml:space="preserve">significantly lower in HCC patients following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treatment compared to those who did not receive </w:t>
      </w:r>
      <w:r w:rsidR="006136F5" w:rsidRPr="001020E4">
        <w:rPr>
          <w:rFonts w:asciiTheme="majorBidi" w:hAnsiTheme="majorBidi"/>
          <w:sz w:val="24"/>
          <w:szCs w:val="24"/>
        </w:rPr>
        <w:t>DAA</w:t>
      </w:r>
      <w:r w:rsidR="003C4F44" w:rsidRPr="001020E4">
        <w:rPr>
          <w:rFonts w:asciiTheme="majorBidi" w:hAnsiTheme="majorBidi"/>
          <w:sz w:val="24"/>
          <w:szCs w:val="24"/>
        </w:rPr>
        <w:t>s</w:t>
      </w:r>
      <w:r w:rsidR="00CA0156" w:rsidRPr="001020E4">
        <w:rPr>
          <w:rFonts w:asciiTheme="majorBidi" w:hAnsiTheme="majorBidi"/>
          <w:sz w:val="24"/>
          <w:szCs w:val="24"/>
        </w:rPr>
        <w:t xml:space="preserve"> treatment.</w:t>
      </w:r>
    </w:p>
    <w:p w14:paraId="4701C5F0" w14:textId="53C09ED8" w:rsidR="00E325AE" w:rsidRPr="001020E4" w:rsidRDefault="00CA0156" w:rsidP="0006542B">
      <w:pPr>
        <w:pStyle w:val="NoSpacing"/>
        <w:jc w:val="both"/>
        <w:rPr>
          <w:rFonts w:asciiTheme="majorBidi" w:hAnsiTheme="majorBidi"/>
          <w:sz w:val="24"/>
          <w:szCs w:val="24"/>
        </w:rPr>
      </w:pPr>
      <w:r w:rsidRPr="001020E4">
        <w:rPr>
          <w:rFonts w:asciiTheme="majorBidi" w:hAnsiTheme="majorBidi"/>
          <w:sz w:val="24"/>
          <w:szCs w:val="24"/>
        </w:rPr>
        <w:t>In this study</w:t>
      </w:r>
      <w:r w:rsidR="00EC2929" w:rsidRPr="001020E4">
        <w:rPr>
          <w:rFonts w:asciiTheme="majorBidi" w:hAnsiTheme="majorBidi"/>
          <w:sz w:val="24"/>
          <w:szCs w:val="24"/>
        </w:rPr>
        <w:t>,</w:t>
      </w:r>
      <w:r w:rsidRPr="001020E4">
        <w:rPr>
          <w:rFonts w:asciiTheme="majorBidi" w:hAnsiTheme="majorBidi"/>
          <w:sz w:val="24"/>
          <w:szCs w:val="24"/>
        </w:rPr>
        <w:t xml:space="preserve"> there was</w:t>
      </w:r>
      <w:r w:rsidR="0006542B" w:rsidRPr="001020E4">
        <w:rPr>
          <w:rFonts w:asciiTheme="majorBidi" w:hAnsiTheme="majorBidi"/>
          <w:sz w:val="24"/>
          <w:szCs w:val="24"/>
        </w:rPr>
        <w:t xml:space="preserve"> no</w:t>
      </w:r>
      <w:r w:rsidRPr="001020E4">
        <w:rPr>
          <w:rFonts w:asciiTheme="majorBidi" w:hAnsiTheme="majorBidi"/>
          <w:sz w:val="24"/>
          <w:szCs w:val="24"/>
        </w:rPr>
        <w:t xml:space="preserve"> significant difference as regard</w:t>
      </w:r>
      <w:r w:rsidR="0006542B" w:rsidRPr="001020E4">
        <w:rPr>
          <w:rFonts w:asciiTheme="majorBidi" w:hAnsiTheme="majorBidi"/>
          <w:sz w:val="24"/>
          <w:szCs w:val="24"/>
        </w:rPr>
        <w:t>s</w:t>
      </w:r>
      <w:r w:rsidRPr="001020E4">
        <w:rPr>
          <w:rFonts w:asciiTheme="majorBidi" w:hAnsiTheme="majorBidi"/>
          <w:sz w:val="24"/>
          <w:szCs w:val="24"/>
        </w:rPr>
        <w:t xml:space="preserve"> the liver status with predominant liver cirrhosis in HCC </w:t>
      </w:r>
      <w:r w:rsidR="00EC2929" w:rsidRPr="001020E4">
        <w:rPr>
          <w:rFonts w:asciiTheme="majorBidi" w:hAnsiTheme="majorBidi"/>
          <w:sz w:val="24"/>
          <w:szCs w:val="24"/>
        </w:rPr>
        <w:t>post-DAAs</w:t>
      </w:r>
      <w:r w:rsidRPr="001020E4">
        <w:rPr>
          <w:rFonts w:asciiTheme="majorBidi" w:hAnsiTheme="majorBidi"/>
          <w:sz w:val="24"/>
          <w:szCs w:val="24"/>
        </w:rPr>
        <w:t xml:space="preserve"> group 32(76.2%) (Table 4).</w:t>
      </w:r>
      <w:r w:rsidR="009C5250" w:rsidRPr="001020E4">
        <w:rPr>
          <w:rFonts w:asciiTheme="majorBidi" w:hAnsiTheme="majorBidi"/>
          <w:sz w:val="24"/>
          <w:szCs w:val="24"/>
        </w:rPr>
        <w:t xml:space="preserve"> However,</w:t>
      </w:r>
      <w:r w:rsidRPr="001020E4">
        <w:rPr>
          <w:rFonts w:asciiTheme="majorBidi" w:hAnsiTheme="majorBidi"/>
          <w:sz w:val="24"/>
          <w:szCs w:val="24"/>
        </w:rPr>
        <w:t xml:space="preserve"> Tarao et al. 2019 [13] determined that liver cirrhosis played a </w:t>
      </w:r>
      <w:r w:rsidR="00EC2929" w:rsidRPr="001020E4">
        <w:rPr>
          <w:rFonts w:asciiTheme="majorBidi" w:hAnsiTheme="majorBidi"/>
          <w:sz w:val="24"/>
          <w:szCs w:val="24"/>
        </w:rPr>
        <w:t>significant</w:t>
      </w:r>
      <w:r w:rsidRPr="001020E4">
        <w:rPr>
          <w:rFonts w:asciiTheme="majorBidi" w:hAnsiTheme="majorBidi"/>
          <w:sz w:val="24"/>
          <w:szCs w:val="24"/>
        </w:rPr>
        <w:t xml:space="preserve"> role in the development of HCC in </w:t>
      </w:r>
      <w:r w:rsidR="006136F5" w:rsidRPr="001020E4">
        <w:rPr>
          <w:rFonts w:asciiTheme="majorBidi" w:hAnsiTheme="majorBidi"/>
          <w:sz w:val="24"/>
          <w:szCs w:val="24"/>
        </w:rPr>
        <w:t>DAA</w:t>
      </w:r>
      <w:r w:rsidR="0006542B" w:rsidRPr="001020E4">
        <w:rPr>
          <w:rFonts w:asciiTheme="majorBidi" w:hAnsiTheme="majorBidi"/>
          <w:sz w:val="24"/>
          <w:szCs w:val="24"/>
        </w:rPr>
        <w:t>s</w:t>
      </w:r>
      <w:r w:rsidRPr="001020E4">
        <w:rPr>
          <w:rFonts w:asciiTheme="majorBidi" w:hAnsiTheme="majorBidi"/>
          <w:sz w:val="24"/>
          <w:szCs w:val="24"/>
        </w:rPr>
        <w:t xml:space="preserve">-treated individuals </w:t>
      </w:r>
      <w:r w:rsidR="00EC2929" w:rsidRPr="001020E4">
        <w:rPr>
          <w:rFonts w:asciiTheme="majorBidi" w:hAnsiTheme="majorBidi"/>
          <w:sz w:val="24"/>
          <w:szCs w:val="24"/>
        </w:rPr>
        <w:t>with no history of HCC, which contributes</w:t>
      </w:r>
      <w:r w:rsidRPr="001020E4">
        <w:rPr>
          <w:rFonts w:asciiTheme="majorBidi" w:hAnsiTheme="majorBidi"/>
          <w:sz w:val="24"/>
          <w:szCs w:val="24"/>
        </w:rPr>
        <w:t xml:space="preserve"> to the increasing prevalence of HCC in Egypt. </w:t>
      </w:r>
      <w:r w:rsidR="00E325AE" w:rsidRPr="001020E4">
        <w:rPr>
          <w:rFonts w:asciiTheme="majorBidi" w:hAnsiTheme="majorBidi"/>
          <w:sz w:val="24"/>
          <w:szCs w:val="24"/>
        </w:rPr>
        <w:t>In our study</w:t>
      </w:r>
      <w:r w:rsidR="00EC2929" w:rsidRPr="001020E4">
        <w:rPr>
          <w:rFonts w:asciiTheme="majorBidi" w:hAnsiTheme="majorBidi"/>
          <w:sz w:val="24"/>
          <w:szCs w:val="24"/>
        </w:rPr>
        <w:t>,</w:t>
      </w:r>
      <w:r w:rsidR="00E325AE" w:rsidRPr="001020E4">
        <w:rPr>
          <w:rFonts w:asciiTheme="majorBidi" w:hAnsiTheme="majorBidi"/>
          <w:sz w:val="24"/>
          <w:szCs w:val="24"/>
        </w:rPr>
        <w:t xml:space="preserve"> the single HCC lesion is more frequent than multifocal lesions with or without </w:t>
      </w:r>
      <w:r w:rsidR="006136F5" w:rsidRPr="001020E4">
        <w:rPr>
          <w:rFonts w:asciiTheme="majorBidi" w:hAnsiTheme="majorBidi"/>
          <w:sz w:val="24"/>
          <w:szCs w:val="24"/>
        </w:rPr>
        <w:t>DAAS</w:t>
      </w:r>
      <w:r w:rsidR="00E325AE" w:rsidRPr="001020E4">
        <w:rPr>
          <w:rFonts w:asciiTheme="majorBidi" w:hAnsiTheme="majorBidi"/>
          <w:sz w:val="24"/>
          <w:szCs w:val="24"/>
        </w:rPr>
        <w:t xml:space="preserve"> therapy with no significant difference between the two groups, associated with PVT in 28.6% of </w:t>
      </w:r>
      <w:r w:rsidR="006136F5" w:rsidRPr="001020E4">
        <w:rPr>
          <w:rFonts w:asciiTheme="majorBidi" w:hAnsiTheme="majorBidi"/>
          <w:sz w:val="24"/>
          <w:szCs w:val="24"/>
        </w:rPr>
        <w:t>DAA</w:t>
      </w:r>
      <w:r w:rsidR="0006542B" w:rsidRPr="001020E4">
        <w:rPr>
          <w:rFonts w:asciiTheme="majorBidi" w:hAnsiTheme="majorBidi"/>
          <w:sz w:val="24"/>
          <w:szCs w:val="24"/>
        </w:rPr>
        <w:t>s</w:t>
      </w:r>
      <w:r w:rsidR="006F655F" w:rsidRPr="001020E4">
        <w:rPr>
          <w:rFonts w:asciiTheme="majorBidi" w:hAnsiTheme="majorBidi"/>
          <w:sz w:val="24"/>
          <w:szCs w:val="24"/>
        </w:rPr>
        <w:t>-</w:t>
      </w:r>
      <w:r w:rsidR="00E325AE" w:rsidRPr="001020E4">
        <w:rPr>
          <w:rFonts w:asciiTheme="majorBidi" w:hAnsiTheme="majorBidi"/>
          <w:sz w:val="24"/>
          <w:szCs w:val="24"/>
        </w:rPr>
        <w:t xml:space="preserve">treated groups and 12% without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w:t>
      </w:r>
      <w:r w:rsidR="00A91B1E" w:rsidRPr="001020E4">
        <w:rPr>
          <w:rFonts w:asciiTheme="majorBidi" w:hAnsiTheme="majorBidi"/>
          <w:sz w:val="24"/>
          <w:szCs w:val="24"/>
        </w:rPr>
        <w:t xml:space="preserve"> (no </w:t>
      </w:r>
      <w:r w:rsidR="00023684" w:rsidRPr="001020E4">
        <w:rPr>
          <w:rFonts w:asciiTheme="majorBidi" w:hAnsiTheme="majorBidi"/>
          <w:sz w:val="24"/>
          <w:szCs w:val="24"/>
        </w:rPr>
        <w:t>considerable</w:t>
      </w:r>
      <w:r w:rsidR="00A91B1E" w:rsidRPr="001020E4">
        <w:rPr>
          <w:rFonts w:asciiTheme="majorBidi" w:hAnsiTheme="majorBidi"/>
          <w:sz w:val="24"/>
          <w:szCs w:val="24"/>
        </w:rPr>
        <w:t xml:space="preserve"> difference p=0.116)</w:t>
      </w:r>
      <w:r w:rsidR="00E325AE" w:rsidRPr="001020E4">
        <w:rPr>
          <w:rFonts w:asciiTheme="majorBidi" w:hAnsiTheme="majorBidi"/>
          <w:sz w:val="24"/>
          <w:szCs w:val="24"/>
        </w:rPr>
        <w:t xml:space="preserve">. </w:t>
      </w:r>
      <w:r w:rsidR="004C1A8D" w:rsidRPr="001020E4">
        <w:rPr>
          <w:rFonts w:asciiTheme="majorBidi" w:hAnsiTheme="majorBidi"/>
          <w:sz w:val="24"/>
          <w:szCs w:val="24"/>
        </w:rPr>
        <w:t>Furthermore</w:t>
      </w:r>
      <w:r w:rsidR="00E325AE" w:rsidRPr="001020E4">
        <w:rPr>
          <w:rFonts w:asciiTheme="majorBidi" w:hAnsiTheme="majorBidi"/>
          <w:sz w:val="24"/>
          <w:szCs w:val="24"/>
        </w:rPr>
        <w:t>, no significant difference was found between the two groups regarding the Milan criteria for Liver transplantation</w:t>
      </w:r>
      <w:r w:rsidRPr="001020E4">
        <w:rPr>
          <w:rFonts w:asciiTheme="majorBidi" w:hAnsiTheme="majorBidi"/>
          <w:sz w:val="24"/>
          <w:szCs w:val="24"/>
        </w:rPr>
        <w:t xml:space="preserve"> (Table 4)</w:t>
      </w:r>
      <w:r w:rsidR="009C5250" w:rsidRPr="001020E4">
        <w:rPr>
          <w:rFonts w:asciiTheme="majorBidi" w:hAnsiTheme="majorBidi"/>
          <w:sz w:val="24"/>
          <w:szCs w:val="24"/>
        </w:rPr>
        <w:t>.</w:t>
      </w:r>
      <w:r w:rsidR="00E325AE" w:rsidRPr="001020E4">
        <w:rPr>
          <w:rFonts w:asciiTheme="majorBidi" w:hAnsiTheme="majorBidi"/>
          <w:sz w:val="24"/>
          <w:szCs w:val="24"/>
        </w:rPr>
        <w:t xml:space="preserve"> </w:t>
      </w:r>
      <w:r w:rsidR="009C5250" w:rsidRPr="001020E4">
        <w:rPr>
          <w:rFonts w:asciiTheme="majorBidi" w:hAnsiTheme="majorBidi"/>
          <w:sz w:val="24"/>
          <w:szCs w:val="24"/>
        </w:rPr>
        <w:t>In contrast,</w:t>
      </w:r>
      <w:r w:rsidR="00E325AE" w:rsidRPr="001020E4">
        <w:rPr>
          <w:rFonts w:asciiTheme="majorBidi" w:hAnsiTheme="majorBidi"/>
          <w:sz w:val="24"/>
          <w:szCs w:val="24"/>
        </w:rPr>
        <w:t xml:space="preserve"> Abdelaziz et al.</w:t>
      </w:r>
      <w:r w:rsidR="0006542B" w:rsidRPr="001020E4">
        <w:rPr>
          <w:rFonts w:asciiTheme="majorBidi" w:hAnsiTheme="majorBidi"/>
          <w:sz w:val="24"/>
          <w:szCs w:val="24"/>
        </w:rPr>
        <w:t xml:space="preserve"> [14</w:t>
      </w:r>
      <w:r w:rsidR="00EC2929" w:rsidRPr="001020E4">
        <w:rPr>
          <w:rFonts w:asciiTheme="majorBidi" w:hAnsiTheme="majorBidi"/>
          <w:sz w:val="24"/>
          <w:szCs w:val="24"/>
        </w:rPr>
        <w:t>] examined</w:t>
      </w:r>
      <w:r w:rsidR="00E325AE" w:rsidRPr="001020E4">
        <w:rPr>
          <w:rFonts w:asciiTheme="majorBidi" w:hAnsiTheme="majorBidi"/>
          <w:sz w:val="24"/>
          <w:szCs w:val="24"/>
        </w:rPr>
        <w:t xml:space="preserve"> the differences in tumor </w:t>
      </w:r>
      <w:r w:rsidR="00EC2929" w:rsidRPr="001020E4">
        <w:rPr>
          <w:rFonts w:asciiTheme="majorBidi" w:hAnsiTheme="majorBidi"/>
          <w:sz w:val="24"/>
          <w:szCs w:val="24"/>
        </w:rPr>
        <w:t>behavior</w:t>
      </w:r>
      <w:r w:rsidR="00E325AE" w:rsidRPr="001020E4">
        <w:rPr>
          <w:rFonts w:asciiTheme="majorBidi" w:hAnsiTheme="majorBidi"/>
          <w:sz w:val="24"/>
          <w:szCs w:val="24"/>
        </w:rPr>
        <w:t xml:space="preserve"> between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patients treated with or without </w:t>
      </w:r>
      <w:r w:rsidR="006136F5" w:rsidRPr="001020E4">
        <w:rPr>
          <w:rFonts w:asciiTheme="majorBidi" w:hAnsiTheme="majorBidi"/>
          <w:sz w:val="24"/>
          <w:szCs w:val="24"/>
        </w:rPr>
        <w:t>DAAS</w:t>
      </w:r>
      <w:r w:rsidR="00E325AE" w:rsidRPr="001020E4">
        <w:rPr>
          <w:rFonts w:asciiTheme="majorBidi" w:hAnsiTheme="majorBidi"/>
          <w:sz w:val="24"/>
          <w:szCs w:val="24"/>
        </w:rPr>
        <w:t xml:space="preserve"> for HCV-induced HCC</w:t>
      </w:r>
      <w:r w:rsidR="009C5250" w:rsidRPr="001020E4">
        <w:rPr>
          <w:rFonts w:asciiTheme="majorBidi" w:hAnsiTheme="majorBidi"/>
          <w:sz w:val="24"/>
          <w:szCs w:val="24"/>
        </w:rPr>
        <w:t xml:space="preserve">. They </w:t>
      </w:r>
      <w:r w:rsidR="00E325AE" w:rsidRPr="001020E4">
        <w:rPr>
          <w:rFonts w:asciiTheme="majorBidi" w:hAnsiTheme="majorBidi"/>
          <w:sz w:val="24"/>
          <w:szCs w:val="24"/>
        </w:rPr>
        <w:t>c</w:t>
      </w:r>
      <w:r w:rsidR="009C5250" w:rsidRPr="001020E4">
        <w:rPr>
          <w:rFonts w:asciiTheme="majorBidi" w:hAnsiTheme="majorBidi"/>
          <w:sz w:val="24"/>
          <w:szCs w:val="24"/>
        </w:rPr>
        <w:t>oncluded</w:t>
      </w:r>
      <w:r w:rsidR="00E325AE" w:rsidRPr="001020E4">
        <w:rPr>
          <w:rFonts w:asciiTheme="majorBidi" w:hAnsiTheme="majorBidi"/>
          <w:sz w:val="24"/>
          <w:szCs w:val="24"/>
        </w:rPr>
        <w:t xml:space="preserve"> that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-treated patients exhibited more aggressive HCC </w:t>
      </w:r>
      <w:r w:rsidR="00EC2929" w:rsidRPr="001020E4">
        <w:rPr>
          <w:rFonts w:asciiTheme="majorBidi" w:hAnsiTheme="majorBidi"/>
          <w:sz w:val="24"/>
          <w:szCs w:val="24"/>
        </w:rPr>
        <w:t>behavior</w:t>
      </w:r>
      <w:r w:rsidR="00E325AE" w:rsidRPr="001020E4">
        <w:rPr>
          <w:rFonts w:asciiTheme="majorBidi" w:hAnsiTheme="majorBidi"/>
          <w:sz w:val="24"/>
          <w:szCs w:val="24"/>
        </w:rPr>
        <w:t xml:space="preserve"> based on portal vein thrombosis, malignant lymphadenopathy, and HCC imaging characteristics. </w:t>
      </w:r>
      <w:r w:rsidR="004A0671" w:rsidRPr="001020E4">
        <w:rPr>
          <w:rFonts w:asciiTheme="majorBidi" w:hAnsiTheme="majorBidi"/>
          <w:sz w:val="24"/>
          <w:szCs w:val="24"/>
        </w:rPr>
        <w:t xml:space="preserve">Also, </w:t>
      </w:r>
      <w:r w:rsidR="00E325AE" w:rsidRPr="001020E4">
        <w:rPr>
          <w:rFonts w:asciiTheme="majorBidi" w:hAnsiTheme="majorBidi"/>
          <w:sz w:val="24"/>
          <w:szCs w:val="24"/>
        </w:rPr>
        <w:t>El Fayoumie et al.</w:t>
      </w:r>
      <w:r w:rsidRPr="001020E4">
        <w:rPr>
          <w:rFonts w:asciiTheme="majorBidi" w:hAnsiTheme="majorBidi"/>
          <w:sz w:val="24"/>
          <w:szCs w:val="24"/>
        </w:rPr>
        <w:t xml:space="preserve"> [12</w:t>
      </w:r>
      <w:r w:rsidR="00A91B1E" w:rsidRPr="001020E4">
        <w:rPr>
          <w:rFonts w:asciiTheme="majorBidi" w:hAnsiTheme="majorBidi"/>
          <w:sz w:val="24"/>
          <w:szCs w:val="24"/>
        </w:rPr>
        <w:t>] examined</w:t>
      </w:r>
      <w:r w:rsidR="00E325AE" w:rsidRPr="001020E4">
        <w:rPr>
          <w:rFonts w:asciiTheme="majorBidi" w:hAnsiTheme="majorBidi"/>
          <w:sz w:val="24"/>
          <w:szCs w:val="24"/>
        </w:rPr>
        <w:t xml:space="preserve">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pattern alterations in </w:t>
      </w:r>
      <w:r w:rsidR="004A0671" w:rsidRPr="001020E4">
        <w:rPr>
          <w:rFonts w:asciiTheme="majorBidi" w:hAnsiTheme="majorBidi"/>
          <w:sz w:val="24"/>
          <w:szCs w:val="24"/>
        </w:rPr>
        <w:t xml:space="preserve">the </w:t>
      </w:r>
      <w:r w:rsidR="00E325AE" w:rsidRPr="001020E4">
        <w:rPr>
          <w:rFonts w:asciiTheme="majorBidi" w:hAnsiTheme="majorBidi"/>
          <w:sz w:val="24"/>
          <w:szCs w:val="24"/>
        </w:rPr>
        <w:t xml:space="preserve">HCC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and showed that</w:t>
      </w:r>
      <w:r w:rsidR="004A0671" w:rsidRPr="001020E4">
        <w:rPr>
          <w:rFonts w:asciiTheme="majorBidi" w:hAnsiTheme="majorBidi"/>
          <w:sz w:val="24"/>
          <w:szCs w:val="24"/>
        </w:rPr>
        <w:t xml:space="preserve"> the </w:t>
      </w:r>
      <w:r w:rsidR="00E325AE" w:rsidRPr="001020E4">
        <w:rPr>
          <w:rFonts w:asciiTheme="majorBidi" w:hAnsiTheme="majorBidi"/>
          <w:sz w:val="24"/>
          <w:szCs w:val="24"/>
        </w:rPr>
        <w:t xml:space="preserve">HCC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w:t>
      </w:r>
      <w:r w:rsidR="0055576D" w:rsidRPr="001020E4">
        <w:rPr>
          <w:rFonts w:asciiTheme="majorBidi" w:hAnsiTheme="majorBidi"/>
          <w:sz w:val="24"/>
          <w:szCs w:val="24"/>
        </w:rPr>
        <w:t>might</w:t>
      </w:r>
      <w:r w:rsidR="00E325AE" w:rsidRPr="001020E4">
        <w:rPr>
          <w:rFonts w:asciiTheme="majorBidi" w:hAnsiTheme="majorBidi"/>
          <w:sz w:val="24"/>
          <w:szCs w:val="24"/>
        </w:rPr>
        <w:t xml:space="preserve"> arise in less severe liver disease. Following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 infiltrative and multiple nodular HCC patterns were considerably more numerous than in HCC patients who did not get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therapy.</w:t>
      </w:r>
    </w:p>
    <w:p w14:paraId="2A1356B7" w14:textId="1EAAAA6D" w:rsidR="00E325AE" w:rsidRPr="001020E4" w:rsidRDefault="004A0671" w:rsidP="0006542B">
      <w:pPr>
        <w:pStyle w:val="NoSpacing"/>
        <w:jc w:val="both"/>
        <w:rPr>
          <w:rFonts w:asciiTheme="majorBidi" w:hAnsiTheme="majorBidi"/>
          <w:sz w:val="24"/>
          <w:szCs w:val="24"/>
        </w:rPr>
      </w:pPr>
      <w:r w:rsidRPr="001020E4">
        <w:rPr>
          <w:rFonts w:asciiTheme="majorBidi" w:hAnsiTheme="majorBidi"/>
          <w:sz w:val="24"/>
          <w:szCs w:val="24"/>
        </w:rPr>
        <w:t>The m</w:t>
      </w:r>
      <w:r w:rsidR="00E325AE" w:rsidRPr="001020E4">
        <w:rPr>
          <w:rFonts w:asciiTheme="majorBidi" w:hAnsiTheme="majorBidi"/>
          <w:sz w:val="24"/>
          <w:szCs w:val="24"/>
        </w:rPr>
        <w:t xml:space="preserve">anagement of </w:t>
      </w:r>
      <w:r w:rsidR="0055576D" w:rsidRPr="001020E4">
        <w:rPr>
          <w:rFonts w:asciiTheme="majorBidi" w:hAnsiTheme="majorBidi"/>
          <w:sz w:val="24"/>
          <w:szCs w:val="24"/>
        </w:rPr>
        <w:t>non-DAAS</w:t>
      </w:r>
      <w:r w:rsidR="00E325AE" w:rsidRPr="001020E4">
        <w:rPr>
          <w:rFonts w:asciiTheme="majorBidi" w:hAnsiTheme="majorBidi"/>
          <w:sz w:val="24"/>
          <w:szCs w:val="24"/>
        </w:rPr>
        <w:t xml:space="preserve"> and </w:t>
      </w:r>
      <w:r w:rsidR="006136F5" w:rsidRPr="001020E4">
        <w:rPr>
          <w:rFonts w:asciiTheme="majorBidi" w:hAnsiTheme="majorBidi"/>
          <w:sz w:val="24"/>
          <w:szCs w:val="24"/>
        </w:rPr>
        <w:t>DAAS</w:t>
      </w:r>
      <w:r w:rsidR="00E325AE" w:rsidRPr="001020E4">
        <w:rPr>
          <w:rFonts w:asciiTheme="majorBidi" w:hAnsiTheme="majorBidi"/>
          <w:sz w:val="24"/>
          <w:szCs w:val="24"/>
        </w:rPr>
        <w:t xml:space="preserve"> group </w:t>
      </w:r>
      <w:r w:rsidR="0055576D" w:rsidRPr="001020E4">
        <w:rPr>
          <w:rFonts w:asciiTheme="majorBidi" w:hAnsiTheme="majorBidi"/>
          <w:sz w:val="24"/>
          <w:szCs w:val="24"/>
        </w:rPr>
        <w:t>was</w:t>
      </w:r>
      <w:r w:rsidR="00E325AE" w:rsidRPr="001020E4">
        <w:rPr>
          <w:rFonts w:asciiTheme="majorBidi" w:hAnsiTheme="majorBidi"/>
          <w:sz w:val="24"/>
          <w:szCs w:val="24"/>
        </w:rPr>
        <w:t xml:space="preserve"> by supportive</w:t>
      </w:r>
      <w:r w:rsidRPr="001020E4">
        <w:rPr>
          <w:rFonts w:asciiTheme="majorBidi" w:hAnsiTheme="majorBidi"/>
          <w:sz w:val="24"/>
          <w:szCs w:val="24"/>
        </w:rPr>
        <w:t xml:space="preserve"> therapy</w:t>
      </w:r>
      <w:r w:rsidR="00E325AE" w:rsidRPr="001020E4">
        <w:rPr>
          <w:rFonts w:asciiTheme="majorBidi" w:hAnsiTheme="majorBidi"/>
          <w:sz w:val="24"/>
          <w:szCs w:val="24"/>
        </w:rPr>
        <w:t xml:space="preserve"> in most cases of both groups (24%, 33%) or Sorafenib (4%, 4.8%)</w:t>
      </w:r>
      <w:r w:rsidR="0055576D" w:rsidRPr="001020E4">
        <w:rPr>
          <w:rFonts w:asciiTheme="majorBidi" w:hAnsiTheme="majorBidi"/>
          <w:sz w:val="24"/>
          <w:szCs w:val="24"/>
        </w:rPr>
        <w:t>,</w:t>
      </w:r>
      <w:r w:rsidR="00E325AE" w:rsidRPr="001020E4">
        <w:rPr>
          <w:rFonts w:asciiTheme="majorBidi" w:hAnsiTheme="majorBidi"/>
          <w:sz w:val="24"/>
          <w:szCs w:val="24"/>
        </w:rPr>
        <w:t xml:space="preserve"> while </w:t>
      </w:r>
      <w:r w:rsidR="0055576D" w:rsidRPr="001020E4">
        <w:rPr>
          <w:rFonts w:asciiTheme="majorBidi" w:hAnsiTheme="majorBidi"/>
          <w:sz w:val="24"/>
          <w:szCs w:val="24"/>
        </w:rPr>
        <w:t xml:space="preserve">the </w:t>
      </w:r>
      <w:r w:rsidR="00E325AE" w:rsidRPr="001020E4">
        <w:rPr>
          <w:rFonts w:asciiTheme="majorBidi" w:hAnsiTheme="majorBidi"/>
          <w:sz w:val="24"/>
          <w:szCs w:val="24"/>
        </w:rPr>
        <w:t>intervention with Microwave (8%, 19%), TACE (4, 7.1%), and PEI (</w:t>
      </w:r>
      <w:r w:rsidR="00620313" w:rsidRPr="001020E4">
        <w:rPr>
          <w:rFonts w:asciiTheme="majorBidi" w:hAnsiTheme="majorBidi"/>
          <w:sz w:val="24"/>
          <w:szCs w:val="24"/>
        </w:rPr>
        <w:t>4</w:t>
      </w:r>
      <w:r w:rsidR="00E325AE" w:rsidRPr="001020E4">
        <w:rPr>
          <w:rFonts w:asciiTheme="majorBidi" w:hAnsiTheme="majorBidi"/>
          <w:sz w:val="24"/>
          <w:szCs w:val="24"/>
        </w:rPr>
        <w:t>%, 4.8%) ha</w:t>
      </w:r>
      <w:r w:rsidRPr="001020E4">
        <w:rPr>
          <w:rFonts w:asciiTheme="majorBidi" w:hAnsiTheme="majorBidi"/>
          <w:sz w:val="24"/>
          <w:szCs w:val="24"/>
        </w:rPr>
        <w:t>d</w:t>
      </w:r>
      <w:r w:rsidR="00E325AE" w:rsidRPr="001020E4">
        <w:rPr>
          <w:rFonts w:asciiTheme="majorBidi" w:hAnsiTheme="majorBidi"/>
          <w:sz w:val="24"/>
          <w:szCs w:val="24"/>
        </w:rPr>
        <w:t xml:space="preserve"> </w:t>
      </w:r>
      <w:r w:rsidR="00620313" w:rsidRPr="001020E4">
        <w:rPr>
          <w:rFonts w:asciiTheme="majorBidi" w:hAnsiTheme="majorBidi"/>
          <w:sz w:val="24"/>
          <w:szCs w:val="24"/>
        </w:rPr>
        <w:t>no</w:t>
      </w:r>
      <w:r w:rsidR="00E325AE" w:rsidRPr="001020E4">
        <w:rPr>
          <w:rFonts w:asciiTheme="majorBidi" w:hAnsiTheme="majorBidi"/>
          <w:sz w:val="24"/>
          <w:szCs w:val="24"/>
        </w:rPr>
        <w:t xml:space="preserve"> significant difference </w:t>
      </w:r>
      <w:r w:rsidRPr="001020E4">
        <w:rPr>
          <w:rFonts w:asciiTheme="majorBidi" w:hAnsiTheme="majorBidi"/>
          <w:sz w:val="24"/>
          <w:szCs w:val="24"/>
        </w:rPr>
        <w:t>between the two groups</w:t>
      </w:r>
      <w:r w:rsidR="0055576D" w:rsidRPr="001020E4">
        <w:rPr>
          <w:rFonts w:asciiTheme="majorBidi" w:hAnsiTheme="majorBidi"/>
          <w:sz w:val="24"/>
          <w:szCs w:val="24"/>
        </w:rPr>
        <w:t>. In comparison,</w:t>
      </w:r>
      <w:r w:rsidR="00620313" w:rsidRPr="001020E4">
        <w:rPr>
          <w:rFonts w:asciiTheme="majorBidi" w:hAnsiTheme="majorBidi"/>
          <w:sz w:val="24"/>
          <w:szCs w:val="24"/>
        </w:rPr>
        <w:t xml:space="preserve"> RF (4%, 31%) had a significant </w:t>
      </w:r>
      <w:r w:rsidR="00A91B1E" w:rsidRPr="001020E4">
        <w:rPr>
          <w:rFonts w:asciiTheme="majorBidi" w:hAnsiTheme="majorBidi"/>
          <w:sz w:val="24"/>
          <w:szCs w:val="24"/>
        </w:rPr>
        <w:t>difference (p value=0.005)</w:t>
      </w:r>
      <w:r w:rsidR="00E325AE" w:rsidRPr="001020E4">
        <w:rPr>
          <w:rFonts w:asciiTheme="majorBidi" w:hAnsiTheme="majorBidi"/>
          <w:sz w:val="24"/>
          <w:szCs w:val="24"/>
        </w:rPr>
        <w:t xml:space="preserve"> (</w:t>
      </w:r>
      <w:r w:rsidR="00CA0156" w:rsidRPr="001020E4">
        <w:rPr>
          <w:rFonts w:asciiTheme="majorBidi" w:hAnsiTheme="majorBidi"/>
          <w:sz w:val="24"/>
          <w:szCs w:val="24"/>
        </w:rPr>
        <w:t>Table</w:t>
      </w:r>
      <w:r w:rsidR="00E325AE" w:rsidRPr="001020E4">
        <w:rPr>
          <w:rFonts w:asciiTheme="majorBidi" w:hAnsiTheme="majorBidi"/>
          <w:sz w:val="24"/>
          <w:szCs w:val="24"/>
        </w:rPr>
        <w:t xml:space="preserve"> </w:t>
      </w:r>
      <w:r w:rsidR="002228E4" w:rsidRPr="001020E4">
        <w:rPr>
          <w:rFonts w:asciiTheme="majorBidi" w:hAnsiTheme="majorBidi"/>
          <w:sz w:val="24"/>
          <w:szCs w:val="24"/>
        </w:rPr>
        <w:t>4</w:t>
      </w:r>
      <w:r w:rsidR="00E325AE" w:rsidRPr="001020E4">
        <w:rPr>
          <w:rFonts w:asciiTheme="majorBidi" w:hAnsiTheme="majorBidi"/>
          <w:sz w:val="24"/>
          <w:szCs w:val="24"/>
        </w:rPr>
        <w:t xml:space="preserve">), which </w:t>
      </w:r>
      <w:r w:rsidR="0055576D" w:rsidRPr="001020E4">
        <w:rPr>
          <w:rFonts w:asciiTheme="majorBidi" w:hAnsiTheme="majorBidi"/>
          <w:sz w:val="24"/>
          <w:szCs w:val="24"/>
        </w:rPr>
        <w:t xml:space="preserve">is </w:t>
      </w:r>
      <w:r w:rsidR="00E325AE" w:rsidRPr="001020E4">
        <w:rPr>
          <w:rFonts w:asciiTheme="majorBidi" w:hAnsiTheme="majorBidi"/>
          <w:sz w:val="24"/>
          <w:szCs w:val="24"/>
        </w:rPr>
        <w:t xml:space="preserve">in agreement </w:t>
      </w:r>
      <w:r w:rsidR="0055576D" w:rsidRPr="001020E4">
        <w:rPr>
          <w:rFonts w:asciiTheme="majorBidi" w:hAnsiTheme="majorBidi"/>
          <w:sz w:val="24"/>
          <w:szCs w:val="24"/>
        </w:rPr>
        <w:t>with</w:t>
      </w:r>
      <w:r w:rsidR="00E325AE" w:rsidRPr="001020E4">
        <w:rPr>
          <w:rFonts w:asciiTheme="majorBidi" w:hAnsiTheme="majorBidi"/>
          <w:sz w:val="24"/>
          <w:szCs w:val="24"/>
        </w:rPr>
        <w:t xml:space="preserve"> </w:t>
      </w:r>
      <w:r w:rsidR="00E325AE" w:rsidRPr="001020E4">
        <w:rPr>
          <w:rFonts w:asciiTheme="majorBidi" w:hAnsiTheme="majorBidi"/>
          <w:color w:val="212121"/>
          <w:sz w:val="24"/>
          <w:szCs w:val="24"/>
          <w:shd w:val="clear" w:color="auto" w:fill="FFFFFF"/>
        </w:rPr>
        <w:t xml:space="preserve">Abdelaziz </w:t>
      </w:r>
      <w:r w:rsidR="0055576D" w:rsidRPr="001020E4">
        <w:rPr>
          <w:rFonts w:asciiTheme="majorBidi" w:hAnsiTheme="majorBidi"/>
          <w:color w:val="212121"/>
          <w:sz w:val="24"/>
          <w:szCs w:val="24"/>
          <w:shd w:val="clear" w:color="auto" w:fill="FFFFFF"/>
        </w:rPr>
        <w:t>et al.</w:t>
      </w:r>
      <w:r w:rsidR="00E325AE" w:rsidRPr="001020E4">
        <w:rPr>
          <w:rFonts w:asciiTheme="majorBidi" w:hAnsiTheme="majorBidi"/>
          <w:color w:val="212121"/>
          <w:sz w:val="24"/>
          <w:szCs w:val="24"/>
          <w:shd w:val="clear" w:color="auto" w:fill="FFFFFF"/>
        </w:rPr>
        <w:t>, 2019</w:t>
      </w:r>
      <w:r w:rsidR="00CA0156" w:rsidRPr="001020E4">
        <w:rPr>
          <w:rFonts w:asciiTheme="majorBidi" w:hAnsiTheme="majorBidi"/>
          <w:color w:val="212121"/>
          <w:sz w:val="24"/>
          <w:szCs w:val="24"/>
          <w:shd w:val="clear" w:color="auto" w:fill="FFFFFF"/>
        </w:rPr>
        <w:t xml:space="preserve"> </w:t>
      </w:r>
      <w:r w:rsidR="00CA0156" w:rsidRPr="001020E4">
        <w:rPr>
          <w:rFonts w:asciiTheme="majorBidi" w:hAnsiTheme="majorBidi"/>
          <w:sz w:val="24"/>
          <w:szCs w:val="24"/>
        </w:rPr>
        <w:t>[14],</w:t>
      </w:r>
      <w:r w:rsidR="00E325AE" w:rsidRPr="001020E4">
        <w:rPr>
          <w:rFonts w:asciiTheme="majorBidi" w:hAnsiTheme="majorBidi"/>
          <w:color w:val="212121"/>
          <w:sz w:val="24"/>
          <w:szCs w:val="24"/>
          <w:shd w:val="clear" w:color="auto" w:fill="FFFFFF"/>
        </w:rPr>
        <w:t xml:space="preserve"> who found that</w:t>
      </w:r>
      <w:r w:rsidR="00E325AE" w:rsidRPr="001020E4">
        <w:rPr>
          <w:rFonts w:asciiTheme="majorBidi" w:hAnsiTheme="majorBidi"/>
          <w:sz w:val="24"/>
          <w:szCs w:val="24"/>
        </w:rPr>
        <w:t xml:space="preserve"> 30% of </w:t>
      </w:r>
      <w:r w:rsidRPr="001020E4">
        <w:rPr>
          <w:rFonts w:asciiTheme="majorBidi" w:hAnsiTheme="majorBidi"/>
          <w:sz w:val="24"/>
          <w:szCs w:val="24"/>
        </w:rPr>
        <w:t xml:space="preserve">the </w:t>
      </w:r>
      <w:r w:rsidR="00E325AE" w:rsidRPr="001020E4">
        <w:rPr>
          <w:rFonts w:asciiTheme="majorBidi" w:hAnsiTheme="majorBidi"/>
          <w:sz w:val="24"/>
          <w:szCs w:val="24"/>
        </w:rPr>
        <w:t xml:space="preserve">HCC patients with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treatment, is more than HCC patients without </w:t>
      </w:r>
      <w:r w:rsidR="006136F5" w:rsidRPr="001020E4">
        <w:rPr>
          <w:rFonts w:asciiTheme="majorBidi" w:hAnsiTheme="majorBidi"/>
          <w:sz w:val="24"/>
          <w:szCs w:val="24"/>
        </w:rPr>
        <w:t>DAA</w:t>
      </w:r>
      <w:r w:rsidR="0006542B" w:rsidRPr="001020E4">
        <w:rPr>
          <w:rFonts w:asciiTheme="majorBidi" w:hAnsiTheme="majorBidi"/>
          <w:sz w:val="24"/>
          <w:szCs w:val="24"/>
        </w:rPr>
        <w:t>s</w:t>
      </w:r>
      <w:r w:rsidR="00E325AE" w:rsidRPr="001020E4">
        <w:rPr>
          <w:rFonts w:asciiTheme="majorBidi" w:hAnsiTheme="majorBidi"/>
          <w:sz w:val="24"/>
          <w:szCs w:val="24"/>
        </w:rPr>
        <w:t xml:space="preserve"> treatment (15.5%), the best supportive therapy is the only option for management. </w:t>
      </w:r>
    </w:p>
    <w:p w14:paraId="445B74AD" w14:textId="77777777" w:rsidR="0055576D" w:rsidRPr="00761549" w:rsidRDefault="0055576D" w:rsidP="0055576D">
      <w:pPr>
        <w:pStyle w:val="NoSpacing"/>
        <w:rPr>
          <w:rFonts w:asciiTheme="majorBidi" w:hAnsiTheme="majorBidi"/>
          <w:b/>
          <w:bCs/>
          <w:sz w:val="24"/>
          <w:szCs w:val="24"/>
        </w:rPr>
      </w:pPr>
      <w:r w:rsidRPr="00761549">
        <w:rPr>
          <w:rFonts w:asciiTheme="majorBidi" w:hAnsiTheme="majorBidi"/>
          <w:b/>
          <w:bCs/>
          <w:sz w:val="24"/>
          <w:szCs w:val="24"/>
        </w:rPr>
        <w:t>Limitations</w:t>
      </w:r>
    </w:p>
    <w:p w14:paraId="398867B9" w14:textId="77777777" w:rsidR="001020E4" w:rsidRDefault="0055576D" w:rsidP="001831D6">
      <w:pPr>
        <w:pStyle w:val="NoSpacing"/>
        <w:rPr>
          <w:rFonts w:asciiTheme="majorBidi" w:hAnsiTheme="majorBidi"/>
          <w:sz w:val="24"/>
          <w:szCs w:val="24"/>
        </w:rPr>
      </w:pPr>
      <w:r w:rsidRPr="001020E4">
        <w:rPr>
          <w:rFonts w:asciiTheme="majorBidi" w:hAnsiTheme="majorBidi"/>
          <w:sz w:val="24"/>
          <w:szCs w:val="24"/>
        </w:rPr>
        <w:t xml:space="preserve">The study is a descriptive cross-section with </w:t>
      </w:r>
      <w:r w:rsidR="00517BD8" w:rsidRPr="001020E4">
        <w:rPr>
          <w:rFonts w:asciiTheme="majorBidi" w:hAnsiTheme="majorBidi"/>
          <w:sz w:val="24"/>
          <w:szCs w:val="24"/>
        </w:rPr>
        <w:t>small numbers of patients</w:t>
      </w:r>
      <w:r w:rsidR="001831D6" w:rsidRPr="001020E4">
        <w:rPr>
          <w:rFonts w:asciiTheme="majorBidi" w:hAnsiTheme="majorBidi"/>
          <w:sz w:val="24"/>
          <w:szCs w:val="24"/>
        </w:rPr>
        <w:t>,</w:t>
      </w:r>
      <w:r w:rsidR="00517BD8" w:rsidRPr="001020E4">
        <w:rPr>
          <w:rFonts w:asciiTheme="majorBidi" w:hAnsiTheme="majorBidi"/>
          <w:sz w:val="24"/>
          <w:szCs w:val="24"/>
        </w:rPr>
        <w:t xml:space="preserve"> so risk factors cannot be assessed</w:t>
      </w:r>
      <w:r w:rsidRPr="001020E4">
        <w:rPr>
          <w:rFonts w:asciiTheme="majorBidi" w:hAnsiTheme="majorBidi"/>
          <w:sz w:val="24"/>
          <w:szCs w:val="24"/>
        </w:rPr>
        <w:t>. Some causes of malignancy as occult HBV and Aflatoxin were not excluded. The HCC management was recorded according to the data available, which had many biases according to the patient decision, cost, and</w:t>
      </w:r>
      <w:r w:rsidR="00517BD8" w:rsidRPr="001020E4">
        <w:rPr>
          <w:rFonts w:asciiTheme="majorBidi" w:hAnsiTheme="majorBidi"/>
          <w:sz w:val="24"/>
          <w:szCs w:val="24"/>
        </w:rPr>
        <w:t xml:space="preserve"> </w:t>
      </w:r>
      <w:r w:rsidR="001831D6" w:rsidRPr="001020E4">
        <w:rPr>
          <w:rFonts w:asciiTheme="majorBidi" w:hAnsiTheme="majorBidi"/>
          <w:sz w:val="24"/>
          <w:szCs w:val="24"/>
        </w:rPr>
        <w:t>the available options of HCC management</w:t>
      </w:r>
      <w:r w:rsidR="001020E4">
        <w:rPr>
          <w:rFonts w:asciiTheme="majorBidi" w:hAnsiTheme="majorBidi"/>
          <w:sz w:val="24"/>
          <w:szCs w:val="24"/>
        </w:rPr>
        <w:t>.</w:t>
      </w:r>
    </w:p>
    <w:p w14:paraId="691C39E1" w14:textId="40FFEFBC" w:rsidR="002560AF" w:rsidRDefault="00522DCE" w:rsidP="001831D6">
      <w:pPr>
        <w:pStyle w:val="NoSpacing"/>
        <w:rPr>
          <w:rFonts w:asciiTheme="majorBidi" w:hAnsiTheme="majorBidi"/>
        </w:rPr>
      </w:pPr>
      <w:r w:rsidRPr="00761549">
        <w:rPr>
          <w:rFonts w:asciiTheme="majorBidi" w:hAnsiTheme="majorBidi"/>
          <w:b/>
          <w:bCs/>
          <w:sz w:val="24"/>
          <w:szCs w:val="24"/>
        </w:rPr>
        <w:t>Conclusion:</w:t>
      </w:r>
      <w:r w:rsidRPr="00234B0F">
        <w:rPr>
          <w:rFonts w:asciiTheme="majorBidi" w:hAnsiTheme="majorBidi"/>
        </w:rPr>
        <w:t xml:space="preserve"> </w:t>
      </w:r>
      <w:r w:rsidR="00A36786" w:rsidRPr="001020E4">
        <w:rPr>
          <w:rFonts w:asciiTheme="majorBidi" w:hAnsiTheme="majorBidi"/>
          <w:sz w:val="24"/>
          <w:szCs w:val="24"/>
        </w:rPr>
        <w:t>DAAs therapy of HCV added no additional risk for hepatocellular carcinoma.</w:t>
      </w:r>
    </w:p>
    <w:p w14:paraId="0D1993E0" w14:textId="77777777" w:rsidR="000A2907" w:rsidRPr="000A2907" w:rsidRDefault="000A2907" w:rsidP="000A2907">
      <w:pPr>
        <w:spacing w:after="160" w:line="360" w:lineRule="auto"/>
        <w:ind w:firstLine="0"/>
        <w:rPr>
          <w:rFonts w:ascii="Times New Roman" w:eastAsia="Calibri" w:hAnsi="Times New Roman"/>
          <w:b/>
          <w:bCs/>
          <w:iCs/>
          <w:sz w:val="24"/>
          <w:szCs w:val="24"/>
        </w:rPr>
      </w:pPr>
      <w:r w:rsidRPr="000A2907">
        <w:rPr>
          <w:rFonts w:ascii="Times New Roman" w:eastAsia="Calibri" w:hAnsi="Times New Roman"/>
          <w:b/>
          <w:bCs/>
          <w:iCs/>
          <w:sz w:val="24"/>
          <w:szCs w:val="24"/>
        </w:rPr>
        <w:t>Footnotes.</w:t>
      </w:r>
    </w:p>
    <w:p w14:paraId="53B7EF5C" w14:textId="77777777" w:rsidR="00C73146" w:rsidRPr="00C73146" w:rsidRDefault="00C73146" w:rsidP="00C73146">
      <w:pPr>
        <w:spacing w:after="160" w:line="360" w:lineRule="auto"/>
        <w:ind w:firstLine="0"/>
        <w:rPr>
          <w:rFonts w:ascii="Times New Roman" w:eastAsia="Calibri" w:hAnsi="Times New Roman"/>
          <w:b/>
          <w:bCs/>
          <w:iCs/>
          <w:sz w:val="24"/>
          <w:szCs w:val="24"/>
        </w:rPr>
      </w:pPr>
      <w:r w:rsidRPr="00C73146">
        <w:rPr>
          <w:rFonts w:ascii="Times New Roman" w:eastAsia="Calibri" w:hAnsi="Times New Roman"/>
          <w:b/>
          <w:bCs/>
          <w:iCs/>
          <w:sz w:val="24"/>
          <w:szCs w:val="24"/>
        </w:rPr>
        <w:t>Ethical consideration</w:t>
      </w:r>
    </w:p>
    <w:p w14:paraId="52667F40" w14:textId="77777777" w:rsidR="00C73146" w:rsidRPr="00C73146" w:rsidRDefault="00C73146" w:rsidP="00C73146">
      <w:pPr>
        <w:spacing w:after="160" w:line="360" w:lineRule="auto"/>
        <w:ind w:firstLine="0"/>
        <w:rPr>
          <w:rFonts w:ascii="Times New Roman" w:eastAsia="Calibri" w:hAnsi="Times New Roman"/>
          <w:bCs/>
          <w:iCs/>
          <w:sz w:val="24"/>
          <w:szCs w:val="24"/>
        </w:rPr>
      </w:pPr>
      <w:r w:rsidRPr="00C73146">
        <w:rPr>
          <w:rFonts w:ascii="Times New Roman" w:eastAsia="Calibri" w:hAnsi="Times New Roman"/>
          <w:bCs/>
          <w:iCs/>
          <w:sz w:val="24"/>
          <w:szCs w:val="24"/>
        </w:rPr>
        <w:t>Patients or their relatives gave consent to participate in this research.</w:t>
      </w:r>
    </w:p>
    <w:p w14:paraId="412CAA7E" w14:textId="77777777" w:rsidR="00C73146" w:rsidRPr="00C73146" w:rsidRDefault="00C73146" w:rsidP="00C73146">
      <w:pPr>
        <w:spacing w:after="160" w:line="360" w:lineRule="auto"/>
        <w:ind w:firstLine="0"/>
        <w:rPr>
          <w:rFonts w:ascii="Times New Roman" w:eastAsia="Calibri" w:hAnsi="Times New Roman"/>
          <w:bCs/>
          <w:iCs/>
          <w:sz w:val="24"/>
          <w:szCs w:val="24"/>
        </w:rPr>
      </w:pPr>
      <w:r w:rsidRPr="00C73146">
        <w:rPr>
          <w:rFonts w:ascii="Times New Roman" w:eastAsia="Calibri" w:hAnsi="Times New Roman"/>
          <w:bCs/>
          <w:iCs/>
          <w:sz w:val="24"/>
          <w:szCs w:val="24"/>
        </w:rPr>
        <w:t>The institutional review board of Zagazig university approved this study (2022/11/21 no: 10139).</w:t>
      </w:r>
    </w:p>
    <w:p w14:paraId="086FEB82" w14:textId="77777777" w:rsidR="001020E4" w:rsidRPr="00B812E2" w:rsidRDefault="001020E4" w:rsidP="001020E4">
      <w:pPr>
        <w:spacing w:after="160" w:line="259" w:lineRule="auto"/>
        <w:ind w:firstLine="0"/>
        <w:rPr>
          <w:rFonts w:ascii="Times New Roman" w:eastAsia="Times New Roman" w:hAnsi="Times New Roman"/>
          <w:sz w:val="22"/>
          <w:szCs w:val="22"/>
          <w:lang w:bidi="ar-EG"/>
        </w:rPr>
      </w:pPr>
      <w:r w:rsidRPr="00B812E2">
        <w:rPr>
          <w:rFonts w:ascii="Times New Roman" w:eastAsia="Times New Roman" w:hAnsi="Times New Roman"/>
          <w:b/>
          <w:bCs/>
          <w:sz w:val="22"/>
          <w:szCs w:val="22"/>
          <w:lang w:bidi="ar-EG"/>
        </w:rPr>
        <w:t>Funding source:</w:t>
      </w:r>
      <w:r w:rsidRPr="00B812E2">
        <w:rPr>
          <w:rFonts w:ascii="Times New Roman" w:eastAsia="Times New Roman" w:hAnsi="Times New Roman"/>
          <w:sz w:val="22"/>
          <w:szCs w:val="22"/>
          <w:lang w:bidi="ar-EG"/>
        </w:rPr>
        <w:t xml:space="preserve"> This research received no specific grant from any funding agency in the public, commercial, or not-for-profit sectors.</w:t>
      </w:r>
    </w:p>
    <w:p w14:paraId="0D798459" w14:textId="20DE0547" w:rsidR="000A2907" w:rsidRPr="000A2907" w:rsidRDefault="000A2907" w:rsidP="000A2907">
      <w:pPr>
        <w:spacing w:after="160" w:line="360" w:lineRule="auto"/>
        <w:ind w:firstLine="0"/>
        <w:rPr>
          <w:rFonts w:ascii="Times New Roman" w:eastAsia="Calibri" w:hAnsi="Times New Roman"/>
          <w:b/>
          <w:bCs/>
          <w:iCs/>
          <w:sz w:val="24"/>
          <w:szCs w:val="24"/>
        </w:rPr>
      </w:pPr>
      <w:r w:rsidRPr="000A2907">
        <w:rPr>
          <w:rFonts w:ascii="Times New Roman" w:eastAsia="Calibri" w:hAnsi="Times New Roman"/>
          <w:b/>
          <w:bCs/>
          <w:iCs/>
          <w:sz w:val="24"/>
          <w:szCs w:val="24"/>
        </w:rPr>
        <w:t>Declaration of competing interest</w:t>
      </w:r>
    </w:p>
    <w:p w14:paraId="09D70A79" w14:textId="77777777"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Cs/>
          <w:iCs/>
          <w:sz w:val="24"/>
          <w:szCs w:val="24"/>
        </w:rPr>
        <w:t>There are no conflicts of interest related to this study.</w:t>
      </w:r>
    </w:p>
    <w:p w14:paraId="19B98A05" w14:textId="77777777" w:rsidR="000A2907" w:rsidRPr="000A2907" w:rsidRDefault="000A2907" w:rsidP="000A2907">
      <w:pPr>
        <w:spacing w:after="160" w:line="360" w:lineRule="auto"/>
        <w:ind w:firstLine="0"/>
        <w:jc w:val="both"/>
        <w:rPr>
          <w:rFonts w:ascii="Times New Roman" w:eastAsia="Calibri" w:hAnsi="Times New Roman"/>
          <w:bCs/>
          <w:iCs/>
          <w:sz w:val="24"/>
          <w:szCs w:val="24"/>
        </w:rPr>
      </w:pPr>
      <w:r w:rsidRPr="000A2907">
        <w:rPr>
          <w:rFonts w:ascii="Times New Roman" w:eastAsia="Calibri" w:hAnsi="Times New Roman"/>
          <w:b/>
          <w:bCs/>
          <w:iCs/>
          <w:sz w:val="24"/>
          <w:szCs w:val="24"/>
        </w:rPr>
        <w:t xml:space="preserve">Authors' contributions: </w:t>
      </w:r>
      <w:r w:rsidRPr="000A2907">
        <w:rPr>
          <w:rFonts w:ascii="Times New Roman" w:eastAsia="Calibri" w:hAnsi="Times New Roman"/>
          <w:bCs/>
          <w:iCs/>
          <w:sz w:val="24"/>
          <w:szCs w:val="24"/>
        </w:rPr>
        <w:t>All authors contributed equally to this work.</w:t>
      </w:r>
    </w:p>
    <w:p w14:paraId="7DF08EEB" w14:textId="77777777" w:rsidR="000A2907" w:rsidRPr="000A2907" w:rsidRDefault="000A2907" w:rsidP="000A2907">
      <w:pPr>
        <w:spacing w:after="160" w:line="360" w:lineRule="auto"/>
        <w:ind w:firstLine="0"/>
        <w:jc w:val="both"/>
        <w:rPr>
          <w:rFonts w:ascii="Times New Roman" w:eastAsia="Calibri" w:hAnsi="Times New Roman"/>
          <w:b/>
          <w:bCs/>
          <w:iCs/>
          <w:sz w:val="24"/>
          <w:szCs w:val="24"/>
        </w:rPr>
      </w:pPr>
      <w:r w:rsidRPr="000A2907">
        <w:rPr>
          <w:rFonts w:ascii="Times New Roman" w:eastAsia="Calibri" w:hAnsi="Times New Roman"/>
          <w:bCs/>
          <w:iCs/>
          <w:sz w:val="24"/>
          <w:szCs w:val="24"/>
        </w:rPr>
        <w:t>The institutional review board of Zagazig University, Faculty of Medicine, approved this research.</w:t>
      </w:r>
    </w:p>
    <w:p w14:paraId="1285FB22" w14:textId="5F6E4D20" w:rsidR="000A2907" w:rsidRPr="000A2907" w:rsidRDefault="000A2907" w:rsidP="000A2907">
      <w:pPr>
        <w:spacing w:after="160" w:line="360" w:lineRule="auto"/>
        <w:ind w:firstLine="0"/>
        <w:jc w:val="both"/>
        <w:rPr>
          <w:rFonts w:ascii="Times New Roman" w:eastAsia="Calibri" w:hAnsi="Times New Roman"/>
          <w:bCs/>
          <w:iCs/>
          <w:sz w:val="24"/>
          <w:szCs w:val="24"/>
        </w:rPr>
      </w:pPr>
      <w:r w:rsidRPr="000A2907">
        <w:rPr>
          <w:rFonts w:ascii="Times New Roman" w:eastAsia="Calibri" w:hAnsi="Times New Roman"/>
          <w:b/>
          <w:bCs/>
          <w:iCs/>
          <w:sz w:val="24"/>
          <w:szCs w:val="24"/>
        </w:rPr>
        <w:t xml:space="preserve">Data Availability Statement: </w:t>
      </w:r>
      <w:r w:rsidRPr="000A2907">
        <w:rPr>
          <w:rFonts w:ascii="Times New Roman" w:eastAsia="Calibri" w:hAnsi="Times New Roman"/>
          <w:bCs/>
          <w:iCs/>
          <w:sz w:val="24"/>
          <w:szCs w:val="24"/>
        </w:rPr>
        <w:t>Available upon reasonable request from the corresponding author.</w:t>
      </w:r>
    </w:p>
    <w:p w14:paraId="4F8E4574" w14:textId="77777777"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Cs/>
          <w:iCs/>
          <w:sz w:val="24"/>
          <w:szCs w:val="24"/>
        </w:rPr>
        <w:t>All authors had direct exposure to the study data and read and agreed with the final text.</w:t>
      </w:r>
    </w:p>
    <w:p w14:paraId="200B5899" w14:textId="6D210308" w:rsidR="000A2907" w:rsidRPr="000A2907" w:rsidRDefault="000A2907" w:rsidP="001020E4">
      <w:pPr>
        <w:spacing w:after="160" w:line="360" w:lineRule="auto"/>
        <w:ind w:firstLine="0"/>
        <w:rPr>
          <w:rFonts w:ascii="Times New Roman" w:eastAsia="Calibri" w:hAnsi="Times New Roman"/>
          <w:bCs/>
          <w:iCs/>
          <w:sz w:val="24"/>
          <w:szCs w:val="24"/>
        </w:rPr>
      </w:pPr>
      <w:r w:rsidRPr="00761549">
        <w:rPr>
          <w:rFonts w:ascii="Times New Roman" w:eastAsia="Calibri" w:hAnsi="Times New Roman"/>
          <w:b/>
          <w:iCs/>
          <w:sz w:val="24"/>
          <w:szCs w:val="24"/>
        </w:rPr>
        <w:t>Peer-Reviewers:</w:t>
      </w:r>
      <w:r w:rsidRPr="000A2907">
        <w:rPr>
          <w:rFonts w:ascii="Times New Roman" w:eastAsia="Calibri" w:hAnsi="Times New Roman"/>
          <w:bCs/>
          <w:iCs/>
          <w:sz w:val="24"/>
          <w:szCs w:val="24"/>
        </w:rPr>
        <w:t xml:space="preserve"> </w:t>
      </w:r>
      <w:r w:rsidR="009A66D1" w:rsidRPr="009A66D1">
        <w:rPr>
          <w:rFonts w:ascii="Times New Roman" w:eastAsia="Calibri" w:hAnsi="Times New Roman"/>
          <w:bCs/>
          <w:iCs/>
          <w:sz w:val="24"/>
          <w:szCs w:val="24"/>
        </w:rPr>
        <w:t>Amany Mohammed</w:t>
      </w:r>
      <w:r w:rsidR="009A66D1" w:rsidRPr="000A2907">
        <w:rPr>
          <w:rFonts w:ascii="Times New Roman" w:eastAsia="Calibri" w:hAnsi="Times New Roman"/>
          <w:bCs/>
          <w:iCs/>
          <w:sz w:val="24"/>
          <w:szCs w:val="24"/>
        </w:rPr>
        <w:t xml:space="preserve"> </w:t>
      </w:r>
      <w:r w:rsidR="009A66D1">
        <w:rPr>
          <w:rFonts w:ascii="Times New Roman" w:eastAsia="Calibri" w:hAnsi="Times New Roman"/>
          <w:bCs/>
          <w:iCs/>
          <w:sz w:val="24"/>
          <w:szCs w:val="24"/>
        </w:rPr>
        <w:t xml:space="preserve">Abdallah </w:t>
      </w:r>
      <w:r w:rsidRPr="000A2907">
        <w:rPr>
          <w:rFonts w:ascii="Times New Roman" w:eastAsia="Calibri" w:hAnsi="Times New Roman"/>
          <w:bCs/>
          <w:iCs/>
          <w:sz w:val="24"/>
          <w:szCs w:val="24"/>
        </w:rPr>
        <w:t xml:space="preserve">(Assistant professor of </w:t>
      </w:r>
      <w:r w:rsidR="009A66D1">
        <w:rPr>
          <w:rFonts w:ascii="Times New Roman" w:eastAsia="Calibri" w:hAnsi="Times New Roman"/>
          <w:bCs/>
          <w:iCs/>
          <w:sz w:val="24"/>
          <w:szCs w:val="24"/>
        </w:rPr>
        <w:t xml:space="preserve">community </w:t>
      </w:r>
      <w:r w:rsidRPr="000A2907">
        <w:rPr>
          <w:rFonts w:ascii="Times New Roman" w:eastAsia="Calibri" w:hAnsi="Times New Roman"/>
          <w:bCs/>
          <w:iCs/>
          <w:sz w:val="24"/>
          <w:szCs w:val="24"/>
        </w:rPr>
        <w:t xml:space="preserve">medicine), </w:t>
      </w:r>
      <w:r w:rsidR="009A66D1">
        <w:rPr>
          <w:rFonts w:ascii="Times New Roman" w:eastAsia="Calibri" w:hAnsi="Times New Roman"/>
          <w:bCs/>
          <w:iCs/>
          <w:sz w:val="24"/>
          <w:szCs w:val="24"/>
        </w:rPr>
        <w:t xml:space="preserve">Mohamed Hassan </w:t>
      </w:r>
      <w:r w:rsidR="001020E4">
        <w:rPr>
          <w:rFonts w:ascii="Times New Roman" w:eastAsia="Calibri" w:hAnsi="Times New Roman"/>
          <w:bCs/>
          <w:iCs/>
          <w:sz w:val="24"/>
          <w:szCs w:val="24"/>
        </w:rPr>
        <w:t>E</w:t>
      </w:r>
      <w:r w:rsidR="009A66D1">
        <w:rPr>
          <w:rFonts w:ascii="Times New Roman" w:eastAsia="Calibri" w:hAnsi="Times New Roman"/>
          <w:bCs/>
          <w:iCs/>
          <w:sz w:val="24"/>
          <w:szCs w:val="24"/>
        </w:rPr>
        <w:t>mara</w:t>
      </w:r>
      <w:r w:rsidRPr="000A2907">
        <w:rPr>
          <w:rFonts w:ascii="Times New Roman" w:eastAsia="Calibri" w:hAnsi="Times New Roman"/>
          <w:bCs/>
          <w:iCs/>
          <w:sz w:val="24"/>
          <w:szCs w:val="24"/>
        </w:rPr>
        <w:t xml:space="preserve"> (</w:t>
      </w:r>
      <w:r w:rsidR="009A66D1">
        <w:rPr>
          <w:rFonts w:ascii="Times New Roman" w:eastAsia="Calibri" w:hAnsi="Times New Roman"/>
          <w:bCs/>
          <w:iCs/>
          <w:sz w:val="24"/>
          <w:szCs w:val="24"/>
        </w:rPr>
        <w:t>professor of tropical medicine</w:t>
      </w:r>
      <w:r w:rsidRPr="000A2907">
        <w:rPr>
          <w:rFonts w:ascii="Times New Roman" w:eastAsia="Calibri" w:hAnsi="Times New Roman"/>
          <w:bCs/>
          <w:iCs/>
          <w:sz w:val="24"/>
          <w:szCs w:val="24"/>
        </w:rPr>
        <w:t xml:space="preserve">), </w:t>
      </w:r>
      <w:r w:rsidR="001020E4">
        <w:rPr>
          <w:rFonts w:ascii="Times New Roman" w:eastAsia="Calibri" w:hAnsi="Times New Roman"/>
          <w:bCs/>
          <w:iCs/>
          <w:sz w:val="24"/>
          <w:szCs w:val="24"/>
        </w:rPr>
        <w:t>H</w:t>
      </w:r>
      <w:r w:rsidR="009A66D1">
        <w:rPr>
          <w:rFonts w:ascii="Times New Roman" w:eastAsia="Calibri" w:hAnsi="Times New Roman"/>
          <w:bCs/>
          <w:iCs/>
          <w:sz w:val="24"/>
          <w:szCs w:val="24"/>
        </w:rPr>
        <w:t xml:space="preserve">alla </w:t>
      </w:r>
      <w:r w:rsidR="001020E4">
        <w:rPr>
          <w:rFonts w:ascii="Times New Roman" w:eastAsia="Calibri" w:hAnsi="Times New Roman"/>
          <w:bCs/>
          <w:iCs/>
          <w:sz w:val="24"/>
          <w:szCs w:val="24"/>
        </w:rPr>
        <w:t>Mohamed</w:t>
      </w:r>
      <w:r w:rsidRPr="000A2907">
        <w:rPr>
          <w:rFonts w:ascii="Times New Roman" w:eastAsia="Calibri" w:hAnsi="Times New Roman"/>
          <w:bCs/>
          <w:iCs/>
          <w:sz w:val="24"/>
          <w:szCs w:val="24"/>
        </w:rPr>
        <w:t xml:space="preserve"> (professor of </w:t>
      </w:r>
      <w:r w:rsidR="009A66D1">
        <w:rPr>
          <w:rFonts w:ascii="Times New Roman" w:eastAsia="Calibri" w:hAnsi="Times New Roman"/>
          <w:bCs/>
          <w:iCs/>
          <w:sz w:val="24"/>
          <w:szCs w:val="24"/>
        </w:rPr>
        <w:t>tropical medicine</w:t>
      </w:r>
      <w:r w:rsidRPr="000A2907">
        <w:rPr>
          <w:rFonts w:ascii="Times New Roman" w:eastAsia="Calibri" w:hAnsi="Times New Roman"/>
          <w:bCs/>
          <w:iCs/>
          <w:sz w:val="24"/>
          <w:szCs w:val="24"/>
        </w:rPr>
        <w:t xml:space="preserve">), </w:t>
      </w:r>
      <w:r w:rsidR="001020E4" w:rsidRPr="001020E4">
        <w:rPr>
          <w:rFonts w:ascii="Times New Roman" w:eastAsia="Calibri" w:hAnsi="Times New Roman"/>
          <w:bCs/>
          <w:iCs/>
          <w:sz w:val="24"/>
          <w:szCs w:val="24"/>
        </w:rPr>
        <w:t>Ola Elfarargy</w:t>
      </w:r>
      <w:r w:rsidR="001020E4">
        <w:rPr>
          <w:rFonts w:ascii="Times New Roman" w:eastAsia="Calibri" w:hAnsi="Times New Roman"/>
          <w:bCs/>
          <w:iCs/>
          <w:sz w:val="24"/>
          <w:szCs w:val="24"/>
        </w:rPr>
        <w:t xml:space="preserve"> </w:t>
      </w:r>
      <w:r w:rsidRPr="000A2907">
        <w:rPr>
          <w:rFonts w:ascii="Times New Roman" w:eastAsia="Calibri" w:hAnsi="Times New Roman"/>
          <w:bCs/>
          <w:iCs/>
          <w:sz w:val="24"/>
          <w:szCs w:val="24"/>
        </w:rPr>
        <w:t xml:space="preserve">(Assistant professor of </w:t>
      </w:r>
      <w:r w:rsidR="001020E4">
        <w:rPr>
          <w:rFonts w:ascii="Times New Roman" w:eastAsia="Calibri" w:hAnsi="Times New Roman"/>
          <w:bCs/>
          <w:iCs/>
          <w:sz w:val="24"/>
          <w:szCs w:val="24"/>
        </w:rPr>
        <w:t xml:space="preserve">medical </w:t>
      </w:r>
      <w:r w:rsidR="00637D82">
        <w:rPr>
          <w:rFonts w:ascii="Times New Roman" w:eastAsia="Calibri" w:hAnsi="Times New Roman"/>
          <w:bCs/>
          <w:iCs/>
          <w:sz w:val="24"/>
          <w:szCs w:val="24"/>
        </w:rPr>
        <w:t>oncology</w:t>
      </w:r>
      <w:r w:rsidR="00637D82" w:rsidRPr="000A2907">
        <w:rPr>
          <w:rFonts w:ascii="Times New Roman" w:eastAsia="Calibri" w:hAnsi="Times New Roman"/>
          <w:bCs/>
          <w:iCs/>
          <w:sz w:val="24"/>
          <w:szCs w:val="24"/>
        </w:rPr>
        <w:t>)</w:t>
      </w:r>
      <w:r w:rsidRPr="000A2907">
        <w:rPr>
          <w:rFonts w:ascii="Times New Roman" w:eastAsia="Calibri" w:hAnsi="Times New Roman"/>
          <w:bCs/>
          <w:iCs/>
          <w:sz w:val="24"/>
          <w:szCs w:val="24"/>
        </w:rPr>
        <w:t>.</w:t>
      </w:r>
    </w:p>
    <w:p w14:paraId="6E5296CF" w14:textId="384D096A"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
          <w:iCs/>
          <w:sz w:val="24"/>
          <w:szCs w:val="24"/>
        </w:rPr>
        <w:t>E- Editor:</w:t>
      </w:r>
      <w:r w:rsidRPr="000A2907">
        <w:rPr>
          <w:rFonts w:ascii="Times New Roman" w:eastAsia="Calibri" w:hAnsi="Times New Roman"/>
          <w:bCs/>
          <w:iCs/>
          <w:sz w:val="24"/>
          <w:szCs w:val="24"/>
        </w:rPr>
        <w:t xml:space="preserve"> Salem Youssef Mohamed.</w:t>
      </w:r>
    </w:p>
    <w:p w14:paraId="71706A00" w14:textId="5D6B8676" w:rsidR="000A2907" w:rsidRPr="000A2907" w:rsidRDefault="000A2907" w:rsidP="000A2907">
      <w:pPr>
        <w:spacing w:after="160" w:line="360" w:lineRule="auto"/>
        <w:ind w:firstLine="0"/>
        <w:rPr>
          <w:rFonts w:ascii="Times New Roman" w:eastAsia="Calibri" w:hAnsi="Times New Roman"/>
          <w:bCs/>
          <w:iCs/>
          <w:sz w:val="24"/>
          <w:szCs w:val="24"/>
        </w:rPr>
      </w:pPr>
      <w:r w:rsidRPr="000A2907">
        <w:rPr>
          <w:rFonts w:ascii="Times New Roman" w:eastAsia="Calibri" w:hAnsi="Times New Roman"/>
          <w:b/>
          <w:iCs/>
          <w:sz w:val="24"/>
          <w:szCs w:val="24"/>
        </w:rPr>
        <w:t>Copyright ©.</w:t>
      </w:r>
      <w:r w:rsidRPr="000A2907">
        <w:rPr>
          <w:rFonts w:ascii="Times New Roman" w:eastAsia="Calibri" w:hAnsi="Times New Roman"/>
          <w:bCs/>
          <w:iCs/>
          <w:sz w:val="24"/>
          <w:szCs w:val="24"/>
        </w:rPr>
        <w:t xml:space="preserve"> This open-access article is distributed under the </w:t>
      </w:r>
      <w:hyperlink r:id="rId12" w:history="1">
        <w:r w:rsidRPr="000A2907">
          <w:rPr>
            <w:rFonts w:ascii="Times New Roman" w:eastAsia="Calibri" w:hAnsi="Times New Roman"/>
            <w:bCs/>
            <w:iCs/>
            <w:color w:val="0563C1"/>
            <w:sz w:val="24"/>
            <w:szCs w:val="24"/>
            <w:u w:val="single"/>
          </w:rPr>
          <w:t>Creative Commons Attribution License (CC BY)</w:t>
        </w:r>
      </w:hyperlink>
      <w:r w:rsidRPr="000A2907">
        <w:rPr>
          <w:rFonts w:ascii="Times New Roman" w:eastAsia="Calibri" w:hAnsi="Times New Roman"/>
          <w:bCs/>
          <w:iCs/>
          <w:sz w:val="24"/>
          <w:szCs w:val="24"/>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009F63EF" w14:textId="2CC96FE4" w:rsidR="000A2907" w:rsidRPr="000A2907" w:rsidRDefault="000A2907" w:rsidP="000A2907">
      <w:pPr>
        <w:spacing w:after="160" w:line="360" w:lineRule="auto"/>
        <w:ind w:firstLine="0"/>
        <w:rPr>
          <w:rFonts w:ascii="Times New Roman" w:eastAsia="Calibri" w:hAnsi="Times New Roman"/>
          <w:b/>
          <w:bCs/>
          <w:sz w:val="24"/>
          <w:szCs w:val="24"/>
        </w:rPr>
      </w:pPr>
      <w:r w:rsidRPr="000A2907">
        <w:rPr>
          <w:rFonts w:ascii="Times New Roman" w:eastAsia="Calibri" w:hAnsi="Times New Roman"/>
          <w:b/>
          <w:iCs/>
          <w:sz w:val="24"/>
          <w:szCs w:val="24"/>
        </w:rPr>
        <w:t>Disclaimer:</w:t>
      </w:r>
      <w:r w:rsidRPr="000A2907">
        <w:rPr>
          <w:rFonts w:ascii="Times New Roman" w:eastAsia="Calibri" w:hAnsi="Times New Roman"/>
          <w:bCs/>
          <w:iCs/>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25086198" w14:textId="6DFC26C4" w:rsidR="001D494A" w:rsidRPr="00761549" w:rsidRDefault="001D494A" w:rsidP="00634ACA">
      <w:pPr>
        <w:pStyle w:val="NoSpacing"/>
        <w:jc w:val="both"/>
        <w:rPr>
          <w:rFonts w:asciiTheme="majorBidi" w:hAnsiTheme="majorBidi"/>
          <w:sz w:val="24"/>
          <w:szCs w:val="24"/>
        </w:rPr>
      </w:pPr>
      <w:r w:rsidRPr="00761549">
        <w:rPr>
          <w:rFonts w:ascii="Times New Roman" w:eastAsia="Calibri" w:hAnsi="Times New Roman"/>
          <w:b/>
          <w:iCs/>
          <w:sz w:val="24"/>
          <w:szCs w:val="24"/>
        </w:rPr>
        <w:t>Acknowledgment:</w:t>
      </w:r>
      <w:r w:rsidRPr="00761549">
        <w:rPr>
          <w:rFonts w:asciiTheme="majorBidi" w:hAnsiTheme="majorBidi"/>
          <w:sz w:val="24"/>
          <w:szCs w:val="24"/>
        </w:rPr>
        <w:t xml:space="preserve"> we thank the patients, their relatives</w:t>
      </w:r>
      <w:r w:rsidR="0055576D" w:rsidRPr="00761549">
        <w:rPr>
          <w:rFonts w:asciiTheme="majorBidi" w:hAnsiTheme="majorBidi"/>
          <w:sz w:val="24"/>
          <w:szCs w:val="24"/>
        </w:rPr>
        <w:t>,</w:t>
      </w:r>
      <w:r w:rsidRPr="00761549">
        <w:rPr>
          <w:rFonts w:asciiTheme="majorBidi" w:hAnsiTheme="majorBidi"/>
          <w:sz w:val="24"/>
          <w:szCs w:val="24"/>
        </w:rPr>
        <w:t xml:space="preserve"> and our colleagues.</w:t>
      </w:r>
    </w:p>
    <w:bookmarkEnd w:id="7"/>
    <w:bookmarkEnd w:id="8"/>
    <w:bookmarkEnd w:id="9"/>
    <w:p w14:paraId="4D94C76E" w14:textId="77777777" w:rsidR="00D20E84" w:rsidRPr="00761549" w:rsidRDefault="00D20E84" w:rsidP="00634ACA">
      <w:pPr>
        <w:pStyle w:val="NoSpacing"/>
        <w:jc w:val="both"/>
        <w:rPr>
          <w:rFonts w:ascii="Times New Roman" w:eastAsia="Calibri" w:hAnsi="Times New Roman"/>
          <w:b/>
          <w:iCs/>
          <w:sz w:val="24"/>
          <w:szCs w:val="24"/>
        </w:rPr>
      </w:pPr>
      <w:r w:rsidRPr="00761549">
        <w:rPr>
          <w:rFonts w:ascii="Times New Roman" w:eastAsia="Calibri" w:hAnsi="Times New Roman"/>
          <w:b/>
          <w:iCs/>
          <w:sz w:val="24"/>
          <w:szCs w:val="24"/>
        </w:rPr>
        <w:t>References</w:t>
      </w:r>
    </w:p>
    <w:p w14:paraId="5FB39E2D" w14:textId="4825BCB8" w:rsidR="00D20E84" w:rsidRPr="00761549" w:rsidRDefault="00D20E84" w:rsidP="00634ACA">
      <w:pPr>
        <w:pStyle w:val="NoSpacing"/>
        <w:jc w:val="both"/>
        <w:rPr>
          <w:rFonts w:asciiTheme="majorBidi" w:hAnsiTheme="majorBidi"/>
          <w:sz w:val="24"/>
          <w:szCs w:val="24"/>
        </w:rPr>
      </w:pPr>
      <w:r w:rsidRPr="00761549">
        <w:rPr>
          <w:rFonts w:asciiTheme="majorBidi" w:hAnsiTheme="majorBidi"/>
          <w:sz w:val="24"/>
          <w:szCs w:val="24"/>
        </w:rPr>
        <w:t>[1].</w:t>
      </w:r>
      <w:r w:rsidRPr="00234B0F">
        <w:rPr>
          <w:rFonts w:asciiTheme="majorBidi" w:hAnsiTheme="majorBidi"/>
        </w:rPr>
        <w:t xml:space="preserve"> </w:t>
      </w:r>
      <w:r w:rsidRPr="00761549">
        <w:rPr>
          <w:rFonts w:asciiTheme="majorBidi" w:hAnsiTheme="majorBidi"/>
          <w:sz w:val="24"/>
          <w:szCs w:val="24"/>
        </w:rPr>
        <w:t>Elghazaly H, Gaballah A, Eldin NB. P-019 Clinic-pathological pattern of hepatocellular carcinoma (HCC) in Egypt. Ann Oncol. 2018;29.</w:t>
      </w:r>
    </w:p>
    <w:p w14:paraId="08C80EAD"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[2]. Nevola R, Rinaldi L, Giordano M, </w:t>
      </w:r>
      <w:r w:rsidR="00A6701A" w:rsidRPr="00761549">
        <w:rPr>
          <w:rFonts w:asciiTheme="majorBidi" w:hAnsiTheme="majorBidi"/>
          <w:sz w:val="24"/>
          <w:szCs w:val="24"/>
        </w:rPr>
        <w:t>et al</w:t>
      </w:r>
      <w:r w:rsidRPr="00761549">
        <w:rPr>
          <w:rFonts w:asciiTheme="majorBidi" w:hAnsiTheme="majorBidi"/>
          <w:sz w:val="24"/>
          <w:szCs w:val="24"/>
        </w:rPr>
        <w:t>. Mechanisms and clinical behavior of hepatocellular carcinoma in HBV and HCV infection and alcoholic and non-alcoholic fatty liver disease. Hepatoma Res 2018;</w:t>
      </w:r>
      <w:r w:rsidR="00FB1D0A" w:rsidRPr="00761549">
        <w:rPr>
          <w:rFonts w:asciiTheme="majorBidi" w:hAnsiTheme="majorBidi"/>
          <w:sz w:val="24"/>
          <w:szCs w:val="24"/>
        </w:rPr>
        <w:t xml:space="preserve"> </w:t>
      </w:r>
      <w:r w:rsidRPr="00761549">
        <w:rPr>
          <w:rFonts w:asciiTheme="majorBidi" w:hAnsiTheme="majorBidi"/>
          <w:sz w:val="24"/>
          <w:szCs w:val="24"/>
        </w:rPr>
        <w:t xml:space="preserve">4:55. </w:t>
      </w:r>
    </w:p>
    <w:p w14:paraId="7DE7ACA7" w14:textId="3BE69ECB"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[3]. McGlynn KA, London WT. The global epidemiology of hepatocellular carcinoma: present and future. Clin Liver Dis. 2011 May;15(2):223-43</w:t>
      </w:r>
      <w:r w:rsidR="005B7F51" w:rsidRPr="00761549">
        <w:rPr>
          <w:rFonts w:asciiTheme="majorBidi" w:hAnsiTheme="majorBidi"/>
          <w:sz w:val="24"/>
          <w:szCs w:val="24"/>
        </w:rPr>
        <w:t xml:space="preserve">. </w:t>
      </w:r>
    </w:p>
    <w:p w14:paraId="3BD79082" w14:textId="1213B3B4" w:rsidR="00A6701A"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[4]. Manns MP, Wedemeyer H, Cornberg M. Treating viral hepatitis C: efficacy, side effects, and complications. Gut. 2006 Sep;55(9):1350-9. </w:t>
      </w:r>
    </w:p>
    <w:p w14:paraId="57CF9F38" w14:textId="26311826"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[5]. Schinazi R, Halfon P, Marcellin P, Asselah T. HCV direct-acting antiviral agents: the best interferon-free combinations. Liver Int. 2014 Feb;34 Suppl 1(Suppl 1):69-78. </w:t>
      </w:r>
    </w:p>
    <w:p w14:paraId="531C18EF" w14:textId="447837CE"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[6]. Fatima T, Mumtaz H, Khan MH, </w:t>
      </w:r>
      <w:r w:rsidR="00A6701A" w:rsidRPr="00761549">
        <w:rPr>
          <w:rFonts w:asciiTheme="majorBidi" w:hAnsiTheme="majorBidi"/>
          <w:sz w:val="24"/>
          <w:szCs w:val="24"/>
        </w:rPr>
        <w:t>et al</w:t>
      </w:r>
      <w:r w:rsidRPr="00761549">
        <w:rPr>
          <w:rFonts w:asciiTheme="majorBidi" w:hAnsiTheme="majorBidi"/>
          <w:sz w:val="24"/>
          <w:szCs w:val="24"/>
        </w:rPr>
        <w:t>. Patterns of Hepatocellular Carcinoma After Direct Antiviral Agents and Pegylated-Interferon Therapy. Cureus. 2020 Nov 19;12(11</w:t>
      </w:r>
      <w:r w:rsidR="000348FD" w:rsidRPr="00761549">
        <w:rPr>
          <w:rFonts w:asciiTheme="majorBidi" w:hAnsiTheme="majorBidi"/>
          <w:sz w:val="24"/>
          <w:szCs w:val="24"/>
        </w:rPr>
        <w:t>): e</w:t>
      </w:r>
      <w:r w:rsidRPr="00761549">
        <w:rPr>
          <w:rFonts w:asciiTheme="majorBidi" w:hAnsiTheme="majorBidi"/>
          <w:sz w:val="24"/>
          <w:szCs w:val="24"/>
        </w:rPr>
        <w:t xml:space="preserve">11565. </w:t>
      </w:r>
    </w:p>
    <w:p w14:paraId="77F570BF" w14:textId="5301B70C"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[7]. Reig M, Mariño Z, Perelló C, </w:t>
      </w:r>
      <w:r w:rsidR="00A6701A" w:rsidRPr="00761549">
        <w:rPr>
          <w:rFonts w:asciiTheme="majorBidi" w:hAnsiTheme="majorBidi"/>
          <w:sz w:val="24"/>
          <w:szCs w:val="24"/>
        </w:rPr>
        <w:t>et al.</w:t>
      </w:r>
      <w:r w:rsidRPr="00761549">
        <w:rPr>
          <w:rFonts w:asciiTheme="majorBidi" w:hAnsiTheme="majorBidi"/>
          <w:sz w:val="24"/>
          <w:szCs w:val="24"/>
        </w:rPr>
        <w:t xml:space="preserve"> Unexpected high rate of early tumor recurrence in patients with HCV-related HCC undergoing interferon-free therapy. J Hepatol. 2016 Oct;65(4):719-726. </w:t>
      </w:r>
    </w:p>
    <w:p w14:paraId="1DF34D1E"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[8]. Nahon P, Ganne-Carrié N. Management of patients with pre-therapeutic advanced liver fibrosis following HCV eradication. JHEP Rep. 2019 Nov 18;1(6):480-489. </w:t>
      </w:r>
    </w:p>
    <w:p w14:paraId="19E249F3" w14:textId="03D81FB4"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[9]. </w:t>
      </w:r>
      <w:r w:rsidR="00E440B7" w:rsidRPr="00761549">
        <w:rPr>
          <w:rFonts w:asciiTheme="majorBidi" w:hAnsiTheme="majorBidi"/>
          <w:sz w:val="24"/>
          <w:szCs w:val="24"/>
        </w:rPr>
        <w:t xml:space="preserve">Rashed WM, Kandeil MAM, Mahmoud MO, Ezzat S. Hepatocellular Carcinoma (HCC) in Egypt: A comprehensive overview. J Egypt Natl Canc Inst. 2020 Jan 16;32(1):5. </w:t>
      </w:r>
    </w:p>
    <w:p w14:paraId="193B9EC9" w14:textId="1195FF1B" w:rsidR="00A6701A"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[10]. Kamal A, Elsheaita A, Abdelnabi M. Association between direct-acting antiviral agents in hepatitis C virus treatment and hepatocellular carcinoma occurrence and recurrence: The endless debate. World J Clin Cases. 2022 Feb 26;10(6):1764-1774. </w:t>
      </w:r>
    </w:p>
    <w:p w14:paraId="1F473EA4" w14:textId="4268758B"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[11]. El Kassas M, Elbaz T, Salaheldin M, </w:t>
      </w:r>
      <w:r w:rsidR="00A6701A" w:rsidRPr="00761549">
        <w:rPr>
          <w:rFonts w:asciiTheme="majorBidi" w:hAnsiTheme="majorBidi"/>
          <w:sz w:val="24"/>
          <w:szCs w:val="24"/>
        </w:rPr>
        <w:t>et al</w:t>
      </w:r>
      <w:r w:rsidRPr="00761549">
        <w:rPr>
          <w:rFonts w:asciiTheme="majorBidi" w:hAnsiTheme="majorBidi"/>
          <w:sz w:val="24"/>
          <w:szCs w:val="24"/>
        </w:rPr>
        <w:t xml:space="preserve">. Impact of treating chronic hepatitis C infection with direct-acting antivirals on the risk of hepatocellular carcinoma: The debate continues - A mini-review. J Adv Res. 2019 Mar </w:t>
      </w:r>
      <w:r w:rsidR="00023684" w:rsidRPr="00761549">
        <w:rPr>
          <w:rFonts w:asciiTheme="majorBidi" w:hAnsiTheme="majorBidi"/>
          <w:sz w:val="24"/>
          <w:szCs w:val="24"/>
        </w:rPr>
        <w:t>7; 17:43</w:t>
      </w:r>
      <w:r w:rsidRPr="00761549">
        <w:rPr>
          <w:rFonts w:asciiTheme="majorBidi" w:hAnsiTheme="majorBidi"/>
          <w:sz w:val="24"/>
          <w:szCs w:val="24"/>
        </w:rPr>
        <w:t xml:space="preserve">-48. </w:t>
      </w:r>
    </w:p>
    <w:p w14:paraId="0B3AE735" w14:textId="3C721AF5"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[12]. El Fayoumie M, Abdelhady M, Gawish A, </w:t>
      </w:r>
      <w:r w:rsidR="00023684" w:rsidRPr="00761549">
        <w:rPr>
          <w:rFonts w:asciiTheme="majorBidi" w:hAnsiTheme="majorBidi"/>
          <w:sz w:val="24"/>
          <w:szCs w:val="24"/>
        </w:rPr>
        <w:t>et al.</w:t>
      </w:r>
      <w:r w:rsidRPr="00761549">
        <w:rPr>
          <w:rFonts w:asciiTheme="majorBidi" w:hAnsiTheme="majorBidi"/>
          <w:sz w:val="24"/>
          <w:szCs w:val="24"/>
        </w:rPr>
        <w:t xml:space="preserve">: Changing Patterns of Hepatocellular Carcinoma after Treatment with Direct Antiviral Agents. Gastrointest Tumors </w:t>
      </w:r>
      <w:r w:rsidR="00023684" w:rsidRPr="00761549">
        <w:rPr>
          <w:rFonts w:asciiTheme="majorBidi" w:hAnsiTheme="majorBidi"/>
          <w:sz w:val="24"/>
          <w:szCs w:val="24"/>
        </w:rPr>
        <w:t>2020; 7:50</w:t>
      </w:r>
      <w:r w:rsidRPr="00761549">
        <w:rPr>
          <w:rFonts w:asciiTheme="majorBidi" w:hAnsiTheme="majorBidi"/>
          <w:sz w:val="24"/>
          <w:szCs w:val="24"/>
        </w:rPr>
        <w:t>-60.</w:t>
      </w:r>
    </w:p>
    <w:p w14:paraId="6DC4969F"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[13]. Tarao K, Nozaki A, Ikeda T, </w:t>
      </w:r>
      <w:r w:rsidR="00A6701A" w:rsidRPr="00761549">
        <w:rPr>
          <w:rFonts w:asciiTheme="majorBidi" w:hAnsiTheme="majorBidi"/>
          <w:sz w:val="24"/>
          <w:szCs w:val="24"/>
        </w:rPr>
        <w:t>et al</w:t>
      </w:r>
      <w:r w:rsidRPr="00761549">
        <w:rPr>
          <w:rFonts w:asciiTheme="majorBidi" w:hAnsiTheme="majorBidi"/>
          <w:sz w:val="24"/>
          <w:szCs w:val="24"/>
        </w:rPr>
        <w:t xml:space="preserve">. Real impact of liver cirrhosis on the development of hepatocellular carcinoma in various liver diseases-meta-analytic assessment. Cancer Med. 2019 Mar;8(3):1054-1065. </w:t>
      </w:r>
    </w:p>
    <w:p w14:paraId="29D33EB6"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[14]. Abdelaziz AO, Nabil MM, Abdelmaksoud AH, et al. Tumor behavior of hepatocellular carcinoma after hepatitis C treatment by direct-acting antivirals: comparative analysis with non-direct-acting antivirals-treated patients. Eur J Gastroenterol Hepatol. 2019 Jan;31((1)):75–9.</w:t>
      </w:r>
    </w:p>
    <w:p w14:paraId="281983CA" w14:textId="0080EB18"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[15]. Nakano M, Koga H, Ide T, et al. Predictors of hepatocellular carcinoma recurrence associated with the use of direct-acting antiviral agent therapy for hepatitis C virus after curative treatment: A prospective multicenter cohort study. Cancer Med. 2019 May;8(5):2646-2653.</w:t>
      </w:r>
    </w:p>
    <w:p w14:paraId="75E1B4A5" w14:textId="0A446F80"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[16]. Tani J, Morishita A, Sakamoto T, </w:t>
      </w:r>
      <w:r w:rsidR="00023684" w:rsidRPr="00761549">
        <w:rPr>
          <w:rFonts w:asciiTheme="majorBidi" w:hAnsiTheme="majorBidi"/>
          <w:sz w:val="24"/>
          <w:szCs w:val="24"/>
        </w:rPr>
        <w:t>et al.</w:t>
      </w:r>
      <w:r w:rsidRPr="00761549">
        <w:rPr>
          <w:rFonts w:asciiTheme="majorBidi" w:hAnsiTheme="majorBidi"/>
          <w:sz w:val="24"/>
          <w:szCs w:val="24"/>
        </w:rPr>
        <w:t>: Simple scoring system for prediction of hepatocellular carcinoma occurrence after hepatitis C virus eradication by direct</w:t>
      </w:r>
      <w:r w:rsidRPr="00761549">
        <w:rPr>
          <w:rFonts w:asciiTheme="majorBidi" w:hAnsiTheme="majorBidi" w:hint="eastAsia"/>
          <w:sz w:val="24"/>
          <w:szCs w:val="24"/>
        </w:rPr>
        <w:t>‑</w:t>
      </w:r>
      <w:r w:rsidRPr="00761549">
        <w:rPr>
          <w:rFonts w:asciiTheme="majorBidi" w:hAnsiTheme="majorBidi"/>
          <w:sz w:val="24"/>
          <w:szCs w:val="24"/>
        </w:rPr>
        <w:t>acting antiviral treatment: All Kagawa Liver Disease Group Study. Oncol Lett 19: 2205-2212, 2020.</w:t>
      </w:r>
    </w:p>
    <w:p w14:paraId="6EDC1D18" w14:textId="77777777" w:rsidR="00D20E84" w:rsidRPr="00761549" w:rsidRDefault="00D20E84" w:rsidP="00A6701A">
      <w:pPr>
        <w:pStyle w:val="NoSpacing"/>
        <w:jc w:val="both"/>
        <w:rPr>
          <w:rFonts w:asciiTheme="majorBidi" w:hAnsiTheme="majorBidi"/>
          <w:sz w:val="24"/>
          <w:szCs w:val="24"/>
        </w:rPr>
      </w:pPr>
      <w:r w:rsidRPr="00761549">
        <w:rPr>
          <w:rFonts w:asciiTheme="majorBidi" w:hAnsiTheme="majorBidi"/>
          <w:sz w:val="24"/>
          <w:szCs w:val="24"/>
        </w:rPr>
        <w:t xml:space="preserve">[17]. Watanabe, T., Tokumoto, Y., Joko, K., et al. (2019) Predictors of hepatocellular carcinoma occurrence after direct-acting antiviral therapy in patients with hepatitis C virus infection. Hepatol Res, 49: 136– 146. </w:t>
      </w:r>
    </w:p>
    <w:p w14:paraId="0D550501" w14:textId="6CC7B322" w:rsidR="00A62366" w:rsidRPr="00761549" w:rsidRDefault="00A62366" w:rsidP="00A62366">
      <w:pPr>
        <w:pStyle w:val="NoSpacing"/>
        <w:jc w:val="both"/>
        <w:rPr>
          <w:rFonts w:asciiTheme="majorBidi" w:hAnsiTheme="majorBidi"/>
          <w:sz w:val="24"/>
          <w:szCs w:val="24"/>
        </w:rPr>
      </w:pPr>
      <w:r w:rsidRPr="00761549">
        <w:rPr>
          <w:rFonts w:asciiTheme="majorBidi" w:hAnsiTheme="majorBidi"/>
          <w:sz w:val="24"/>
          <w:szCs w:val="24"/>
        </w:rPr>
        <w:t>[18]. European Association for the Study of The Liver – EASL Clinical Practice Guidelines: Management of hepatocellular carcinoma. J Hepatol 2018, Epub ahead of print.</w:t>
      </w:r>
    </w:p>
    <w:p w14:paraId="11AD9E67" w14:textId="77777777" w:rsidR="00A62366" w:rsidRPr="00761549" w:rsidRDefault="00A62366" w:rsidP="00A6701A">
      <w:pPr>
        <w:pStyle w:val="NoSpacing"/>
        <w:jc w:val="both"/>
        <w:rPr>
          <w:rFonts w:asciiTheme="majorBidi" w:hAnsiTheme="majorBidi"/>
          <w:sz w:val="24"/>
          <w:szCs w:val="24"/>
        </w:rPr>
      </w:pPr>
      <w:r w:rsidRPr="00761549">
        <w:rPr>
          <w:rFonts w:asciiTheme="majorBidi" w:hAnsiTheme="majorBidi"/>
          <w:sz w:val="24"/>
          <w:szCs w:val="24"/>
        </w:rPr>
        <w:t>[19]. Mazzaferro V, Regalia E, Doci R, et al. Liver transplantation for the treatment of small hepatocellular carcinomas in patients with cirrhosis. N Engl J Med. 1996 Mar 14;334(11):693-9.</w:t>
      </w:r>
    </w:p>
    <w:p w14:paraId="10EDA1FA" w14:textId="46812D4E" w:rsidR="00AA3AD1" w:rsidRPr="00761549" w:rsidRDefault="008C4659" w:rsidP="00023684">
      <w:pPr>
        <w:ind w:firstLine="0"/>
        <w:jc w:val="both"/>
        <w:rPr>
          <w:rFonts w:asciiTheme="majorBidi" w:hAnsiTheme="majorBidi"/>
          <w:sz w:val="24"/>
          <w:szCs w:val="24"/>
        </w:rPr>
      </w:pPr>
      <w:r w:rsidRPr="00761549">
        <w:rPr>
          <w:rFonts w:asciiTheme="majorBidi" w:hAnsiTheme="majorBidi"/>
          <w:sz w:val="24"/>
          <w:szCs w:val="24"/>
        </w:rPr>
        <w:t xml:space="preserve">[20]. Von Elm E, Altman DG, Egger M, </w:t>
      </w:r>
      <w:r w:rsidR="00A6701A" w:rsidRPr="00761549">
        <w:rPr>
          <w:rFonts w:asciiTheme="majorBidi" w:hAnsiTheme="majorBidi"/>
          <w:sz w:val="24"/>
          <w:szCs w:val="24"/>
        </w:rPr>
        <w:t>et al</w:t>
      </w:r>
      <w:r w:rsidRPr="00761549">
        <w:rPr>
          <w:rFonts w:asciiTheme="majorBidi" w:hAnsiTheme="majorBidi"/>
          <w:sz w:val="24"/>
          <w:szCs w:val="24"/>
        </w:rPr>
        <w:t>. The Strengthening the Reporting of Observational Studies in Epidemiology (STROBE) Statement: guidelines for reporting observational studies.</w:t>
      </w:r>
    </w:p>
    <w:sectPr w:rsidR="00AA3AD1" w:rsidRPr="007615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20FF" w14:textId="77777777" w:rsidR="00B631F8" w:rsidRDefault="00B631F8" w:rsidP="00733E3C">
      <w:pPr>
        <w:spacing w:after="0"/>
      </w:pPr>
      <w:r>
        <w:separator/>
      </w:r>
    </w:p>
  </w:endnote>
  <w:endnote w:type="continuationSeparator" w:id="0">
    <w:p w14:paraId="007AD407" w14:textId="77777777" w:rsidR="00B631F8" w:rsidRDefault="00B631F8" w:rsidP="00733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nrsjMinion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24694"/>
      <w:docPartObj>
        <w:docPartGallery w:val="Page Numbers (Bottom of Page)"/>
        <w:docPartUnique/>
      </w:docPartObj>
    </w:sdtPr>
    <w:sdtEndPr>
      <w:rPr>
        <w:noProof/>
      </w:rPr>
    </w:sdtEndPr>
    <w:sdtContent>
      <w:p w14:paraId="236192CD" w14:textId="0EC08F03" w:rsidR="00B812E2" w:rsidRPr="00B812E2" w:rsidRDefault="00B812E2" w:rsidP="00B812E2">
        <w:pPr>
          <w:pBdr>
            <w:top w:val="thinThickSmallGap" w:sz="24" w:space="1" w:color="823B0B"/>
          </w:pBdr>
          <w:tabs>
            <w:tab w:val="center" w:pos="4320"/>
            <w:tab w:val="right" w:pos="8640"/>
          </w:tabs>
          <w:rPr>
            <w:rFonts w:ascii="Calibri" w:eastAsia="Calibri" w:hAnsi="Calibri" w:cs="Arial"/>
            <w:sz w:val="22"/>
            <w:szCs w:val="22"/>
          </w:rPr>
        </w:pPr>
        <w:r>
          <w:rPr>
            <w:rFonts w:ascii="Times New Roman" w:eastAsia="Calibri" w:hAnsi="Times New Roman"/>
            <w:sz w:val="24"/>
            <w:szCs w:val="24"/>
            <w:lang w:bidi="ar-EG"/>
          </w:rPr>
          <w:t>Hassan N</w:t>
        </w:r>
        <w:r w:rsidRPr="00B812E2">
          <w:rPr>
            <w:rFonts w:ascii="Calibri" w:eastAsia="Calibri" w:hAnsi="Calibri" w:cs="Arial"/>
            <w:sz w:val="22"/>
            <w:szCs w:val="22"/>
          </w:rPr>
          <w:t xml:space="preserve"> et al.2022</w:t>
        </w:r>
        <w:r w:rsidRPr="00B812E2">
          <w:rPr>
            <w:rFonts w:ascii="Calibri Light" w:eastAsia="Times New Roman" w:hAnsi="Calibri Light"/>
            <w:sz w:val="22"/>
            <w:szCs w:val="22"/>
          </w:rPr>
          <w:ptab w:relativeTo="margin" w:alignment="right" w:leader="none"/>
        </w:r>
        <w:r w:rsidRPr="00B812E2">
          <w:rPr>
            <w:rFonts w:ascii="Calibri" w:eastAsia="Times New Roman" w:hAnsi="Calibri" w:cs="Arial"/>
            <w:sz w:val="22"/>
            <w:szCs w:val="22"/>
          </w:rPr>
          <w:fldChar w:fldCharType="begin"/>
        </w:r>
        <w:r w:rsidRPr="00B812E2">
          <w:rPr>
            <w:rFonts w:ascii="Calibri" w:eastAsia="Calibri" w:hAnsi="Calibri" w:cs="Arial"/>
            <w:sz w:val="22"/>
            <w:szCs w:val="22"/>
          </w:rPr>
          <w:instrText xml:space="preserve"> PAGE   \* MERGEFORMAT </w:instrText>
        </w:r>
        <w:r w:rsidRPr="00B812E2">
          <w:rPr>
            <w:rFonts w:ascii="Calibri" w:eastAsia="Times New Roman" w:hAnsi="Calibri" w:cs="Arial"/>
            <w:sz w:val="22"/>
            <w:szCs w:val="22"/>
          </w:rPr>
          <w:fldChar w:fldCharType="separate"/>
        </w:r>
        <w:r w:rsidRPr="00B812E2">
          <w:rPr>
            <w:rFonts w:ascii="Calibri" w:eastAsia="Times New Roman" w:hAnsi="Calibri" w:cs="Arial"/>
            <w:sz w:val="22"/>
            <w:szCs w:val="22"/>
          </w:rPr>
          <w:t>77</w:t>
        </w:r>
        <w:r w:rsidRPr="00B812E2">
          <w:rPr>
            <w:rFonts w:ascii="Calibri Light" w:eastAsia="Times New Roman" w:hAnsi="Calibri Light"/>
            <w:noProof/>
            <w:sz w:val="22"/>
            <w:szCs w:val="22"/>
          </w:rPr>
          <w:fldChar w:fldCharType="end"/>
        </w:r>
      </w:p>
      <w:p w14:paraId="7DF2A60B" w14:textId="687879CE" w:rsidR="00733E3C" w:rsidRDefault="00000000" w:rsidP="00B812E2">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2294" w14:textId="77777777" w:rsidR="00B631F8" w:rsidRDefault="00B631F8" w:rsidP="00733E3C">
      <w:pPr>
        <w:spacing w:after="0"/>
      </w:pPr>
      <w:r>
        <w:separator/>
      </w:r>
    </w:p>
  </w:footnote>
  <w:footnote w:type="continuationSeparator" w:id="0">
    <w:p w14:paraId="7F77C444" w14:textId="77777777" w:rsidR="00B631F8" w:rsidRDefault="00B631F8" w:rsidP="00733E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4EC3" w14:textId="77777777" w:rsidR="00B812E2" w:rsidRPr="00B812E2" w:rsidRDefault="00B812E2" w:rsidP="00B812E2">
    <w:pPr>
      <w:pBdr>
        <w:bottom w:val="thickThinSmallGap" w:sz="24" w:space="21" w:color="622423"/>
      </w:pBdr>
      <w:tabs>
        <w:tab w:val="right" w:pos="8640"/>
      </w:tabs>
      <w:spacing w:after="0"/>
      <w:ind w:firstLine="0"/>
      <w:rPr>
        <w:rFonts w:ascii="Cambria" w:eastAsia="Times New Roman" w:hAnsi="Cambria"/>
        <w:sz w:val="18"/>
        <w:szCs w:val="18"/>
      </w:rPr>
    </w:pPr>
    <w:r w:rsidRPr="00B812E2">
      <w:rPr>
        <w:rFonts w:ascii="Cambria" w:eastAsia="Times New Roman" w:hAnsi="Cambria"/>
        <w:sz w:val="18"/>
        <w:szCs w:val="18"/>
      </w:rPr>
      <w:t>African journal of gastroenterology and hepatology</w:t>
    </w:r>
    <w:r w:rsidRPr="00B812E2">
      <w:rPr>
        <w:rFonts w:ascii="Cambria" w:eastAsia="Times New Roman" w:hAnsi="Cambria"/>
        <w:sz w:val="18"/>
        <w:szCs w:val="18"/>
      </w:rPr>
      <w:tab/>
    </w:r>
    <w:r w:rsidRPr="00B812E2">
      <w:rPr>
        <w:rFonts w:ascii="Calibri Light" w:eastAsia="Times New Roman" w:hAnsi="Calibri Light"/>
        <w:noProof/>
        <w:sz w:val="32"/>
        <w:szCs w:val="32"/>
      </w:rPr>
      <w:drawing>
        <wp:inline distT="0" distB="0" distL="0" distR="0" wp14:anchorId="3FA80B9B" wp14:editId="2CD1FD3B">
          <wp:extent cx="14478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009F7CFD" w14:textId="77777777" w:rsidR="00B812E2" w:rsidRPr="00B812E2" w:rsidRDefault="00B812E2" w:rsidP="00B812E2">
    <w:pPr>
      <w:tabs>
        <w:tab w:val="center" w:pos="4680"/>
        <w:tab w:val="right" w:pos="9360"/>
      </w:tabs>
      <w:spacing w:after="0"/>
      <w:ind w:firstLine="0"/>
      <w:rPr>
        <w:rFonts w:ascii="Calibri" w:eastAsia="Calibri" w:hAnsi="Calibri" w:cs="Arial"/>
        <w:sz w:val="22"/>
        <w:szCs w:val="22"/>
      </w:rPr>
    </w:pPr>
    <w:r w:rsidRPr="00B812E2">
      <w:rPr>
        <w:rFonts w:ascii="Calibri" w:eastAsia="Calibri" w:hAnsi="Calibri" w:cs="Arial"/>
        <w:noProof/>
        <w:sz w:val="22"/>
        <w:szCs w:val="22"/>
      </w:rPr>
      <mc:AlternateContent>
        <mc:Choice Requires="wps">
          <w:drawing>
            <wp:anchor distT="0" distB="0" distL="114300" distR="114300" simplePos="0" relativeHeight="251659264" behindDoc="0" locked="0" layoutInCell="1" allowOverlap="1" wp14:anchorId="0EEC8958" wp14:editId="609467E9">
              <wp:simplePos x="0" y="0"/>
              <wp:positionH relativeFrom="column">
                <wp:posOffset>10297</wp:posOffset>
              </wp:positionH>
              <wp:positionV relativeFrom="page">
                <wp:posOffset>1029730</wp:posOffset>
              </wp:positionV>
              <wp:extent cx="1301579" cy="321275"/>
              <wp:effectExtent l="0" t="0" r="13335" b="22225"/>
              <wp:wrapNone/>
              <wp:docPr id="7" name="Text Box 7"/>
              <wp:cNvGraphicFramePr/>
              <a:graphic xmlns:a="http://schemas.openxmlformats.org/drawingml/2006/main">
                <a:graphicData uri="http://schemas.microsoft.com/office/word/2010/wordprocessingShape">
                  <wps:wsp>
                    <wps:cNvSpPr txBox="1"/>
                    <wps:spPr>
                      <a:xfrm>
                        <a:off x="0" y="0"/>
                        <a:ext cx="1301579" cy="321275"/>
                      </a:xfrm>
                      <a:prstGeom prst="rect">
                        <a:avLst/>
                      </a:prstGeom>
                      <a:solidFill>
                        <a:srgbClr val="00B0F0"/>
                      </a:solidFill>
                      <a:ln w="6350">
                        <a:solidFill>
                          <a:prstClr val="black"/>
                        </a:solidFill>
                      </a:ln>
                    </wps:spPr>
                    <wps:txbx>
                      <w:txbxContent>
                        <w:p w14:paraId="71906D2D" w14:textId="77777777" w:rsidR="00B812E2" w:rsidRPr="00B812E2" w:rsidRDefault="00B812E2" w:rsidP="00B812E2">
                          <w:pPr>
                            <w:ind w:firstLine="0"/>
                            <w:rPr>
                              <w:sz w:val="24"/>
                              <w:szCs w:val="24"/>
                            </w:rPr>
                          </w:pPr>
                          <w:r w:rsidRPr="00B812E2">
                            <w:rPr>
                              <w:sz w:val="24"/>
                              <w:szCs w:val="24"/>
                            </w:rPr>
                            <w:t>Original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C8958" id="_x0000_t202" coordsize="21600,21600" o:spt="202" path="m,l,21600r21600,l21600,xe">
              <v:stroke joinstyle="miter"/>
              <v:path gradientshapeok="t" o:connecttype="rect"/>
            </v:shapetype>
            <v:shape id="Text Box 7" o:spid="_x0000_s1026" type="#_x0000_t202" style="position:absolute;margin-left:.8pt;margin-top:81.1pt;width:102.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" fillcolor="#00b0f0" strokeweight=".5pt">
              <v:textbox>
                <w:txbxContent>
                  <w:p w14:paraId="71906D2D" w14:textId="77777777" w:rsidR="00B812E2" w:rsidRPr="00B812E2" w:rsidRDefault="00B812E2" w:rsidP="00B812E2">
                    <w:pPr>
                      <w:ind w:firstLine="0"/>
                      <w:rPr>
                        <w:sz w:val="24"/>
                        <w:szCs w:val="24"/>
                      </w:rPr>
                    </w:pPr>
                    <w:r w:rsidRPr="00B812E2">
                      <w:rPr>
                        <w:sz w:val="24"/>
                        <w:szCs w:val="24"/>
                      </w:rPr>
                      <w:t>Original research</w:t>
                    </w:r>
                  </w:p>
                </w:txbxContent>
              </v:textbox>
              <w10:wrap anchory="page"/>
            </v:shape>
          </w:pict>
        </mc:Fallback>
      </mc:AlternateContent>
    </w:r>
  </w:p>
  <w:p w14:paraId="018AA9FD" w14:textId="77777777" w:rsidR="00B812E2" w:rsidRPr="00B812E2" w:rsidRDefault="00B812E2" w:rsidP="00B812E2">
    <w:pPr>
      <w:tabs>
        <w:tab w:val="center" w:pos="4680"/>
        <w:tab w:val="right" w:pos="9360"/>
      </w:tabs>
      <w:spacing w:after="0"/>
      <w:ind w:firstLine="0"/>
      <w:jc w:val="both"/>
      <w:rPr>
        <w:rFonts w:ascii="Calibri" w:eastAsia="Calibri" w:hAnsi="Calibri" w:cs="Arial"/>
        <w:sz w:val="22"/>
        <w:szCs w:val="22"/>
      </w:rPr>
    </w:pPr>
  </w:p>
  <w:p w14:paraId="34443E1C" w14:textId="77777777" w:rsidR="00B812E2" w:rsidRDefault="00B81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0A4F"/>
    <w:multiLevelType w:val="hybridMultilevel"/>
    <w:tmpl w:val="58CACB7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335468F9"/>
    <w:multiLevelType w:val="hybridMultilevel"/>
    <w:tmpl w:val="E94A7592"/>
    <w:lvl w:ilvl="0" w:tplc="44109566">
      <w:start w:val="1"/>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420E5373"/>
    <w:multiLevelType w:val="hybridMultilevel"/>
    <w:tmpl w:val="74B0E00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27F402D"/>
    <w:multiLevelType w:val="hybridMultilevel"/>
    <w:tmpl w:val="6756AA70"/>
    <w:lvl w:ilvl="0" w:tplc="325A325C">
      <w:start w:val="1"/>
      <w:numFmt w:val="decimal"/>
      <w:lvlText w:val="%1-"/>
      <w:lvlJc w:val="left"/>
      <w:pPr>
        <w:ind w:left="63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8592B"/>
    <w:multiLevelType w:val="hybridMultilevel"/>
    <w:tmpl w:val="F8E0724A"/>
    <w:lvl w:ilvl="0" w:tplc="86421B02">
      <w:numFmt w:val="bullet"/>
      <w:lvlText w:val="•"/>
      <w:lvlJc w:val="left"/>
      <w:pPr>
        <w:ind w:left="720" w:hanging="360"/>
      </w:pPr>
      <w:rPr>
        <w:rFonts w:ascii="Times New Roman" w:eastAsia="Times New Roman" w:hAnsi="Times New Roman" w:cs="Times New Roman" w:hint="default"/>
        <w:b/>
        <w:color w:val="2525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07C54"/>
    <w:multiLevelType w:val="hybridMultilevel"/>
    <w:tmpl w:val="081EA51C"/>
    <w:lvl w:ilvl="0" w:tplc="D42E930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DD6524"/>
    <w:multiLevelType w:val="hybridMultilevel"/>
    <w:tmpl w:val="1BE8E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7B0784"/>
    <w:multiLevelType w:val="hybridMultilevel"/>
    <w:tmpl w:val="60FE6D46"/>
    <w:lvl w:ilvl="0" w:tplc="8F56429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F7B9B"/>
    <w:multiLevelType w:val="hybridMultilevel"/>
    <w:tmpl w:val="DE946284"/>
    <w:lvl w:ilvl="0" w:tplc="27C06E2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73F12E74"/>
    <w:multiLevelType w:val="hybridMultilevel"/>
    <w:tmpl w:val="9A366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636741">
    <w:abstractNumId w:val="5"/>
  </w:num>
  <w:num w:numId="2" w16cid:durableId="343212477">
    <w:abstractNumId w:val="0"/>
  </w:num>
  <w:num w:numId="3" w16cid:durableId="1815100844">
    <w:abstractNumId w:val="2"/>
  </w:num>
  <w:num w:numId="4" w16cid:durableId="1757826609">
    <w:abstractNumId w:val="9"/>
  </w:num>
  <w:num w:numId="5" w16cid:durableId="1038360754">
    <w:abstractNumId w:val="8"/>
  </w:num>
  <w:num w:numId="6" w16cid:durableId="748229150">
    <w:abstractNumId w:val="1"/>
  </w:num>
  <w:num w:numId="7" w16cid:durableId="1938361922">
    <w:abstractNumId w:val="6"/>
  </w:num>
  <w:num w:numId="8" w16cid:durableId="521895216">
    <w:abstractNumId w:val="4"/>
  </w:num>
  <w:num w:numId="9" w16cid:durableId="1155486295">
    <w:abstractNumId w:val="7"/>
  </w:num>
  <w:num w:numId="10" w16cid:durableId="41255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yNbQ0MTc3NDQyMTNR0lEKTi0uzszPAykwqQUAe4YD8ywAAAA="/>
  </w:docVars>
  <w:rsids>
    <w:rsidRoot w:val="003D2AFD"/>
    <w:rsid w:val="00007C5F"/>
    <w:rsid w:val="000146C4"/>
    <w:rsid w:val="00023684"/>
    <w:rsid w:val="000243FF"/>
    <w:rsid w:val="000254DF"/>
    <w:rsid w:val="00033F29"/>
    <w:rsid w:val="000348FD"/>
    <w:rsid w:val="00034A03"/>
    <w:rsid w:val="00036582"/>
    <w:rsid w:val="00036AAC"/>
    <w:rsid w:val="000429A2"/>
    <w:rsid w:val="00045824"/>
    <w:rsid w:val="000531E1"/>
    <w:rsid w:val="0005338E"/>
    <w:rsid w:val="000578EB"/>
    <w:rsid w:val="000648F9"/>
    <w:rsid w:val="0006542B"/>
    <w:rsid w:val="00071FB4"/>
    <w:rsid w:val="00073E8C"/>
    <w:rsid w:val="000828A3"/>
    <w:rsid w:val="00082EB7"/>
    <w:rsid w:val="00095C30"/>
    <w:rsid w:val="000A2907"/>
    <w:rsid w:val="000A768F"/>
    <w:rsid w:val="000B3ED1"/>
    <w:rsid w:val="000D6126"/>
    <w:rsid w:val="000F5816"/>
    <w:rsid w:val="000F6D35"/>
    <w:rsid w:val="001020E4"/>
    <w:rsid w:val="001117CA"/>
    <w:rsid w:val="001136F0"/>
    <w:rsid w:val="00115C4B"/>
    <w:rsid w:val="00125A46"/>
    <w:rsid w:val="00131AB1"/>
    <w:rsid w:val="001606D1"/>
    <w:rsid w:val="0017557B"/>
    <w:rsid w:val="001831D6"/>
    <w:rsid w:val="001850B2"/>
    <w:rsid w:val="00186D3A"/>
    <w:rsid w:val="00195C7C"/>
    <w:rsid w:val="001A7B8D"/>
    <w:rsid w:val="001C56F5"/>
    <w:rsid w:val="001C7D4D"/>
    <w:rsid w:val="001D494A"/>
    <w:rsid w:val="001E0B5E"/>
    <w:rsid w:val="001E73A6"/>
    <w:rsid w:val="001F3617"/>
    <w:rsid w:val="00202086"/>
    <w:rsid w:val="00203EB8"/>
    <w:rsid w:val="00213B1D"/>
    <w:rsid w:val="00214AEE"/>
    <w:rsid w:val="00216DC8"/>
    <w:rsid w:val="002228E4"/>
    <w:rsid w:val="00223991"/>
    <w:rsid w:val="002258FA"/>
    <w:rsid w:val="00231C84"/>
    <w:rsid w:val="00234B0F"/>
    <w:rsid w:val="00243124"/>
    <w:rsid w:val="00245932"/>
    <w:rsid w:val="0025058B"/>
    <w:rsid w:val="0025195A"/>
    <w:rsid w:val="00251BBE"/>
    <w:rsid w:val="002530F9"/>
    <w:rsid w:val="00253CAA"/>
    <w:rsid w:val="002560AF"/>
    <w:rsid w:val="00266531"/>
    <w:rsid w:val="00266AA4"/>
    <w:rsid w:val="00267DEC"/>
    <w:rsid w:val="0027500B"/>
    <w:rsid w:val="00276EEF"/>
    <w:rsid w:val="00280838"/>
    <w:rsid w:val="002822F4"/>
    <w:rsid w:val="002861C5"/>
    <w:rsid w:val="002B1AB6"/>
    <w:rsid w:val="002C1E5B"/>
    <w:rsid w:val="002C1F50"/>
    <w:rsid w:val="002D4D77"/>
    <w:rsid w:val="002D735C"/>
    <w:rsid w:val="0031082B"/>
    <w:rsid w:val="00323822"/>
    <w:rsid w:val="003313FF"/>
    <w:rsid w:val="00331CE1"/>
    <w:rsid w:val="00333C82"/>
    <w:rsid w:val="0035247B"/>
    <w:rsid w:val="00366D7F"/>
    <w:rsid w:val="003A6CEE"/>
    <w:rsid w:val="003A7D64"/>
    <w:rsid w:val="003C4F44"/>
    <w:rsid w:val="003C5101"/>
    <w:rsid w:val="003C745D"/>
    <w:rsid w:val="003D2AFD"/>
    <w:rsid w:val="003D7624"/>
    <w:rsid w:val="003E07BD"/>
    <w:rsid w:val="003E74D4"/>
    <w:rsid w:val="0040185B"/>
    <w:rsid w:val="004027A4"/>
    <w:rsid w:val="004320D5"/>
    <w:rsid w:val="00432517"/>
    <w:rsid w:val="00433E91"/>
    <w:rsid w:val="00447E7C"/>
    <w:rsid w:val="00453C73"/>
    <w:rsid w:val="00454E0A"/>
    <w:rsid w:val="0046312C"/>
    <w:rsid w:val="004677A0"/>
    <w:rsid w:val="004825AA"/>
    <w:rsid w:val="0048301E"/>
    <w:rsid w:val="00491969"/>
    <w:rsid w:val="00496B0A"/>
    <w:rsid w:val="004A0671"/>
    <w:rsid w:val="004B4F3F"/>
    <w:rsid w:val="004C1A8D"/>
    <w:rsid w:val="004C64DC"/>
    <w:rsid w:val="004D192C"/>
    <w:rsid w:val="004D6AA0"/>
    <w:rsid w:val="004E055F"/>
    <w:rsid w:val="004E644C"/>
    <w:rsid w:val="004F5098"/>
    <w:rsid w:val="00500D2D"/>
    <w:rsid w:val="00503C69"/>
    <w:rsid w:val="00516074"/>
    <w:rsid w:val="00517BD8"/>
    <w:rsid w:val="00522DCE"/>
    <w:rsid w:val="00524EE1"/>
    <w:rsid w:val="0052790A"/>
    <w:rsid w:val="00534E17"/>
    <w:rsid w:val="0053758C"/>
    <w:rsid w:val="0054174F"/>
    <w:rsid w:val="00547F4B"/>
    <w:rsid w:val="00550BF0"/>
    <w:rsid w:val="0055137C"/>
    <w:rsid w:val="0055576D"/>
    <w:rsid w:val="00556267"/>
    <w:rsid w:val="00571194"/>
    <w:rsid w:val="00574156"/>
    <w:rsid w:val="00581C20"/>
    <w:rsid w:val="00584726"/>
    <w:rsid w:val="0058548D"/>
    <w:rsid w:val="005975CF"/>
    <w:rsid w:val="005A2468"/>
    <w:rsid w:val="005B6DF6"/>
    <w:rsid w:val="005B7F51"/>
    <w:rsid w:val="005C2416"/>
    <w:rsid w:val="005D71E0"/>
    <w:rsid w:val="005F300B"/>
    <w:rsid w:val="005F78F9"/>
    <w:rsid w:val="00605F84"/>
    <w:rsid w:val="00607245"/>
    <w:rsid w:val="006136F5"/>
    <w:rsid w:val="0061376C"/>
    <w:rsid w:val="00620313"/>
    <w:rsid w:val="006226D9"/>
    <w:rsid w:val="00627FC8"/>
    <w:rsid w:val="00634ACA"/>
    <w:rsid w:val="00637D82"/>
    <w:rsid w:val="006419BA"/>
    <w:rsid w:val="0065694A"/>
    <w:rsid w:val="006751A8"/>
    <w:rsid w:val="006870CE"/>
    <w:rsid w:val="00687C9F"/>
    <w:rsid w:val="00695134"/>
    <w:rsid w:val="006A1CEA"/>
    <w:rsid w:val="006B2868"/>
    <w:rsid w:val="006E5A6D"/>
    <w:rsid w:val="006F1544"/>
    <w:rsid w:val="006F27AE"/>
    <w:rsid w:val="006F655F"/>
    <w:rsid w:val="00707C97"/>
    <w:rsid w:val="0072639A"/>
    <w:rsid w:val="00733E3C"/>
    <w:rsid w:val="00734998"/>
    <w:rsid w:val="00736A4B"/>
    <w:rsid w:val="00755093"/>
    <w:rsid w:val="00757110"/>
    <w:rsid w:val="00761549"/>
    <w:rsid w:val="00763DE6"/>
    <w:rsid w:val="0076525E"/>
    <w:rsid w:val="00770FB5"/>
    <w:rsid w:val="00777225"/>
    <w:rsid w:val="00783C27"/>
    <w:rsid w:val="0078712D"/>
    <w:rsid w:val="0079113E"/>
    <w:rsid w:val="007A655F"/>
    <w:rsid w:val="007B2C5F"/>
    <w:rsid w:val="007D6847"/>
    <w:rsid w:val="007E6A40"/>
    <w:rsid w:val="007F1435"/>
    <w:rsid w:val="0080755C"/>
    <w:rsid w:val="00807ADB"/>
    <w:rsid w:val="00810A0A"/>
    <w:rsid w:val="00810B33"/>
    <w:rsid w:val="00817199"/>
    <w:rsid w:val="00823308"/>
    <w:rsid w:val="00824B17"/>
    <w:rsid w:val="00825D75"/>
    <w:rsid w:val="00834507"/>
    <w:rsid w:val="00837194"/>
    <w:rsid w:val="00855C59"/>
    <w:rsid w:val="00856C80"/>
    <w:rsid w:val="00856D24"/>
    <w:rsid w:val="0085716D"/>
    <w:rsid w:val="00860AC1"/>
    <w:rsid w:val="008778BD"/>
    <w:rsid w:val="0089700B"/>
    <w:rsid w:val="008B50A0"/>
    <w:rsid w:val="008C4659"/>
    <w:rsid w:val="008C490C"/>
    <w:rsid w:val="008D4F93"/>
    <w:rsid w:val="008E1E4B"/>
    <w:rsid w:val="008F68AC"/>
    <w:rsid w:val="009003E7"/>
    <w:rsid w:val="009073C4"/>
    <w:rsid w:val="0091230B"/>
    <w:rsid w:val="009203E3"/>
    <w:rsid w:val="00936E85"/>
    <w:rsid w:val="00937314"/>
    <w:rsid w:val="00940DE2"/>
    <w:rsid w:val="00942823"/>
    <w:rsid w:val="00944006"/>
    <w:rsid w:val="00947591"/>
    <w:rsid w:val="00980669"/>
    <w:rsid w:val="00982E64"/>
    <w:rsid w:val="00984645"/>
    <w:rsid w:val="00984AC1"/>
    <w:rsid w:val="009879F7"/>
    <w:rsid w:val="009936A8"/>
    <w:rsid w:val="009A66D1"/>
    <w:rsid w:val="009B1A32"/>
    <w:rsid w:val="009B1C30"/>
    <w:rsid w:val="009C1BCB"/>
    <w:rsid w:val="009C2DFF"/>
    <w:rsid w:val="009C2F43"/>
    <w:rsid w:val="009C5250"/>
    <w:rsid w:val="009E0645"/>
    <w:rsid w:val="00A03AD6"/>
    <w:rsid w:val="00A07C53"/>
    <w:rsid w:val="00A12F6E"/>
    <w:rsid w:val="00A22719"/>
    <w:rsid w:val="00A27E50"/>
    <w:rsid w:val="00A34F2F"/>
    <w:rsid w:val="00A36786"/>
    <w:rsid w:val="00A43135"/>
    <w:rsid w:val="00A62366"/>
    <w:rsid w:val="00A63A33"/>
    <w:rsid w:val="00A650BE"/>
    <w:rsid w:val="00A655DA"/>
    <w:rsid w:val="00A6701A"/>
    <w:rsid w:val="00A67316"/>
    <w:rsid w:val="00A7023D"/>
    <w:rsid w:val="00A813DF"/>
    <w:rsid w:val="00A81EA4"/>
    <w:rsid w:val="00A91B1E"/>
    <w:rsid w:val="00A92261"/>
    <w:rsid w:val="00AA3AD1"/>
    <w:rsid w:val="00AB0EC6"/>
    <w:rsid w:val="00AB5EC7"/>
    <w:rsid w:val="00AB6E2F"/>
    <w:rsid w:val="00AB7F60"/>
    <w:rsid w:val="00AC5B5E"/>
    <w:rsid w:val="00AD3588"/>
    <w:rsid w:val="00AF3D36"/>
    <w:rsid w:val="00B041B0"/>
    <w:rsid w:val="00B11B0C"/>
    <w:rsid w:val="00B12795"/>
    <w:rsid w:val="00B12CDD"/>
    <w:rsid w:val="00B13646"/>
    <w:rsid w:val="00B17A96"/>
    <w:rsid w:val="00B20145"/>
    <w:rsid w:val="00B631F8"/>
    <w:rsid w:val="00B651AB"/>
    <w:rsid w:val="00B75D8A"/>
    <w:rsid w:val="00B812E2"/>
    <w:rsid w:val="00B90C9E"/>
    <w:rsid w:val="00BA61F5"/>
    <w:rsid w:val="00BB5E52"/>
    <w:rsid w:val="00BE14CB"/>
    <w:rsid w:val="00BF051F"/>
    <w:rsid w:val="00C01DB7"/>
    <w:rsid w:val="00C2207B"/>
    <w:rsid w:val="00C26DB8"/>
    <w:rsid w:val="00C32984"/>
    <w:rsid w:val="00C33259"/>
    <w:rsid w:val="00C42206"/>
    <w:rsid w:val="00C64434"/>
    <w:rsid w:val="00C64989"/>
    <w:rsid w:val="00C663B2"/>
    <w:rsid w:val="00C7057D"/>
    <w:rsid w:val="00C73146"/>
    <w:rsid w:val="00C73507"/>
    <w:rsid w:val="00CA0156"/>
    <w:rsid w:val="00CB2BCF"/>
    <w:rsid w:val="00CD1F12"/>
    <w:rsid w:val="00CD404B"/>
    <w:rsid w:val="00CE0314"/>
    <w:rsid w:val="00CE7F11"/>
    <w:rsid w:val="00CF0350"/>
    <w:rsid w:val="00CF0E9B"/>
    <w:rsid w:val="00CF57FC"/>
    <w:rsid w:val="00CF6C3C"/>
    <w:rsid w:val="00CF6F37"/>
    <w:rsid w:val="00D0326F"/>
    <w:rsid w:val="00D10D7E"/>
    <w:rsid w:val="00D1657C"/>
    <w:rsid w:val="00D20E84"/>
    <w:rsid w:val="00D274F8"/>
    <w:rsid w:val="00D30161"/>
    <w:rsid w:val="00D46CA5"/>
    <w:rsid w:val="00D9145A"/>
    <w:rsid w:val="00DA224A"/>
    <w:rsid w:val="00DB63B6"/>
    <w:rsid w:val="00DC0A3A"/>
    <w:rsid w:val="00DC51DB"/>
    <w:rsid w:val="00DD4F1B"/>
    <w:rsid w:val="00DF211B"/>
    <w:rsid w:val="00DF7B2E"/>
    <w:rsid w:val="00E04531"/>
    <w:rsid w:val="00E0455C"/>
    <w:rsid w:val="00E0528A"/>
    <w:rsid w:val="00E11CCF"/>
    <w:rsid w:val="00E26957"/>
    <w:rsid w:val="00E31824"/>
    <w:rsid w:val="00E325AE"/>
    <w:rsid w:val="00E440B7"/>
    <w:rsid w:val="00E603F8"/>
    <w:rsid w:val="00E76AA3"/>
    <w:rsid w:val="00E90B4E"/>
    <w:rsid w:val="00E917C0"/>
    <w:rsid w:val="00E95D44"/>
    <w:rsid w:val="00E961F1"/>
    <w:rsid w:val="00E9650F"/>
    <w:rsid w:val="00EA62CA"/>
    <w:rsid w:val="00EB39AB"/>
    <w:rsid w:val="00EB49C9"/>
    <w:rsid w:val="00EC2929"/>
    <w:rsid w:val="00EC6727"/>
    <w:rsid w:val="00EF7E36"/>
    <w:rsid w:val="00F15144"/>
    <w:rsid w:val="00F54AC9"/>
    <w:rsid w:val="00F60612"/>
    <w:rsid w:val="00F60637"/>
    <w:rsid w:val="00F62EAE"/>
    <w:rsid w:val="00F740D3"/>
    <w:rsid w:val="00F81027"/>
    <w:rsid w:val="00F9356F"/>
    <w:rsid w:val="00F93D08"/>
    <w:rsid w:val="00FA0A4A"/>
    <w:rsid w:val="00FA4018"/>
    <w:rsid w:val="00FB1D0A"/>
    <w:rsid w:val="00FC4370"/>
    <w:rsid w:val="00FC5EAE"/>
    <w:rsid w:val="00FD2A00"/>
    <w:rsid w:val="00FE1184"/>
    <w:rsid w:val="00FE4839"/>
    <w:rsid w:val="00FF0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6CE9"/>
  <w15:docId w15:val="{5FCA58B3-E58E-4D53-89AF-4F1E4AFC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imes New Roman"/>
        <w:sz w:val="28"/>
        <w:szCs w:val="28"/>
        <w:lang w:val="en-US" w:eastAsia="en-US" w:bidi="ar-SA"/>
      </w:rPr>
    </w:rPrDefault>
    <w:pPrDefault>
      <w:pPr>
        <w:spacing w:after="240"/>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01"/>
  </w:style>
  <w:style w:type="paragraph" w:styleId="Heading1">
    <w:name w:val="heading 1"/>
    <w:basedOn w:val="Normal"/>
    <w:next w:val="Normal"/>
    <w:link w:val="Heading1Char"/>
    <w:uiPriority w:val="9"/>
    <w:qFormat/>
    <w:rsid w:val="003C5101"/>
    <w:pPr>
      <w:spacing w:before="600" w:after="0" w:line="360" w:lineRule="auto"/>
      <w:ind w:firstLine="0"/>
      <w:outlineLvl w:val="0"/>
    </w:pPr>
    <w:rPr>
      <w:rFonts w:eastAsiaTheme="majorEastAsia" w:cstheme="majorBidi"/>
      <w:b/>
      <w:bCs/>
      <w:i/>
      <w:iCs/>
      <w:sz w:val="32"/>
      <w:szCs w:val="32"/>
    </w:rPr>
  </w:style>
  <w:style w:type="paragraph" w:styleId="Heading2">
    <w:name w:val="heading 2"/>
    <w:basedOn w:val="Normal"/>
    <w:next w:val="Normal"/>
    <w:link w:val="Heading2Char"/>
    <w:uiPriority w:val="9"/>
    <w:semiHidden/>
    <w:unhideWhenUsed/>
    <w:qFormat/>
    <w:rsid w:val="003C5101"/>
    <w:pPr>
      <w:spacing w:before="320" w:after="0" w:line="360" w:lineRule="auto"/>
      <w:ind w:firstLine="0"/>
      <w:outlineLvl w:val="1"/>
    </w:pPr>
    <w:rPr>
      <w:rFonts w:eastAsiaTheme="majorEastAsia" w:cstheme="majorBidi"/>
      <w:b/>
      <w:bCs/>
      <w:i/>
      <w:iCs/>
    </w:rPr>
  </w:style>
  <w:style w:type="paragraph" w:styleId="Heading3">
    <w:name w:val="heading 3"/>
    <w:basedOn w:val="Normal"/>
    <w:next w:val="Normal"/>
    <w:link w:val="Heading3Char"/>
    <w:uiPriority w:val="9"/>
    <w:semiHidden/>
    <w:unhideWhenUsed/>
    <w:qFormat/>
    <w:rsid w:val="003C5101"/>
    <w:pPr>
      <w:spacing w:before="320" w:after="0" w:line="360" w:lineRule="auto"/>
      <w:ind w:firstLine="0"/>
      <w:outlineLvl w:val="2"/>
    </w:pPr>
    <w:rPr>
      <w:rFonts w:eastAsiaTheme="majorEastAsia" w:cstheme="majorBidi"/>
      <w:b/>
      <w:bCs/>
      <w:i/>
      <w:iCs/>
      <w:sz w:val="26"/>
      <w:szCs w:val="26"/>
    </w:rPr>
  </w:style>
  <w:style w:type="paragraph" w:styleId="Heading4">
    <w:name w:val="heading 4"/>
    <w:basedOn w:val="Normal"/>
    <w:next w:val="Normal"/>
    <w:link w:val="Heading4Char"/>
    <w:uiPriority w:val="9"/>
    <w:semiHidden/>
    <w:unhideWhenUsed/>
    <w:qFormat/>
    <w:rsid w:val="003C5101"/>
    <w:pPr>
      <w:spacing w:before="280" w:after="0" w:line="360" w:lineRule="auto"/>
      <w:ind w:firstLine="0"/>
      <w:outlineLvl w:val="3"/>
    </w:pPr>
    <w:rPr>
      <w:rFonts w:eastAsiaTheme="majorEastAsia" w:cstheme="majorBidi"/>
      <w:b/>
      <w:bCs/>
      <w:i/>
      <w:iCs/>
      <w:sz w:val="24"/>
      <w:szCs w:val="24"/>
    </w:rPr>
  </w:style>
  <w:style w:type="paragraph" w:styleId="Heading5">
    <w:name w:val="heading 5"/>
    <w:basedOn w:val="Normal"/>
    <w:next w:val="Normal"/>
    <w:link w:val="Heading5Char"/>
    <w:uiPriority w:val="9"/>
    <w:semiHidden/>
    <w:unhideWhenUsed/>
    <w:qFormat/>
    <w:rsid w:val="003C5101"/>
    <w:pPr>
      <w:spacing w:before="280" w:after="0" w:line="360" w:lineRule="auto"/>
      <w:ind w:firstLine="0"/>
      <w:outlineLvl w:val="4"/>
    </w:pPr>
    <w:rPr>
      <w:rFonts w:eastAsiaTheme="majorEastAsia" w:cstheme="majorBidi"/>
      <w:b/>
      <w:bCs/>
      <w:i/>
      <w:iCs/>
    </w:rPr>
  </w:style>
  <w:style w:type="paragraph" w:styleId="Heading6">
    <w:name w:val="heading 6"/>
    <w:basedOn w:val="Normal"/>
    <w:next w:val="Normal"/>
    <w:link w:val="Heading6Char"/>
    <w:uiPriority w:val="9"/>
    <w:semiHidden/>
    <w:unhideWhenUsed/>
    <w:qFormat/>
    <w:rsid w:val="003C5101"/>
    <w:pPr>
      <w:spacing w:before="280" w:after="80" w:line="360" w:lineRule="auto"/>
      <w:ind w:firstLine="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3C5101"/>
    <w:pPr>
      <w:spacing w:before="280" w:after="0" w:line="360" w:lineRule="auto"/>
      <w:ind w:firstLine="0"/>
      <w:outlineLvl w:val="6"/>
    </w:pPr>
    <w:rPr>
      <w:rFonts w:eastAsiaTheme="majorEastAsia" w:cstheme="majorBidi"/>
      <w:b/>
      <w:bCs/>
      <w:i/>
      <w:iCs/>
      <w:sz w:val="20"/>
      <w:szCs w:val="20"/>
    </w:rPr>
  </w:style>
  <w:style w:type="paragraph" w:styleId="Heading8">
    <w:name w:val="heading 8"/>
    <w:basedOn w:val="Normal"/>
    <w:next w:val="Normal"/>
    <w:link w:val="Heading8Char"/>
    <w:uiPriority w:val="9"/>
    <w:semiHidden/>
    <w:unhideWhenUsed/>
    <w:qFormat/>
    <w:rsid w:val="003C5101"/>
    <w:pPr>
      <w:spacing w:before="280" w:after="0" w:line="360" w:lineRule="auto"/>
      <w:ind w:firstLine="0"/>
      <w:outlineLvl w:val="7"/>
    </w:pPr>
    <w:rPr>
      <w:rFonts w:eastAsiaTheme="majorEastAsia" w:cstheme="majorBidi"/>
      <w:b/>
      <w:bCs/>
      <w:i/>
      <w:iCs/>
      <w:sz w:val="18"/>
      <w:szCs w:val="18"/>
    </w:rPr>
  </w:style>
  <w:style w:type="paragraph" w:styleId="Heading9">
    <w:name w:val="heading 9"/>
    <w:basedOn w:val="Normal"/>
    <w:next w:val="Normal"/>
    <w:link w:val="Heading9Char"/>
    <w:uiPriority w:val="9"/>
    <w:semiHidden/>
    <w:unhideWhenUsed/>
    <w:qFormat/>
    <w:rsid w:val="003C5101"/>
    <w:pPr>
      <w:spacing w:before="280" w:after="0" w:line="360" w:lineRule="auto"/>
      <w:ind w:firstLine="0"/>
      <w:outlineLvl w:val="8"/>
    </w:pPr>
    <w:rPr>
      <w:rFonts w:eastAsiaTheme="majorEastAsia" w:cstheme="majorBidi"/>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E76AA3"/>
    <w:rPr>
      <w:rFonts w:ascii="VnnrsjMinionProRegular" w:hAnsi="VnnrsjMinionProRegular" w:hint="default"/>
      <w:b w:val="0"/>
      <w:bCs w:val="0"/>
      <w:i w:val="0"/>
      <w:iCs w:val="0"/>
      <w:color w:val="131413"/>
      <w:sz w:val="20"/>
      <w:szCs w:val="20"/>
    </w:rPr>
  </w:style>
  <w:style w:type="table" w:customStyle="1" w:styleId="TableGrid1">
    <w:name w:val="Table Grid1"/>
    <w:basedOn w:val="TableNormal"/>
    <w:uiPriority w:val="39"/>
    <w:rsid w:val="005975CF"/>
    <w:pPr>
      <w:spacing w:after="0"/>
      <w:jc w:val="center"/>
    </w:pPr>
    <w:rPr>
      <w:rFonts w:asciiTheme="majorBidi" w:hAnsiTheme="majorBidi"/>
    </w:rPr>
    <w:tblPr>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Pr>
    <w:tcPr>
      <w:vAlign w:val="center"/>
    </w:tcPr>
    <w:tblStylePr w:type="firstRow">
      <w:pPr>
        <w:jc w:val="center"/>
      </w:pPr>
      <w:rPr>
        <w:b/>
        <w:i/>
      </w:rPr>
      <w:tblPr/>
      <w:tcPr>
        <w:shd w:val="clear" w:color="auto" w:fill="95B3D7" w:themeFill="accent1" w:themeFillTint="99"/>
      </w:tcPr>
    </w:tblStylePr>
    <w:tblStylePr w:type="firstCol">
      <w:pPr>
        <w:jc w:val="center"/>
      </w:pPr>
      <w:rPr>
        <w:b/>
        <w:i/>
      </w:rPr>
      <w:tblPr/>
      <w:tcPr>
        <w:shd w:val="clear" w:color="auto" w:fill="95B3D7" w:themeFill="accent1" w:themeFillTint="99"/>
      </w:tcPr>
    </w:tblStylePr>
  </w:style>
  <w:style w:type="paragraph" w:styleId="ListParagraph">
    <w:name w:val="List Paragraph"/>
    <w:basedOn w:val="Normal"/>
    <w:uiPriority w:val="34"/>
    <w:qFormat/>
    <w:rsid w:val="003C5101"/>
    <w:pPr>
      <w:ind w:left="720"/>
      <w:contextualSpacing/>
    </w:pPr>
  </w:style>
  <w:style w:type="paragraph" w:styleId="BalloonText">
    <w:name w:val="Balloon Text"/>
    <w:basedOn w:val="Normal"/>
    <w:link w:val="BalloonTextChar"/>
    <w:uiPriority w:val="99"/>
    <w:semiHidden/>
    <w:unhideWhenUsed/>
    <w:rsid w:val="00F9356F"/>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eastAsia="SimSun" w:hAnsi="Tahoma" w:cs="Tahoma"/>
      <w:sz w:val="16"/>
      <w:szCs w:val="16"/>
      <w:lang w:eastAsia="zh-CN"/>
    </w:rPr>
  </w:style>
  <w:style w:type="paragraph" w:styleId="NormalWeb">
    <w:name w:val="Normal (Web)"/>
    <w:basedOn w:val="Normal"/>
    <w:uiPriority w:val="99"/>
    <w:unhideWhenUsed/>
    <w:rsid w:val="00A63A33"/>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3C5101"/>
    <w:rPr>
      <w:b/>
      <w:bCs/>
      <w:spacing w:val="0"/>
    </w:rPr>
  </w:style>
  <w:style w:type="character" w:styleId="Hyperlink">
    <w:name w:val="Hyperlink"/>
    <w:basedOn w:val="DefaultParagraphFont"/>
    <w:uiPriority w:val="99"/>
    <w:unhideWhenUsed/>
    <w:rsid w:val="00984645"/>
    <w:rPr>
      <w:color w:val="0000FF"/>
      <w:u w:val="single"/>
    </w:rPr>
  </w:style>
  <w:style w:type="character" w:customStyle="1" w:styleId="docsum-authors">
    <w:name w:val="docsum-authors"/>
    <w:basedOn w:val="DefaultParagraphFont"/>
    <w:rsid w:val="00984645"/>
  </w:style>
  <w:style w:type="character" w:customStyle="1" w:styleId="docsum-journal-citation">
    <w:name w:val="docsum-journal-citation"/>
    <w:basedOn w:val="DefaultParagraphFont"/>
    <w:rsid w:val="00984645"/>
  </w:style>
  <w:style w:type="character" w:customStyle="1" w:styleId="ref-journal">
    <w:name w:val="ref-journal"/>
    <w:basedOn w:val="DefaultParagraphFont"/>
    <w:rsid w:val="00936E85"/>
  </w:style>
  <w:style w:type="character" w:customStyle="1" w:styleId="ref-vol">
    <w:name w:val="ref-vol"/>
    <w:basedOn w:val="DefaultParagraphFont"/>
    <w:rsid w:val="00936E85"/>
  </w:style>
  <w:style w:type="table" w:styleId="TableGrid">
    <w:name w:val="Table Grid"/>
    <w:basedOn w:val="TableNormal"/>
    <w:uiPriority w:val="59"/>
    <w:rsid w:val="00A12F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5101"/>
    <w:rPr>
      <w:rFonts w:eastAsiaTheme="majorEastAsia" w:cstheme="majorBidi"/>
      <w:b/>
      <w:bCs/>
      <w:i/>
      <w:iCs/>
      <w:sz w:val="32"/>
      <w:szCs w:val="32"/>
    </w:rPr>
  </w:style>
  <w:style w:type="character" w:customStyle="1" w:styleId="Heading2Char">
    <w:name w:val="Heading 2 Char"/>
    <w:basedOn w:val="DefaultParagraphFont"/>
    <w:link w:val="Heading2"/>
    <w:uiPriority w:val="9"/>
    <w:semiHidden/>
    <w:rsid w:val="003C5101"/>
    <w:rPr>
      <w:rFonts w:eastAsiaTheme="majorEastAsia" w:cstheme="majorBidi"/>
      <w:b/>
      <w:bCs/>
      <w:i/>
      <w:iCs/>
    </w:rPr>
  </w:style>
  <w:style w:type="character" w:customStyle="1" w:styleId="Heading3Char">
    <w:name w:val="Heading 3 Char"/>
    <w:basedOn w:val="DefaultParagraphFont"/>
    <w:link w:val="Heading3"/>
    <w:uiPriority w:val="9"/>
    <w:semiHidden/>
    <w:rsid w:val="003C5101"/>
    <w:rPr>
      <w:rFonts w:eastAsiaTheme="majorEastAsia" w:cstheme="majorBidi"/>
      <w:b/>
      <w:bCs/>
      <w:i/>
      <w:iCs/>
      <w:sz w:val="26"/>
      <w:szCs w:val="26"/>
    </w:rPr>
  </w:style>
  <w:style w:type="character" w:customStyle="1" w:styleId="Heading4Char">
    <w:name w:val="Heading 4 Char"/>
    <w:basedOn w:val="DefaultParagraphFont"/>
    <w:link w:val="Heading4"/>
    <w:uiPriority w:val="9"/>
    <w:semiHidden/>
    <w:rsid w:val="003C5101"/>
    <w:rPr>
      <w:rFonts w:eastAsiaTheme="majorEastAsia" w:cstheme="majorBidi"/>
      <w:b/>
      <w:bCs/>
      <w:i/>
      <w:iCs/>
      <w:sz w:val="24"/>
      <w:szCs w:val="24"/>
    </w:rPr>
  </w:style>
  <w:style w:type="character" w:customStyle="1" w:styleId="Heading5Char">
    <w:name w:val="Heading 5 Char"/>
    <w:basedOn w:val="DefaultParagraphFont"/>
    <w:link w:val="Heading5"/>
    <w:uiPriority w:val="9"/>
    <w:semiHidden/>
    <w:rsid w:val="003C5101"/>
    <w:rPr>
      <w:rFonts w:eastAsiaTheme="majorEastAsia" w:cstheme="majorBidi"/>
      <w:b/>
      <w:bCs/>
      <w:i/>
      <w:iCs/>
    </w:rPr>
  </w:style>
  <w:style w:type="character" w:customStyle="1" w:styleId="Heading6Char">
    <w:name w:val="Heading 6 Char"/>
    <w:basedOn w:val="DefaultParagraphFont"/>
    <w:link w:val="Heading6"/>
    <w:uiPriority w:val="9"/>
    <w:semiHidden/>
    <w:rsid w:val="003C5101"/>
    <w:rPr>
      <w:rFonts w:eastAsiaTheme="majorEastAsia" w:cstheme="majorBidi"/>
      <w:b/>
      <w:bCs/>
      <w:i/>
      <w:iCs/>
    </w:rPr>
  </w:style>
  <w:style w:type="character" w:customStyle="1" w:styleId="Heading7Char">
    <w:name w:val="Heading 7 Char"/>
    <w:basedOn w:val="DefaultParagraphFont"/>
    <w:link w:val="Heading7"/>
    <w:uiPriority w:val="9"/>
    <w:semiHidden/>
    <w:rsid w:val="003C5101"/>
    <w:rPr>
      <w:rFonts w:eastAsiaTheme="majorEastAsia" w:cstheme="majorBidi"/>
      <w:b/>
      <w:bCs/>
      <w:i/>
      <w:iCs/>
      <w:sz w:val="20"/>
      <w:szCs w:val="20"/>
    </w:rPr>
  </w:style>
  <w:style w:type="character" w:customStyle="1" w:styleId="Heading8Char">
    <w:name w:val="Heading 8 Char"/>
    <w:basedOn w:val="DefaultParagraphFont"/>
    <w:link w:val="Heading8"/>
    <w:uiPriority w:val="9"/>
    <w:semiHidden/>
    <w:rsid w:val="003C5101"/>
    <w:rPr>
      <w:rFonts w:eastAsiaTheme="majorEastAsia" w:cstheme="majorBidi"/>
      <w:b/>
      <w:bCs/>
      <w:i/>
      <w:iCs/>
      <w:sz w:val="18"/>
      <w:szCs w:val="18"/>
    </w:rPr>
  </w:style>
  <w:style w:type="character" w:customStyle="1" w:styleId="Heading9Char">
    <w:name w:val="Heading 9 Char"/>
    <w:basedOn w:val="DefaultParagraphFont"/>
    <w:link w:val="Heading9"/>
    <w:uiPriority w:val="9"/>
    <w:semiHidden/>
    <w:rsid w:val="003C5101"/>
    <w:rPr>
      <w:rFonts w:eastAsiaTheme="majorEastAsia" w:cstheme="majorBidi"/>
      <w:i/>
      <w:iCs/>
      <w:sz w:val="18"/>
      <w:szCs w:val="18"/>
    </w:rPr>
  </w:style>
  <w:style w:type="paragraph" w:styleId="Title">
    <w:name w:val="Title"/>
    <w:basedOn w:val="Normal"/>
    <w:next w:val="Normal"/>
    <w:link w:val="TitleChar"/>
    <w:uiPriority w:val="10"/>
    <w:qFormat/>
    <w:rsid w:val="003C5101"/>
    <w:pPr>
      <w:ind w:firstLine="0"/>
    </w:pPr>
    <w:rPr>
      <w:rFonts w:eastAsiaTheme="majorEastAsia" w:cstheme="majorBidi"/>
      <w:b/>
      <w:bCs/>
      <w:i/>
      <w:iCs/>
      <w:spacing w:val="10"/>
      <w:sz w:val="60"/>
      <w:szCs w:val="60"/>
    </w:rPr>
  </w:style>
  <w:style w:type="character" w:customStyle="1" w:styleId="TitleChar">
    <w:name w:val="Title Char"/>
    <w:basedOn w:val="DefaultParagraphFont"/>
    <w:link w:val="Title"/>
    <w:uiPriority w:val="10"/>
    <w:rsid w:val="003C5101"/>
    <w:rPr>
      <w:rFonts w:eastAsiaTheme="majorEastAsia" w:cstheme="majorBidi"/>
      <w:b/>
      <w:bCs/>
      <w:i/>
      <w:iCs/>
      <w:spacing w:val="10"/>
      <w:sz w:val="60"/>
      <w:szCs w:val="60"/>
    </w:rPr>
  </w:style>
  <w:style w:type="paragraph" w:styleId="Subtitle">
    <w:name w:val="Subtitle"/>
    <w:basedOn w:val="Normal"/>
    <w:next w:val="Normal"/>
    <w:link w:val="SubtitleChar"/>
    <w:uiPriority w:val="11"/>
    <w:qFormat/>
    <w:rsid w:val="003C510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C5101"/>
    <w:rPr>
      <w:i/>
      <w:iCs/>
      <w:color w:val="808080" w:themeColor="text1" w:themeTint="7F"/>
      <w:spacing w:val="10"/>
      <w:sz w:val="24"/>
      <w:szCs w:val="24"/>
    </w:rPr>
  </w:style>
  <w:style w:type="character" w:styleId="Emphasis">
    <w:name w:val="Emphasis"/>
    <w:uiPriority w:val="20"/>
    <w:qFormat/>
    <w:rsid w:val="003C5101"/>
    <w:rPr>
      <w:b/>
      <w:bCs/>
      <w:i/>
      <w:iCs/>
      <w:color w:val="auto"/>
    </w:rPr>
  </w:style>
  <w:style w:type="paragraph" w:styleId="NoSpacing">
    <w:name w:val="No Spacing"/>
    <w:basedOn w:val="Normal"/>
    <w:uiPriority w:val="1"/>
    <w:qFormat/>
    <w:rsid w:val="003C5101"/>
    <w:pPr>
      <w:spacing w:after="0"/>
      <w:ind w:firstLine="0"/>
    </w:pPr>
  </w:style>
  <w:style w:type="paragraph" w:styleId="Quote">
    <w:name w:val="Quote"/>
    <w:basedOn w:val="Normal"/>
    <w:next w:val="Normal"/>
    <w:link w:val="QuoteChar"/>
    <w:uiPriority w:val="29"/>
    <w:qFormat/>
    <w:rsid w:val="003C5101"/>
    <w:rPr>
      <w:color w:val="5A5A5A" w:themeColor="text1" w:themeTint="A5"/>
    </w:rPr>
  </w:style>
  <w:style w:type="character" w:customStyle="1" w:styleId="QuoteChar">
    <w:name w:val="Quote Char"/>
    <w:basedOn w:val="DefaultParagraphFont"/>
    <w:link w:val="Quote"/>
    <w:uiPriority w:val="29"/>
    <w:rsid w:val="003C5101"/>
    <w:rPr>
      <w:color w:val="5A5A5A" w:themeColor="text1" w:themeTint="A5"/>
    </w:rPr>
  </w:style>
  <w:style w:type="paragraph" w:styleId="IntenseQuote">
    <w:name w:val="Intense Quote"/>
    <w:basedOn w:val="Normal"/>
    <w:next w:val="Normal"/>
    <w:link w:val="IntenseQuoteChar"/>
    <w:uiPriority w:val="30"/>
    <w:qFormat/>
    <w:rsid w:val="003C5101"/>
    <w:pPr>
      <w:spacing w:before="320" w:after="480"/>
      <w:ind w:left="720" w:right="720" w:firstLine="0"/>
      <w:jc w:val="center"/>
    </w:pPr>
    <w:rPr>
      <w:rFonts w:eastAsiaTheme="majorEastAsia" w:cstheme="majorBidi"/>
      <w:i/>
      <w:iCs/>
      <w:sz w:val="20"/>
      <w:szCs w:val="20"/>
    </w:rPr>
  </w:style>
  <w:style w:type="character" w:customStyle="1" w:styleId="IntenseQuoteChar">
    <w:name w:val="Intense Quote Char"/>
    <w:basedOn w:val="DefaultParagraphFont"/>
    <w:link w:val="IntenseQuote"/>
    <w:uiPriority w:val="30"/>
    <w:rsid w:val="003C5101"/>
    <w:rPr>
      <w:rFonts w:eastAsiaTheme="majorEastAsia" w:cstheme="majorBidi"/>
      <w:i/>
      <w:iCs/>
      <w:sz w:val="20"/>
      <w:szCs w:val="20"/>
    </w:rPr>
  </w:style>
  <w:style w:type="character" w:styleId="SubtleEmphasis">
    <w:name w:val="Subtle Emphasis"/>
    <w:uiPriority w:val="19"/>
    <w:qFormat/>
    <w:rsid w:val="003C5101"/>
    <w:rPr>
      <w:i/>
      <w:iCs/>
      <w:color w:val="5A5A5A" w:themeColor="text1" w:themeTint="A5"/>
    </w:rPr>
  </w:style>
  <w:style w:type="character" w:styleId="IntenseEmphasis">
    <w:name w:val="Intense Emphasis"/>
    <w:uiPriority w:val="21"/>
    <w:qFormat/>
    <w:rsid w:val="003C5101"/>
    <w:rPr>
      <w:b/>
      <w:bCs/>
      <w:i/>
      <w:iCs/>
      <w:color w:val="auto"/>
      <w:u w:val="single"/>
    </w:rPr>
  </w:style>
  <w:style w:type="character" w:styleId="SubtleReference">
    <w:name w:val="Subtle Reference"/>
    <w:uiPriority w:val="31"/>
    <w:qFormat/>
    <w:rsid w:val="003C5101"/>
    <w:rPr>
      <w:smallCaps/>
    </w:rPr>
  </w:style>
  <w:style w:type="character" w:styleId="IntenseReference">
    <w:name w:val="Intense Reference"/>
    <w:uiPriority w:val="32"/>
    <w:qFormat/>
    <w:rsid w:val="003C5101"/>
    <w:rPr>
      <w:b/>
      <w:bCs/>
      <w:smallCaps/>
      <w:color w:val="auto"/>
    </w:rPr>
  </w:style>
  <w:style w:type="character" w:styleId="BookTitle">
    <w:name w:val="Book Title"/>
    <w:uiPriority w:val="33"/>
    <w:qFormat/>
    <w:rsid w:val="003C510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3C5101"/>
    <w:pPr>
      <w:outlineLvl w:val="9"/>
    </w:pPr>
    <w:rPr>
      <w:lang w:bidi="en-US"/>
    </w:rPr>
  </w:style>
  <w:style w:type="paragraph" w:styleId="CommentText">
    <w:name w:val="annotation text"/>
    <w:basedOn w:val="Normal"/>
    <w:link w:val="CommentTextChar"/>
    <w:uiPriority w:val="99"/>
    <w:semiHidden/>
    <w:unhideWhenUsed/>
    <w:rsid w:val="00CD404B"/>
    <w:pPr>
      <w:spacing w:after="0"/>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semiHidden/>
    <w:rsid w:val="00CD404B"/>
    <w:rPr>
      <w:rFonts w:ascii="Calibri" w:eastAsia="SimSun" w:hAnsi="Calibri" w:cs="Times New Roman"/>
      <w:sz w:val="20"/>
      <w:szCs w:val="20"/>
      <w:lang w:eastAsia="zh-CN"/>
    </w:rPr>
  </w:style>
  <w:style w:type="paragraph" w:styleId="Caption">
    <w:name w:val="caption"/>
    <w:basedOn w:val="Normal"/>
    <w:next w:val="Normal"/>
    <w:uiPriority w:val="35"/>
    <w:unhideWhenUsed/>
    <w:qFormat/>
    <w:rsid w:val="003C5101"/>
    <w:rPr>
      <w:b/>
      <w:bCs/>
      <w:sz w:val="18"/>
      <w:szCs w:val="18"/>
    </w:rPr>
  </w:style>
  <w:style w:type="paragraph" w:styleId="Header">
    <w:name w:val="header"/>
    <w:basedOn w:val="Normal"/>
    <w:link w:val="HeaderChar"/>
    <w:uiPriority w:val="99"/>
    <w:unhideWhenUsed/>
    <w:rsid w:val="00733E3C"/>
    <w:pPr>
      <w:tabs>
        <w:tab w:val="center" w:pos="4320"/>
        <w:tab w:val="right" w:pos="8640"/>
      </w:tabs>
      <w:spacing w:after="0"/>
    </w:pPr>
  </w:style>
  <w:style w:type="character" w:customStyle="1" w:styleId="HeaderChar">
    <w:name w:val="Header Char"/>
    <w:basedOn w:val="DefaultParagraphFont"/>
    <w:link w:val="Header"/>
    <w:uiPriority w:val="99"/>
    <w:rsid w:val="00733E3C"/>
  </w:style>
  <w:style w:type="paragraph" w:styleId="Footer">
    <w:name w:val="footer"/>
    <w:basedOn w:val="Normal"/>
    <w:link w:val="FooterChar"/>
    <w:uiPriority w:val="99"/>
    <w:unhideWhenUsed/>
    <w:rsid w:val="00733E3C"/>
    <w:pPr>
      <w:tabs>
        <w:tab w:val="center" w:pos="4320"/>
        <w:tab w:val="right" w:pos="8640"/>
      </w:tabs>
      <w:spacing w:after="0"/>
    </w:pPr>
  </w:style>
  <w:style w:type="character" w:customStyle="1" w:styleId="FooterChar">
    <w:name w:val="Footer Char"/>
    <w:basedOn w:val="DefaultParagraphFont"/>
    <w:link w:val="Footer"/>
    <w:uiPriority w:val="99"/>
    <w:rsid w:val="00733E3C"/>
  </w:style>
  <w:style w:type="character" w:styleId="UnresolvedMention">
    <w:name w:val="Unresolved Mention"/>
    <w:basedOn w:val="DefaultParagraphFont"/>
    <w:uiPriority w:val="99"/>
    <w:semiHidden/>
    <w:unhideWhenUsed/>
    <w:rsid w:val="00BA61F5"/>
    <w:rPr>
      <w:color w:val="605E5C"/>
      <w:shd w:val="clear" w:color="auto" w:fill="E1DFDD"/>
    </w:rPr>
  </w:style>
  <w:style w:type="character" w:styleId="CommentReference">
    <w:name w:val="annotation reference"/>
    <w:basedOn w:val="DefaultParagraphFont"/>
    <w:uiPriority w:val="99"/>
    <w:semiHidden/>
    <w:unhideWhenUsed/>
    <w:rsid w:val="00033F29"/>
    <w:rPr>
      <w:sz w:val="16"/>
      <w:szCs w:val="16"/>
    </w:rPr>
  </w:style>
  <w:style w:type="paragraph" w:styleId="CommentSubject">
    <w:name w:val="annotation subject"/>
    <w:basedOn w:val="CommentText"/>
    <w:next w:val="CommentText"/>
    <w:link w:val="CommentSubjectChar"/>
    <w:uiPriority w:val="99"/>
    <w:semiHidden/>
    <w:unhideWhenUsed/>
    <w:rsid w:val="00033F29"/>
    <w:pPr>
      <w:spacing w:after="240"/>
    </w:pPr>
    <w:rPr>
      <w:rFonts w:asciiTheme="majorHAnsi" w:eastAsiaTheme="minorEastAsia" w:hAnsiTheme="majorHAnsi"/>
      <w:b/>
      <w:bCs/>
      <w:lang w:eastAsia="en-US"/>
    </w:rPr>
  </w:style>
  <w:style w:type="character" w:customStyle="1" w:styleId="CommentSubjectChar">
    <w:name w:val="Comment Subject Char"/>
    <w:basedOn w:val="CommentTextChar"/>
    <w:link w:val="CommentSubject"/>
    <w:uiPriority w:val="99"/>
    <w:semiHidden/>
    <w:rsid w:val="00033F29"/>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85626">
      <w:bodyDiv w:val="1"/>
      <w:marLeft w:val="0"/>
      <w:marRight w:val="0"/>
      <w:marTop w:val="0"/>
      <w:marBottom w:val="0"/>
      <w:divBdr>
        <w:top w:val="none" w:sz="0" w:space="0" w:color="auto"/>
        <w:left w:val="none" w:sz="0" w:space="0" w:color="auto"/>
        <w:bottom w:val="none" w:sz="0" w:space="0" w:color="auto"/>
        <w:right w:val="none" w:sz="0" w:space="0" w:color="auto"/>
      </w:divBdr>
    </w:div>
    <w:div w:id="1403411708">
      <w:bodyDiv w:val="1"/>
      <w:marLeft w:val="0"/>
      <w:marRight w:val="0"/>
      <w:marTop w:val="0"/>
      <w:marBottom w:val="0"/>
      <w:divBdr>
        <w:top w:val="none" w:sz="0" w:space="0" w:color="auto"/>
        <w:left w:val="none" w:sz="0" w:space="0" w:color="auto"/>
        <w:bottom w:val="none" w:sz="0" w:space="0" w:color="auto"/>
        <w:right w:val="none" w:sz="0" w:space="0" w:color="auto"/>
      </w:divBdr>
    </w:div>
    <w:div w:id="1456439241">
      <w:bodyDiv w:val="1"/>
      <w:marLeft w:val="0"/>
      <w:marRight w:val="0"/>
      <w:marTop w:val="0"/>
      <w:marBottom w:val="0"/>
      <w:divBdr>
        <w:top w:val="none" w:sz="0" w:space="0" w:color="auto"/>
        <w:left w:val="none" w:sz="0" w:space="0" w:color="auto"/>
        <w:bottom w:val="none" w:sz="0" w:space="0" w:color="auto"/>
        <w:right w:val="none" w:sz="0" w:space="0" w:color="auto"/>
      </w:divBdr>
      <w:divsChild>
        <w:div w:id="983196458">
          <w:marLeft w:val="0"/>
          <w:marRight w:val="0"/>
          <w:marTop w:val="0"/>
          <w:marBottom w:val="0"/>
          <w:divBdr>
            <w:top w:val="none" w:sz="0" w:space="0" w:color="auto"/>
            <w:left w:val="none" w:sz="0" w:space="0" w:color="auto"/>
            <w:bottom w:val="none" w:sz="0" w:space="0" w:color="auto"/>
            <w:right w:val="none" w:sz="0" w:space="0" w:color="auto"/>
          </w:divBdr>
        </w:div>
      </w:divsChild>
    </w:div>
    <w:div w:id="16204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aahassanahme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ajgh.2022\Hepatocellular%20Carcinoma%20Post%20Direct%20Anti%20Hepatitis%20C%20Viral%20Agents;%20Clinical%20Features%20and%20Risk%20Factors\after%20author%20revision\AbdAll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ajgh.2022\Hepatocellular%20Carcinoma%20Post%20Direct%20Anti%20Hepatitis%20C%20Viral%20Agents;%20Clinical%20Features%20and%20Risk%20Factors\after%20author%20revision\10.21608\ajgh.2022.177155.1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A1BC-4126-41CC-B3BF-59E819A6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SYSalem</cp:lastModifiedBy>
  <cp:revision>2</cp:revision>
  <cp:lastPrinted>2022-12-18T18:05:00Z</cp:lastPrinted>
  <dcterms:created xsi:type="dcterms:W3CDTF">2022-12-18T18:05:00Z</dcterms:created>
  <dcterms:modified xsi:type="dcterms:W3CDTF">2022-12-18T18:05:00Z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718f7c4de3e27fce3df1d63806d9843403b6e3c574c04e51c419ed94fe83dd09</vt:lpwstr>
  </property>
</Properties>
</file>