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084C" w14:textId="59453AD1" w:rsidR="004D2F88" w:rsidRPr="003E62F3" w:rsidRDefault="008C0523" w:rsidP="00E457FB">
      <w:pPr>
        <w:pStyle w:val="Header"/>
        <w:jc w:val="center"/>
        <w:rPr>
          <w:b/>
          <w:bCs/>
          <w:color w:val="000000"/>
          <w:sz w:val="28"/>
          <w:szCs w:val="28"/>
        </w:rPr>
      </w:pPr>
      <w:r w:rsidRPr="00DB133F">
        <w:rPr>
          <w:b/>
          <w:bCs/>
          <w:color w:val="000000"/>
          <w:sz w:val="28"/>
          <w:szCs w:val="28"/>
        </w:rPr>
        <w:t>Assessment</w:t>
      </w:r>
      <w:r w:rsidR="00C72D5D" w:rsidRPr="003E62F3">
        <w:rPr>
          <w:b/>
          <w:bCs/>
          <w:color w:val="000000"/>
          <w:sz w:val="28"/>
          <w:szCs w:val="28"/>
        </w:rPr>
        <w:t xml:space="preserve"> </w:t>
      </w:r>
      <w:r w:rsidR="00E12D95" w:rsidRPr="003E62F3">
        <w:rPr>
          <w:b/>
          <w:bCs/>
          <w:color w:val="000000"/>
          <w:sz w:val="28"/>
          <w:szCs w:val="28"/>
        </w:rPr>
        <w:t xml:space="preserve">of </w:t>
      </w:r>
      <w:r w:rsidR="007249D6" w:rsidRPr="003E62F3">
        <w:rPr>
          <w:b/>
          <w:bCs/>
          <w:color w:val="000000"/>
          <w:sz w:val="28"/>
          <w:szCs w:val="28"/>
        </w:rPr>
        <w:t>Chronic Kidney Disease in Patients with Non-Alcoholic Fatty Liver Disease (NAFLD)</w:t>
      </w:r>
      <w:r w:rsidR="00C72D5D" w:rsidRPr="003E62F3">
        <w:rPr>
          <w:b/>
          <w:bCs/>
          <w:color w:val="000000"/>
          <w:sz w:val="28"/>
          <w:szCs w:val="28"/>
        </w:rPr>
        <w:t xml:space="preserve">; </w:t>
      </w:r>
      <w:r w:rsidR="00C72D5D" w:rsidRPr="00832B05">
        <w:rPr>
          <w:b/>
          <w:bCs/>
          <w:color w:val="000000"/>
          <w:sz w:val="28"/>
          <w:szCs w:val="28"/>
        </w:rPr>
        <w:t>A Single Center Experience</w:t>
      </w:r>
    </w:p>
    <w:p w14:paraId="45E7B6CA" w14:textId="77777777" w:rsidR="003E62F3" w:rsidRPr="00832B05" w:rsidRDefault="003E62F3" w:rsidP="003E62F3">
      <w:pPr>
        <w:autoSpaceDE w:val="0"/>
        <w:autoSpaceDN w:val="0"/>
        <w:adjustRightInd w:val="0"/>
        <w:spacing w:line="480" w:lineRule="auto"/>
        <w:jc w:val="center"/>
        <w:rPr>
          <w:b/>
          <w:bCs/>
          <w:color w:val="000000"/>
          <w:sz w:val="28"/>
          <w:szCs w:val="28"/>
        </w:rPr>
      </w:pPr>
    </w:p>
    <w:p w14:paraId="22226F13" w14:textId="3B758D5E" w:rsidR="003E62F3" w:rsidRPr="003E62F3" w:rsidRDefault="003E62F3" w:rsidP="003E62F3">
      <w:pPr>
        <w:autoSpaceDE w:val="0"/>
        <w:autoSpaceDN w:val="0"/>
        <w:adjustRightInd w:val="0"/>
        <w:spacing w:line="480" w:lineRule="auto"/>
        <w:jc w:val="center"/>
        <w:rPr>
          <w:rFonts w:asciiTheme="majorBidi" w:eastAsiaTheme="minorHAnsi" w:hAnsiTheme="majorBidi" w:cstheme="majorBidi"/>
          <w:b/>
          <w:bCs/>
          <w:color w:val="000000"/>
          <w:lang w:eastAsia="en-US"/>
        </w:rPr>
      </w:pPr>
      <w:r w:rsidRPr="003E62F3">
        <w:rPr>
          <w:rFonts w:asciiTheme="majorBidi" w:eastAsiaTheme="minorHAnsi" w:hAnsiTheme="majorBidi" w:cstheme="majorBidi"/>
          <w:b/>
          <w:bCs/>
          <w:color w:val="000000"/>
          <w:lang w:eastAsia="en-US"/>
        </w:rPr>
        <w:t xml:space="preserve">Mona Mohammed </w:t>
      </w:r>
      <w:bookmarkStart w:id="0" w:name="_Hlk123738398"/>
      <w:r w:rsidRPr="003E62F3">
        <w:rPr>
          <w:rFonts w:asciiTheme="majorBidi" w:eastAsiaTheme="minorHAnsi" w:hAnsiTheme="majorBidi" w:cstheme="majorBidi"/>
          <w:b/>
          <w:bCs/>
          <w:color w:val="000000"/>
          <w:lang w:eastAsia="en-US"/>
        </w:rPr>
        <w:t>Abdelrahman</w:t>
      </w:r>
      <w:bookmarkEnd w:id="0"/>
      <w:r w:rsidRPr="003E62F3">
        <w:rPr>
          <w:rFonts w:asciiTheme="majorBidi" w:eastAsiaTheme="minorHAnsi" w:hAnsiTheme="majorBidi" w:cstheme="majorBidi"/>
          <w:b/>
          <w:bCs/>
          <w:color w:val="000000"/>
          <w:vertAlign w:val="superscript"/>
          <w:lang w:eastAsia="en-US"/>
        </w:rPr>
        <w:t>1*,</w:t>
      </w:r>
      <w:r w:rsidRPr="003E62F3">
        <w:rPr>
          <w:rFonts w:asciiTheme="majorBidi" w:eastAsiaTheme="minorHAnsi" w:hAnsiTheme="majorBidi" w:cstheme="majorBidi"/>
          <w:b/>
          <w:bCs/>
          <w:color w:val="000000"/>
          <w:lang w:eastAsia="en-US"/>
        </w:rPr>
        <w:t xml:space="preserve"> </w:t>
      </w:r>
      <w:proofErr w:type="spellStart"/>
      <w:r w:rsidRPr="003E62F3">
        <w:rPr>
          <w:rFonts w:asciiTheme="majorBidi" w:eastAsiaTheme="minorHAnsi" w:hAnsiTheme="majorBidi" w:cstheme="majorBidi"/>
          <w:b/>
          <w:bCs/>
          <w:color w:val="000000"/>
          <w:lang w:eastAsia="en-US"/>
        </w:rPr>
        <w:t>Shimaa</w:t>
      </w:r>
      <w:proofErr w:type="spellEnd"/>
      <w:r w:rsidRPr="003E62F3">
        <w:rPr>
          <w:rFonts w:asciiTheme="majorBidi" w:eastAsiaTheme="minorHAnsi" w:hAnsiTheme="majorBidi" w:cstheme="majorBidi"/>
          <w:b/>
          <w:bCs/>
          <w:color w:val="000000"/>
          <w:lang w:eastAsia="en-US"/>
        </w:rPr>
        <w:t xml:space="preserve"> </w:t>
      </w:r>
      <w:proofErr w:type="spellStart"/>
      <w:r w:rsidRPr="003E62F3">
        <w:rPr>
          <w:rFonts w:asciiTheme="majorBidi" w:eastAsiaTheme="minorHAnsi" w:hAnsiTheme="majorBidi" w:cstheme="majorBidi"/>
          <w:b/>
          <w:bCs/>
          <w:color w:val="000000"/>
          <w:lang w:eastAsia="en-US"/>
        </w:rPr>
        <w:t>Badawy</w:t>
      </w:r>
      <w:proofErr w:type="spellEnd"/>
      <w:r w:rsidRPr="003E62F3">
        <w:rPr>
          <w:rFonts w:asciiTheme="majorBidi" w:eastAsiaTheme="minorHAnsi" w:hAnsiTheme="majorBidi" w:cstheme="majorBidi"/>
          <w:b/>
          <w:bCs/>
          <w:color w:val="000000"/>
          <w:lang w:eastAsia="en-US"/>
        </w:rPr>
        <w:t xml:space="preserve"> Hemdan</w:t>
      </w:r>
      <w:r w:rsidRPr="003E62F3">
        <w:rPr>
          <w:rFonts w:asciiTheme="majorBidi" w:eastAsiaTheme="minorHAnsi" w:hAnsiTheme="majorBidi" w:cstheme="majorBidi"/>
          <w:b/>
          <w:bCs/>
          <w:color w:val="000000"/>
          <w:vertAlign w:val="superscript"/>
          <w:lang w:eastAsia="en-US"/>
        </w:rPr>
        <w:t>2,</w:t>
      </w:r>
      <w:r w:rsidRPr="003E62F3">
        <w:rPr>
          <w:rFonts w:asciiTheme="majorBidi" w:eastAsiaTheme="minorHAnsi" w:hAnsiTheme="majorBidi" w:cstheme="majorBidi"/>
          <w:b/>
          <w:bCs/>
          <w:color w:val="000000"/>
          <w:lang w:eastAsia="en-US"/>
        </w:rPr>
        <w:t xml:space="preserve"> Mohamed </w:t>
      </w:r>
      <w:proofErr w:type="spellStart"/>
      <w:r w:rsidRPr="003E62F3">
        <w:rPr>
          <w:rFonts w:asciiTheme="majorBidi" w:eastAsiaTheme="minorHAnsi" w:hAnsiTheme="majorBidi" w:cstheme="majorBidi"/>
          <w:b/>
          <w:bCs/>
          <w:color w:val="000000"/>
          <w:lang w:eastAsia="en-US"/>
        </w:rPr>
        <w:t>Ezeldin</w:t>
      </w:r>
      <w:proofErr w:type="spellEnd"/>
      <w:r w:rsidRPr="003E62F3">
        <w:rPr>
          <w:rFonts w:asciiTheme="majorBidi" w:eastAsiaTheme="minorHAnsi" w:hAnsiTheme="majorBidi" w:cstheme="majorBidi"/>
          <w:b/>
          <w:bCs/>
          <w:color w:val="000000"/>
          <w:lang w:eastAsia="en-US"/>
        </w:rPr>
        <w:t xml:space="preserve"> </w:t>
      </w:r>
      <w:r w:rsidRPr="003E62F3">
        <w:rPr>
          <w:rFonts w:asciiTheme="majorBidi" w:eastAsiaTheme="minorHAnsi" w:hAnsiTheme="majorBidi" w:cstheme="majorBidi"/>
          <w:b/>
          <w:bCs/>
          <w:color w:val="000000"/>
          <w:vertAlign w:val="superscript"/>
          <w:lang w:eastAsia="en-US"/>
        </w:rPr>
        <w:t>3</w:t>
      </w:r>
      <w:r w:rsidRPr="003E62F3">
        <w:rPr>
          <w:rFonts w:asciiTheme="majorBidi" w:eastAsiaTheme="minorHAnsi" w:hAnsiTheme="majorBidi" w:cstheme="majorBidi"/>
          <w:b/>
          <w:bCs/>
          <w:color w:val="000000"/>
          <w:lang w:eastAsia="en-US"/>
        </w:rPr>
        <w:t xml:space="preserve">, Osama Abbas </w:t>
      </w:r>
      <w:proofErr w:type="spellStart"/>
      <w:r w:rsidRPr="003E62F3">
        <w:rPr>
          <w:rFonts w:asciiTheme="majorBidi" w:eastAsiaTheme="minorHAnsi" w:hAnsiTheme="majorBidi" w:cstheme="majorBidi"/>
          <w:b/>
          <w:bCs/>
          <w:color w:val="000000"/>
          <w:lang w:eastAsia="en-US"/>
        </w:rPr>
        <w:t>Orabi</w:t>
      </w:r>
      <w:proofErr w:type="spellEnd"/>
      <w:r w:rsidRPr="003E62F3">
        <w:rPr>
          <w:rFonts w:asciiTheme="majorBidi" w:eastAsiaTheme="minorHAnsi" w:hAnsiTheme="majorBidi" w:cstheme="majorBidi"/>
          <w:b/>
          <w:bCs/>
          <w:color w:val="000000"/>
          <w:lang w:eastAsia="en-US"/>
        </w:rPr>
        <w:t xml:space="preserve"> </w:t>
      </w:r>
      <w:r w:rsidRPr="003E62F3">
        <w:rPr>
          <w:rFonts w:asciiTheme="majorBidi" w:eastAsiaTheme="minorHAnsi" w:hAnsiTheme="majorBidi" w:cstheme="majorBidi"/>
          <w:b/>
          <w:bCs/>
          <w:color w:val="000000"/>
          <w:vertAlign w:val="superscript"/>
          <w:lang w:eastAsia="en-US"/>
        </w:rPr>
        <w:t>4</w:t>
      </w:r>
      <w:r w:rsidRPr="003E62F3">
        <w:rPr>
          <w:rFonts w:asciiTheme="majorBidi" w:eastAsiaTheme="minorHAnsi" w:hAnsiTheme="majorBidi" w:cstheme="majorBidi"/>
          <w:b/>
          <w:bCs/>
          <w:color w:val="000000"/>
          <w:lang w:eastAsia="en-US"/>
        </w:rPr>
        <w:t xml:space="preserve">, </w:t>
      </w:r>
      <w:proofErr w:type="spellStart"/>
      <w:r w:rsidRPr="003E62F3">
        <w:rPr>
          <w:rFonts w:asciiTheme="majorBidi" w:eastAsiaTheme="minorHAnsi" w:hAnsiTheme="majorBidi" w:cstheme="majorBidi"/>
          <w:b/>
          <w:bCs/>
          <w:lang w:eastAsia="en-US"/>
        </w:rPr>
        <w:t>Shimaa</w:t>
      </w:r>
      <w:proofErr w:type="spellEnd"/>
      <w:r w:rsidRPr="003E62F3">
        <w:rPr>
          <w:rFonts w:asciiTheme="majorBidi" w:eastAsiaTheme="minorHAnsi" w:hAnsiTheme="majorBidi" w:cstheme="majorBidi"/>
          <w:b/>
          <w:bCs/>
          <w:lang w:eastAsia="en-US"/>
        </w:rPr>
        <w:t xml:space="preserve"> Anwar Rashed</w:t>
      </w:r>
      <w:r w:rsidRPr="003E62F3">
        <w:rPr>
          <w:rFonts w:asciiTheme="majorBidi" w:eastAsiaTheme="minorHAnsi" w:hAnsiTheme="majorBidi" w:cstheme="majorBidi"/>
          <w:b/>
          <w:bCs/>
          <w:vertAlign w:val="superscript"/>
          <w:lang w:eastAsia="en-US"/>
        </w:rPr>
        <w:t>5</w:t>
      </w:r>
      <w:r w:rsidRPr="003E62F3">
        <w:rPr>
          <w:rFonts w:asciiTheme="majorBidi" w:eastAsiaTheme="minorHAnsi" w:hAnsiTheme="majorBidi" w:cstheme="majorBidi"/>
          <w:b/>
          <w:bCs/>
          <w:lang w:eastAsia="en-US"/>
        </w:rPr>
        <w:t xml:space="preserve">, Ahmed </w:t>
      </w:r>
      <w:proofErr w:type="spellStart"/>
      <w:r w:rsidRPr="003E62F3">
        <w:rPr>
          <w:rFonts w:asciiTheme="majorBidi" w:eastAsiaTheme="minorHAnsi" w:hAnsiTheme="majorBidi" w:cstheme="majorBidi"/>
          <w:b/>
          <w:bCs/>
          <w:lang w:eastAsia="en-US"/>
        </w:rPr>
        <w:t>Nagah</w:t>
      </w:r>
      <w:proofErr w:type="spellEnd"/>
      <w:r w:rsidRPr="003E62F3">
        <w:rPr>
          <w:rFonts w:asciiTheme="majorBidi" w:eastAsiaTheme="minorHAnsi" w:hAnsiTheme="majorBidi" w:cstheme="majorBidi"/>
          <w:b/>
          <w:bCs/>
          <w:lang w:eastAsia="en-US"/>
        </w:rPr>
        <w:t xml:space="preserve"> Nour </w:t>
      </w:r>
      <w:proofErr w:type="spellStart"/>
      <w:r w:rsidR="00A207EB">
        <w:rPr>
          <w:rFonts w:asciiTheme="majorBidi" w:eastAsiaTheme="minorHAnsi" w:hAnsiTheme="majorBidi" w:cstheme="majorBidi"/>
          <w:b/>
          <w:bCs/>
          <w:lang w:eastAsia="en-US"/>
        </w:rPr>
        <w:t>Eldin</w:t>
      </w:r>
      <w:proofErr w:type="spellEnd"/>
      <w:r w:rsidRPr="003E62F3">
        <w:rPr>
          <w:rFonts w:asciiTheme="majorBidi" w:eastAsiaTheme="minorHAnsi" w:hAnsiTheme="majorBidi" w:cstheme="majorBidi"/>
          <w:b/>
          <w:bCs/>
          <w:lang w:eastAsia="en-US"/>
        </w:rPr>
        <w:t xml:space="preserve"> </w:t>
      </w:r>
      <w:r w:rsidRPr="003E62F3">
        <w:rPr>
          <w:rFonts w:asciiTheme="majorBidi" w:eastAsiaTheme="minorHAnsi" w:hAnsiTheme="majorBidi" w:cstheme="majorBidi"/>
          <w:b/>
          <w:bCs/>
          <w:vertAlign w:val="superscript"/>
          <w:lang w:eastAsia="en-US"/>
        </w:rPr>
        <w:t>4</w:t>
      </w:r>
    </w:p>
    <w:p w14:paraId="1E0BF230" w14:textId="33AFBE3E" w:rsidR="003E62F3" w:rsidRPr="003E62F3" w:rsidRDefault="003E62F3" w:rsidP="003E62F3">
      <w:pPr>
        <w:numPr>
          <w:ilvl w:val="0"/>
          <w:numId w:val="5"/>
        </w:numPr>
        <w:spacing w:after="200" w:line="480" w:lineRule="auto"/>
        <w:contextualSpacing/>
        <w:jc w:val="center"/>
        <w:rPr>
          <w:rFonts w:asciiTheme="majorBidi" w:eastAsiaTheme="minorHAnsi" w:hAnsiTheme="majorBidi" w:cstheme="majorBidi"/>
          <w:b/>
          <w:bCs/>
          <w:sz w:val="22"/>
          <w:szCs w:val="22"/>
          <w:lang w:eastAsia="en-US"/>
        </w:rPr>
      </w:pPr>
      <w:r w:rsidRPr="003E62F3">
        <w:rPr>
          <w:rFonts w:asciiTheme="majorBidi" w:eastAsiaTheme="minorHAnsi" w:hAnsiTheme="majorBidi" w:cstheme="majorBidi"/>
          <w:sz w:val="22"/>
          <w:szCs w:val="22"/>
          <w:lang w:eastAsia="en-US"/>
        </w:rPr>
        <w:t xml:space="preserve">Lecturer of Tropical Medicine and Gastroenterology Department, </w:t>
      </w:r>
      <w:r w:rsidRPr="003E62F3">
        <w:rPr>
          <w:rFonts w:asciiTheme="majorBidi" w:eastAsiaTheme="minorHAnsi" w:hAnsiTheme="majorBidi" w:cstheme="majorBidi"/>
          <w:color w:val="000000"/>
          <w:sz w:val="22"/>
          <w:szCs w:val="22"/>
          <w:lang w:eastAsia="en-US"/>
        </w:rPr>
        <w:t xml:space="preserve">Faculty of Medicine, </w:t>
      </w:r>
      <w:proofErr w:type="spellStart"/>
      <w:r w:rsidRPr="003E62F3">
        <w:rPr>
          <w:rFonts w:asciiTheme="majorBidi" w:eastAsiaTheme="minorHAnsi" w:hAnsiTheme="majorBidi" w:cstheme="majorBidi"/>
          <w:color w:val="000000"/>
          <w:sz w:val="22"/>
          <w:szCs w:val="22"/>
          <w:lang w:eastAsia="en-US"/>
        </w:rPr>
        <w:t>Sohag</w:t>
      </w:r>
      <w:proofErr w:type="spellEnd"/>
      <w:r w:rsidRPr="003E62F3">
        <w:rPr>
          <w:rFonts w:asciiTheme="majorBidi" w:eastAsiaTheme="minorHAnsi" w:hAnsiTheme="majorBidi" w:cstheme="majorBidi"/>
          <w:color w:val="000000"/>
          <w:sz w:val="22"/>
          <w:szCs w:val="22"/>
          <w:lang w:eastAsia="en-US"/>
        </w:rPr>
        <w:t xml:space="preserve"> University, Egypt. </w:t>
      </w:r>
      <w:r w:rsidRPr="003E62F3">
        <w:rPr>
          <w:rFonts w:asciiTheme="majorBidi" w:eastAsiaTheme="minorHAnsi" w:hAnsiTheme="majorBidi" w:cstheme="majorBidi"/>
          <w:color w:val="0D0D0D" w:themeColor="text1" w:themeTint="F2"/>
          <w:sz w:val="22"/>
          <w:szCs w:val="22"/>
          <w:shd w:val="clear" w:color="auto" w:fill="FFFFFF"/>
          <w:lang w:eastAsia="en-US"/>
        </w:rPr>
        <w:t xml:space="preserve">ORCID: </w:t>
      </w:r>
      <w:hyperlink r:id="rId8" w:history="1">
        <w:r w:rsidRPr="003E62F3">
          <w:rPr>
            <w:rStyle w:val="Hyperlink"/>
            <w:rFonts w:asciiTheme="majorBidi" w:eastAsiaTheme="minorHAnsi" w:hAnsiTheme="majorBidi" w:cstheme="majorBidi"/>
            <w:sz w:val="22"/>
            <w:szCs w:val="22"/>
            <w:shd w:val="clear" w:color="auto" w:fill="FFFFFF"/>
            <w:lang w:eastAsia="en-US"/>
          </w:rPr>
          <w:t>0000-0002-8784-848X</w:t>
        </w:r>
      </w:hyperlink>
    </w:p>
    <w:p w14:paraId="4B56DD73" w14:textId="77777777" w:rsidR="003E62F3" w:rsidRPr="003E62F3" w:rsidRDefault="003E62F3" w:rsidP="003E62F3">
      <w:pPr>
        <w:numPr>
          <w:ilvl w:val="0"/>
          <w:numId w:val="5"/>
        </w:numPr>
        <w:autoSpaceDE w:val="0"/>
        <w:autoSpaceDN w:val="0"/>
        <w:adjustRightInd w:val="0"/>
        <w:spacing w:after="200" w:line="480" w:lineRule="auto"/>
        <w:rPr>
          <w:rFonts w:asciiTheme="majorBidi" w:eastAsiaTheme="minorHAnsi" w:hAnsiTheme="majorBidi" w:cstheme="majorBidi"/>
          <w:color w:val="000000"/>
          <w:sz w:val="22"/>
          <w:szCs w:val="22"/>
          <w:lang w:eastAsia="en-US"/>
        </w:rPr>
      </w:pPr>
      <w:r w:rsidRPr="003E62F3">
        <w:rPr>
          <w:rFonts w:asciiTheme="majorBidi" w:eastAsiaTheme="minorHAnsi" w:hAnsiTheme="majorBidi" w:cstheme="majorBidi"/>
          <w:sz w:val="22"/>
          <w:szCs w:val="22"/>
          <w:lang w:eastAsia="en-US"/>
        </w:rPr>
        <w:t xml:space="preserve">Lecturer of </w:t>
      </w:r>
      <w:r w:rsidRPr="003E62F3">
        <w:rPr>
          <w:rFonts w:asciiTheme="majorBidi" w:eastAsiaTheme="minorHAnsi" w:hAnsiTheme="majorBidi" w:cstheme="majorBidi"/>
          <w:color w:val="000000"/>
          <w:sz w:val="22"/>
          <w:szCs w:val="22"/>
          <w:lang w:eastAsia="en-US"/>
        </w:rPr>
        <w:t xml:space="preserve">Medical Biochemistry Department, Faculty of Medicine, </w:t>
      </w:r>
      <w:proofErr w:type="spellStart"/>
      <w:r w:rsidRPr="003E62F3">
        <w:rPr>
          <w:rFonts w:asciiTheme="majorBidi" w:eastAsiaTheme="minorHAnsi" w:hAnsiTheme="majorBidi" w:cstheme="majorBidi"/>
          <w:color w:val="000000"/>
          <w:sz w:val="22"/>
          <w:szCs w:val="22"/>
          <w:lang w:eastAsia="en-US"/>
        </w:rPr>
        <w:t>Sohag</w:t>
      </w:r>
      <w:proofErr w:type="spellEnd"/>
      <w:r w:rsidRPr="003E62F3">
        <w:rPr>
          <w:rFonts w:asciiTheme="majorBidi" w:eastAsiaTheme="minorHAnsi" w:hAnsiTheme="majorBidi" w:cstheme="majorBidi"/>
          <w:color w:val="000000"/>
          <w:sz w:val="22"/>
          <w:szCs w:val="22"/>
          <w:lang w:eastAsia="en-US"/>
        </w:rPr>
        <w:t xml:space="preserve"> University, Egypt.</w:t>
      </w:r>
    </w:p>
    <w:p w14:paraId="5E7A5F97" w14:textId="00668BBB" w:rsidR="003E62F3" w:rsidRPr="003E62F3" w:rsidRDefault="003E62F3" w:rsidP="003E62F3">
      <w:pPr>
        <w:numPr>
          <w:ilvl w:val="0"/>
          <w:numId w:val="5"/>
        </w:numPr>
        <w:spacing w:before="240" w:after="200" w:line="480" w:lineRule="auto"/>
        <w:contextualSpacing/>
        <w:rPr>
          <w:rFonts w:asciiTheme="majorBidi" w:eastAsiaTheme="minorHAnsi" w:hAnsiTheme="majorBidi" w:cstheme="majorBidi"/>
          <w:color w:val="000000"/>
          <w:sz w:val="22"/>
          <w:szCs w:val="22"/>
          <w:lang w:eastAsia="en-US"/>
        </w:rPr>
      </w:pPr>
      <w:r w:rsidRPr="003E62F3">
        <w:rPr>
          <w:rFonts w:asciiTheme="majorBidi" w:eastAsiaTheme="minorHAnsi" w:hAnsiTheme="majorBidi" w:cstheme="majorBidi"/>
          <w:sz w:val="22"/>
          <w:szCs w:val="22"/>
          <w:lang w:eastAsia="en-US"/>
        </w:rPr>
        <w:t xml:space="preserve">Lecturer of Diagnostic and Interventional Radiology </w:t>
      </w:r>
      <w:r w:rsidRPr="003E62F3">
        <w:rPr>
          <w:rFonts w:asciiTheme="majorBidi" w:eastAsiaTheme="minorHAnsi" w:hAnsiTheme="majorBidi" w:cstheme="majorBidi"/>
          <w:color w:val="000000"/>
          <w:sz w:val="22"/>
          <w:szCs w:val="22"/>
          <w:lang w:eastAsia="en-US"/>
        </w:rPr>
        <w:t xml:space="preserve">Department, Faculty of Medicine, </w:t>
      </w:r>
      <w:proofErr w:type="spellStart"/>
      <w:r w:rsidRPr="003E62F3">
        <w:rPr>
          <w:rFonts w:asciiTheme="majorBidi" w:eastAsiaTheme="minorHAnsi" w:hAnsiTheme="majorBidi" w:cstheme="majorBidi"/>
          <w:color w:val="000000"/>
          <w:sz w:val="22"/>
          <w:szCs w:val="22"/>
          <w:lang w:eastAsia="en-US"/>
        </w:rPr>
        <w:t>Sohag</w:t>
      </w:r>
      <w:proofErr w:type="spellEnd"/>
      <w:r w:rsidRPr="003E62F3">
        <w:rPr>
          <w:rFonts w:asciiTheme="majorBidi" w:eastAsiaTheme="minorHAnsi" w:hAnsiTheme="majorBidi" w:cstheme="majorBidi"/>
          <w:color w:val="000000"/>
          <w:sz w:val="22"/>
          <w:szCs w:val="22"/>
          <w:lang w:eastAsia="en-US"/>
        </w:rPr>
        <w:t xml:space="preserve"> University, Egypt.</w:t>
      </w:r>
      <w:r w:rsidRPr="003E62F3">
        <w:rPr>
          <w:rFonts w:asciiTheme="minorHAnsi" w:eastAsiaTheme="minorHAnsi" w:hAnsiTheme="minorHAnsi" w:cstheme="minorBidi"/>
          <w:sz w:val="22"/>
          <w:szCs w:val="22"/>
          <w:lang w:eastAsia="en-US"/>
        </w:rPr>
        <w:t xml:space="preserve"> </w:t>
      </w:r>
      <w:r w:rsidRPr="003E62F3">
        <w:rPr>
          <w:rFonts w:asciiTheme="majorBidi" w:eastAsiaTheme="minorHAnsi" w:hAnsiTheme="majorBidi" w:cstheme="majorBidi"/>
          <w:sz w:val="22"/>
          <w:szCs w:val="22"/>
          <w:lang w:eastAsia="en-US"/>
        </w:rPr>
        <w:t xml:space="preserve">ORCID: </w:t>
      </w:r>
      <w:hyperlink r:id="rId9" w:history="1">
        <w:r w:rsidRPr="003E62F3">
          <w:rPr>
            <w:rStyle w:val="Hyperlink"/>
            <w:rFonts w:asciiTheme="majorBidi" w:eastAsiaTheme="minorHAnsi" w:hAnsiTheme="majorBidi" w:cstheme="majorBidi"/>
            <w:sz w:val="22"/>
            <w:szCs w:val="22"/>
            <w:lang w:eastAsia="en-US"/>
          </w:rPr>
          <w:t>0000-0001-5613-1729</w:t>
        </w:r>
      </w:hyperlink>
      <w:r w:rsidRPr="003E62F3">
        <w:rPr>
          <w:rFonts w:asciiTheme="majorBidi" w:eastAsiaTheme="minorHAnsi" w:hAnsiTheme="majorBidi" w:cstheme="majorBidi"/>
          <w:sz w:val="22"/>
          <w:szCs w:val="22"/>
          <w:lang w:eastAsia="en-US"/>
        </w:rPr>
        <w:t>.</w:t>
      </w:r>
    </w:p>
    <w:p w14:paraId="17B20364" w14:textId="77777777" w:rsidR="003E62F3" w:rsidRPr="003E62F3" w:rsidRDefault="003E62F3" w:rsidP="003E62F3">
      <w:pPr>
        <w:numPr>
          <w:ilvl w:val="0"/>
          <w:numId w:val="5"/>
        </w:numPr>
        <w:spacing w:after="200" w:line="480" w:lineRule="auto"/>
        <w:contextualSpacing/>
        <w:rPr>
          <w:rFonts w:asciiTheme="majorBidi" w:eastAsiaTheme="minorHAnsi" w:hAnsiTheme="majorBidi" w:cstheme="majorBidi"/>
          <w:color w:val="000000"/>
          <w:sz w:val="22"/>
          <w:szCs w:val="22"/>
          <w:lang w:eastAsia="en-US"/>
        </w:rPr>
      </w:pPr>
      <w:r w:rsidRPr="003E62F3">
        <w:rPr>
          <w:rFonts w:asciiTheme="majorBidi" w:eastAsiaTheme="minorHAnsi" w:hAnsiTheme="majorBidi" w:cstheme="majorBidi"/>
          <w:sz w:val="22"/>
          <w:szCs w:val="22"/>
          <w:lang w:eastAsia="en-US"/>
        </w:rPr>
        <w:t xml:space="preserve"> Lecturer of Internal Medicine </w:t>
      </w:r>
      <w:r w:rsidRPr="003E62F3">
        <w:rPr>
          <w:rFonts w:asciiTheme="majorBidi" w:eastAsiaTheme="minorHAnsi" w:hAnsiTheme="majorBidi" w:cstheme="majorBidi"/>
          <w:color w:val="000000"/>
          <w:sz w:val="22"/>
          <w:szCs w:val="22"/>
          <w:lang w:eastAsia="en-US"/>
        </w:rPr>
        <w:t xml:space="preserve">Department, Faculty of Medicine, </w:t>
      </w:r>
      <w:proofErr w:type="spellStart"/>
      <w:r w:rsidRPr="003E62F3">
        <w:rPr>
          <w:rFonts w:asciiTheme="majorBidi" w:eastAsiaTheme="minorHAnsi" w:hAnsiTheme="majorBidi" w:cstheme="majorBidi"/>
          <w:color w:val="000000"/>
          <w:sz w:val="22"/>
          <w:szCs w:val="22"/>
          <w:lang w:eastAsia="en-US"/>
        </w:rPr>
        <w:t>Sohag</w:t>
      </w:r>
      <w:proofErr w:type="spellEnd"/>
      <w:r w:rsidRPr="003E62F3">
        <w:rPr>
          <w:rFonts w:asciiTheme="majorBidi" w:eastAsiaTheme="minorHAnsi" w:hAnsiTheme="majorBidi" w:cstheme="majorBidi"/>
          <w:color w:val="000000"/>
          <w:sz w:val="22"/>
          <w:szCs w:val="22"/>
          <w:lang w:eastAsia="en-US"/>
        </w:rPr>
        <w:t xml:space="preserve"> University, Egypt.</w:t>
      </w:r>
    </w:p>
    <w:p w14:paraId="2338DD82" w14:textId="77777777" w:rsidR="003E62F3" w:rsidRPr="003E62F3" w:rsidRDefault="003E62F3" w:rsidP="003E62F3">
      <w:pPr>
        <w:numPr>
          <w:ilvl w:val="0"/>
          <w:numId w:val="5"/>
        </w:numPr>
        <w:spacing w:after="200" w:line="480" w:lineRule="auto"/>
        <w:contextualSpacing/>
        <w:rPr>
          <w:rFonts w:asciiTheme="majorBidi" w:eastAsiaTheme="minorHAnsi" w:hAnsiTheme="majorBidi" w:cstheme="majorBidi"/>
          <w:color w:val="000000"/>
          <w:sz w:val="22"/>
          <w:szCs w:val="22"/>
          <w:lang w:eastAsia="en-US"/>
        </w:rPr>
      </w:pPr>
      <w:r w:rsidRPr="003E62F3">
        <w:rPr>
          <w:rFonts w:asciiTheme="majorBidi" w:eastAsiaTheme="minorHAnsi" w:hAnsiTheme="majorBidi" w:cstheme="majorBidi"/>
          <w:sz w:val="22"/>
          <w:szCs w:val="22"/>
          <w:lang w:eastAsia="en-US"/>
        </w:rPr>
        <w:t xml:space="preserve">Clinical and Chemical Pathology </w:t>
      </w:r>
      <w:bookmarkStart w:id="1" w:name="_Hlk89409177"/>
      <w:r w:rsidRPr="003E62F3">
        <w:rPr>
          <w:rFonts w:asciiTheme="majorBidi" w:eastAsiaTheme="minorHAnsi" w:hAnsiTheme="majorBidi" w:cstheme="majorBidi"/>
          <w:color w:val="000000"/>
          <w:sz w:val="22"/>
          <w:szCs w:val="22"/>
          <w:lang w:eastAsia="en-US"/>
        </w:rPr>
        <w:t xml:space="preserve">Department, Faculty of Medicine, </w:t>
      </w:r>
      <w:proofErr w:type="spellStart"/>
      <w:r w:rsidRPr="003E62F3">
        <w:rPr>
          <w:rFonts w:asciiTheme="majorBidi" w:eastAsiaTheme="minorHAnsi" w:hAnsiTheme="majorBidi" w:cstheme="majorBidi"/>
          <w:color w:val="000000"/>
          <w:sz w:val="22"/>
          <w:szCs w:val="22"/>
          <w:lang w:eastAsia="en-US"/>
        </w:rPr>
        <w:t>Sohag</w:t>
      </w:r>
      <w:proofErr w:type="spellEnd"/>
      <w:r w:rsidRPr="003E62F3">
        <w:rPr>
          <w:rFonts w:asciiTheme="majorBidi" w:eastAsiaTheme="minorHAnsi" w:hAnsiTheme="majorBidi" w:cstheme="majorBidi"/>
          <w:color w:val="000000"/>
          <w:sz w:val="22"/>
          <w:szCs w:val="22"/>
          <w:lang w:eastAsia="en-US"/>
        </w:rPr>
        <w:t xml:space="preserve"> University, Egypt.</w:t>
      </w:r>
    </w:p>
    <w:bookmarkEnd w:id="1"/>
    <w:p w14:paraId="57969752" w14:textId="09FD5DA5" w:rsidR="003E62F3" w:rsidRPr="003E62F3" w:rsidRDefault="003E62F3" w:rsidP="003E62F3">
      <w:pPr>
        <w:spacing w:after="200" w:line="480" w:lineRule="auto"/>
        <w:jc w:val="both"/>
        <w:rPr>
          <w:rFonts w:asciiTheme="majorBidi" w:eastAsiaTheme="minorHAnsi" w:hAnsiTheme="majorBidi" w:cstheme="majorBidi"/>
          <w:color w:val="0D0D0D" w:themeColor="text1" w:themeTint="F2"/>
          <w:sz w:val="22"/>
          <w:szCs w:val="22"/>
          <w:shd w:val="clear" w:color="auto" w:fill="FFFFFF"/>
          <w:lang w:eastAsia="en-US"/>
        </w:rPr>
      </w:pPr>
      <w:r w:rsidRPr="003E62F3">
        <w:rPr>
          <w:rFonts w:asciiTheme="majorBidi" w:eastAsiaTheme="minorHAnsi" w:hAnsiTheme="majorBidi" w:cstheme="majorBidi"/>
          <w:sz w:val="22"/>
          <w:szCs w:val="22"/>
          <w:lang w:eastAsia="en-US" w:bidi="ar-EG"/>
        </w:rPr>
        <w:t>*</w:t>
      </w:r>
      <w:r w:rsidRPr="003E62F3">
        <w:rPr>
          <w:rFonts w:asciiTheme="majorBidi" w:eastAsiaTheme="minorHAnsi" w:hAnsiTheme="majorBidi" w:cstheme="majorBidi"/>
          <w:b/>
          <w:bCs/>
          <w:sz w:val="22"/>
          <w:szCs w:val="22"/>
          <w:lang w:eastAsia="en-US" w:bidi="ar-EG"/>
        </w:rPr>
        <w:t xml:space="preserve">Corresponding author: </w:t>
      </w:r>
      <w:r w:rsidRPr="003E62F3">
        <w:rPr>
          <w:rFonts w:asciiTheme="majorBidi" w:eastAsiaTheme="minorHAnsi" w:hAnsiTheme="majorBidi" w:cstheme="majorBidi"/>
          <w:sz w:val="22"/>
          <w:szCs w:val="22"/>
          <w:lang w:eastAsia="en-US" w:bidi="ar-EG"/>
        </w:rPr>
        <w:t xml:space="preserve">Mona Mohammed Abdelrahman, Tropical medicine and Gastroenterology Department, Faculty of Medicine, </w:t>
      </w:r>
      <w:proofErr w:type="spellStart"/>
      <w:r w:rsidRPr="003E62F3">
        <w:rPr>
          <w:rFonts w:asciiTheme="majorBidi" w:eastAsiaTheme="minorHAnsi" w:hAnsiTheme="majorBidi" w:cstheme="majorBidi"/>
          <w:sz w:val="22"/>
          <w:szCs w:val="22"/>
          <w:lang w:eastAsia="en-US" w:bidi="ar-EG"/>
        </w:rPr>
        <w:t>Sohag</w:t>
      </w:r>
      <w:proofErr w:type="spellEnd"/>
      <w:r w:rsidRPr="003E62F3">
        <w:rPr>
          <w:rFonts w:asciiTheme="majorBidi" w:eastAsiaTheme="minorHAnsi" w:hAnsiTheme="majorBidi" w:cstheme="majorBidi"/>
          <w:sz w:val="22"/>
          <w:szCs w:val="22"/>
          <w:lang w:eastAsia="en-US" w:bidi="ar-EG"/>
        </w:rPr>
        <w:t xml:space="preserve"> University, Egypt. Postal code: </w:t>
      </w:r>
      <w:r w:rsidRPr="003E62F3">
        <w:rPr>
          <w:rFonts w:asciiTheme="majorBidi" w:eastAsiaTheme="minorHAnsi" w:hAnsiTheme="majorBidi" w:cstheme="majorBidi"/>
          <w:color w:val="000000"/>
          <w:sz w:val="22"/>
          <w:szCs w:val="22"/>
          <w:shd w:val="clear" w:color="auto" w:fill="FFFFFF"/>
          <w:lang w:eastAsia="en-US"/>
        </w:rPr>
        <w:t xml:space="preserve">82524. </w:t>
      </w:r>
      <w:r w:rsidRPr="003E62F3">
        <w:rPr>
          <w:rFonts w:asciiTheme="majorBidi" w:eastAsiaTheme="minorHAnsi" w:hAnsiTheme="majorBidi" w:cstheme="majorBidi"/>
          <w:sz w:val="22"/>
          <w:szCs w:val="22"/>
          <w:lang w:eastAsia="en-US" w:bidi="ar-EG"/>
        </w:rPr>
        <w:t xml:space="preserve">Telephone: 00201021025895, Email: </w:t>
      </w:r>
      <w:hyperlink r:id="rId10" w:history="1">
        <w:r w:rsidRPr="003E62F3">
          <w:rPr>
            <w:rFonts w:asciiTheme="majorBidi" w:eastAsiaTheme="minorHAnsi" w:hAnsiTheme="majorBidi" w:cstheme="majorBidi"/>
            <w:color w:val="0000FF" w:themeColor="hyperlink"/>
            <w:sz w:val="22"/>
            <w:szCs w:val="22"/>
            <w:u w:val="single"/>
            <w:lang w:eastAsia="en-US" w:bidi="ar-EG"/>
          </w:rPr>
          <w:t>monamohamed@med.sohag.edu.eg</w:t>
        </w:r>
      </w:hyperlink>
      <w:r w:rsidRPr="003E62F3">
        <w:rPr>
          <w:rFonts w:asciiTheme="majorBidi" w:eastAsiaTheme="minorHAnsi" w:hAnsiTheme="majorBidi" w:cstheme="majorBidi"/>
          <w:sz w:val="22"/>
          <w:szCs w:val="22"/>
          <w:lang w:eastAsia="en-US" w:bidi="ar-EG"/>
        </w:rPr>
        <w:t xml:space="preserve">. </w:t>
      </w:r>
      <w:r w:rsidRPr="003E62F3">
        <w:rPr>
          <w:rFonts w:asciiTheme="majorBidi" w:eastAsiaTheme="minorHAnsi" w:hAnsiTheme="majorBidi" w:cstheme="majorBidi"/>
          <w:color w:val="0D0D0D" w:themeColor="text1" w:themeTint="F2"/>
          <w:sz w:val="22"/>
          <w:szCs w:val="22"/>
          <w:shd w:val="clear" w:color="auto" w:fill="FFFFFF"/>
          <w:lang w:eastAsia="en-US"/>
        </w:rPr>
        <w:t xml:space="preserve">ORCID: </w:t>
      </w:r>
      <w:hyperlink r:id="rId11" w:history="1">
        <w:r w:rsidRPr="003E62F3">
          <w:rPr>
            <w:rStyle w:val="Hyperlink"/>
            <w:rFonts w:asciiTheme="majorBidi" w:eastAsiaTheme="minorHAnsi" w:hAnsiTheme="majorBidi" w:cstheme="majorBidi"/>
            <w:sz w:val="22"/>
            <w:szCs w:val="22"/>
            <w:shd w:val="clear" w:color="auto" w:fill="FFFFFF"/>
            <w:lang w:eastAsia="en-US"/>
          </w:rPr>
          <w:t>0000-0002-8784-848X</w:t>
        </w:r>
      </w:hyperlink>
      <w:r w:rsidRPr="003E62F3">
        <w:rPr>
          <w:rFonts w:asciiTheme="majorBidi" w:eastAsiaTheme="minorHAnsi" w:hAnsiTheme="majorBidi" w:cstheme="majorBidi"/>
          <w:color w:val="0D0D0D" w:themeColor="text1" w:themeTint="F2"/>
          <w:sz w:val="22"/>
          <w:szCs w:val="22"/>
          <w:shd w:val="clear" w:color="auto" w:fill="FFFFFF"/>
          <w:lang w:eastAsia="en-US"/>
        </w:rPr>
        <w:t>.</w:t>
      </w:r>
    </w:p>
    <w:p w14:paraId="60B7C2F4" w14:textId="77777777" w:rsidR="00520225" w:rsidRDefault="003E62F3" w:rsidP="003E62F3">
      <w:pPr>
        <w:numPr>
          <w:ilvl w:val="0"/>
          <w:numId w:val="4"/>
        </w:numPr>
        <w:spacing w:after="200" w:line="480" w:lineRule="auto"/>
        <w:contextualSpacing/>
        <w:jc w:val="both"/>
        <w:rPr>
          <w:rFonts w:asciiTheme="majorBidi" w:eastAsia="Times New Roman" w:hAnsiTheme="majorBidi" w:cstheme="majorBidi"/>
          <w:color w:val="000000" w:themeColor="text1"/>
          <w:lang w:eastAsia="en-US"/>
        </w:rPr>
      </w:pPr>
      <w:r w:rsidRPr="003E62F3">
        <w:rPr>
          <w:rFonts w:asciiTheme="majorBidi" w:eastAsiaTheme="minorHAnsi" w:hAnsiTheme="majorBidi" w:cstheme="majorBidi"/>
          <w:b/>
          <w:bCs/>
          <w:lang w:eastAsia="en-US" w:bidi="ar-EG"/>
        </w:rPr>
        <w:t>Running title</w:t>
      </w:r>
      <w:r w:rsidRPr="003E62F3">
        <w:rPr>
          <w:rFonts w:asciiTheme="majorBidi" w:eastAsiaTheme="minorHAnsi" w:hAnsiTheme="majorBidi" w:cstheme="majorBidi"/>
          <w:lang w:eastAsia="en-US" w:bidi="ar-EG"/>
        </w:rPr>
        <w:t xml:space="preserve">: </w:t>
      </w:r>
      <w:r w:rsidRPr="003E62F3">
        <w:rPr>
          <w:rFonts w:asciiTheme="majorBidi" w:eastAsia="Times New Roman" w:hAnsiTheme="majorBidi" w:cstheme="majorBidi"/>
          <w:color w:val="000000" w:themeColor="text1"/>
          <w:lang w:eastAsia="en-US"/>
        </w:rPr>
        <w:t>chronic kidney disease</w:t>
      </w:r>
      <w:r w:rsidR="00A207EB">
        <w:rPr>
          <w:rFonts w:asciiTheme="majorBidi" w:eastAsia="Times New Roman" w:hAnsiTheme="majorBidi" w:cstheme="majorBidi"/>
          <w:color w:val="000000" w:themeColor="text1"/>
          <w:lang w:eastAsia="en-US"/>
        </w:rPr>
        <w:t xml:space="preserve"> </w:t>
      </w:r>
      <w:r w:rsidRPr="003E62F3">
        <w:rPr>
          <w:rFonts w:asciiTheme="majorBidi" w:eastAsia="Times New Roman" w:hAnsiTheme="majorBidi" w:cstheme="majorBidi"/>
          <w:color w:val="000000" w:themeColor="text1"/>
          <w:lang w:eastAsia="en-US"/>
        </w:rPr>
        <w:t>in NAFLD.</w:t>
      </w:r>
    </w:p>
    <w:p w14:paraId="5FC00F98" w14:textId="55F9AFC7" w:rsidR="001B3247" w:rsidRPr="001B3247" w:rsidRDefault="001B3247" w:rsidP="001B3247">
      <w:pPr>
        <w:spacing w:after="200" w:line="480" w:lineRule="auto"/>
        <w:contextualSpacing/>
        <w:jc w:val="both"/>
        <w:rPr>
          <w:rFonts w:asciiTheme="majorBidi" w:eastAsia="Times New Roman" w:hAnsiTheme="majorBidi" w:cstheme="majorBidi"/>
          <w:color w:val="000000" w:themeColor="text1"/>
          <w:lang w:eastAsia="en-US"/>
        </w:rPr>
      </w:pPr>
      <w:r w:rsidRPr="001B3247">
        <w:rPr>
          <w:rFonts w:asciiTheme="majorBidi" w:eastAsia="Times New Roman" w:hAnsiTheme="majorBidi" w:cstheme="majorBidi"/>
          <w:color w:val="000000" w:themeColor="text1"/>
          <w:lang w:eastAsia="en-US"/>
        </w:rPr>
        <w:t xml:space="preserve">DOI: </w:t>
      </w:r>
      <w:hyperlink r:id="rId12" w:history="1">
        <w:r w:rsidR="00154861">
          <w:rPr>
            <w:rStyle w:val="Hyperlink"/>
            <w:rFonts w:asciiTheme="majorBidi" w:eastAsia="Times New Roman" w:hAnsiTheme="majorBidi" w:cstheme="majorBidi"/>
            <w:lang w:eastAsia="en-US"/>
          </w:rPr>
          <w:t>10.21608/ajgh.2023.178105.1022</w:t>
        </w:r>
      </w:hyperlink>
      <w:r w:rsidRPr="001B3247">
        <w:rPr>
          <w:rFonts w:asciiTheme="majorBidi" w:eastAsia="Times New Roman" w:hAnsiTheme="majorBidi" w:cstheme="majorBidi"/>
          <w:color w:val="000000" w:themeColor="text1"/>
          <w:lang w:eastAsia="en-US"/>
        </w:rPr>
        <w:t>.</w:t>
      </w:r>
    </w:p>
    <w:p w14:paraId="66231E8C" w14:textId="77777777" w:rsidR="001B3247" w:rsidRPr="001B3247" w:rsidRDefault="001B3247" w:rsidP="001B3247">
      <w:pPr>
        <w:spacing w:after="200" w:line="480" w:lineRule="auto"/>
        <w:contextualSpacing/>
        <w:jc w:val="both"/>
        <w:rPr>
          <w:rFonts w:asciiTheme="majorBidi" w:eastAsia="Times New Roman" w:hAnsiTheme="majorBidi" w:cstheme="majorBidi"/>
          <w:color w:val="000000" w:themeColor="text1"/>
          <w:lang w:eastAsia="en-US"/>
        </w:rPr>
      </w:pPr>
      <w:r w:rsidRPr="001B3247">
        <w:rPr>
          <w:rFonts w:asciiTheme="majorBidi" w:eastAsia="Times New Roman" w:hAnsiTheme="majorBidi" w:cstheme="majorBidi"/>
          <w:color w:val="000000" w:themeColor="text1"/>
          <w:lang w:eastAsia="en-US"/>
        </w:rPr>
        <w:t>Type of manuscript: original research.</w:t>
      </w:r>
    </w:p>
    <w:p w14:paraId="6C57C303" w14:textId="24C66438" w:rsidR="001B3247" w:rsidRPr="001B3247" w:rsidRDefault="001B3247" w:rsidP="001B3247">
      <w:pPr>
        <w:spacing w:after="200" w:line="480" w:lineRule="auto"/>
        <w:contextualSpacing/>
        <w:jc w:val="both"/>
        <w:rPr>
          <w:rFonts w:asciiTheme="majorBidi" w:eastAsia="Times New Roman" w:hAnsiTheme="majorBidi" w:cstheme="majorBidi"/>
          <w:color w:val="000000" w:themeColor="text1"/>
          <w:lang w:eastAsia="en-US"/>
        </w:rPr>
      </w:pPr>
      <w:r w:rsidRPr="001B3247">
        <w:rPr>
          <w:rFonts w:asciiTheme="majorBidi" w:eastAsia="Times New Roman" w:hAnsiTheme="majorBidi" w:cstheme="majorBidi"/>
          <w:color w:val="000000" w:themeColor="text1"/>
          <w:lang w:eastAsia="en-US"/>
        </w:rPr>
        <w:t xml:space="preserve">Date of submission: </w:t>
      </w:r>
      <w:r w:rsidR="00154861">
        <w:rPr>
          <w:rFonts w:asciiTheme="majorBidi" w:eastAsia="Times New Roman" w:hAnsiTheme="majorBidi" w:cstheme="majorBidi"/>
          <w:color w:val="000000" w:themeColor="text1"/>
          <w:lang w:eastAsia="en-US"/>
        </w:rPr>
        <w:t>01</w:t>
      </w:r>
      <w:r w:rsidRPr="001B3247">
        <w:rPr>
          <w:rFonts w:asciiTheme="majorBidi" w:eastAsia="Times New Roman" w:hAnsiTheme="majorBidi" w:cstheme="majorBidi"/>
          <w:color w:val="000000" w:themeColor="text1"/>
          <w:lang w:eastAsia="en-US"/>
        </w:rPr>
        <w:t xml:space="preserve">- </w:t>
      </w:r>
      <w:r w:rsidR="00154861">
        <w:rPr>
          <w:rFonts w:asciiTheme="majorBidi" w:eastAsia="Times New Roman" w:hAnsiTheme="majorBidi" w:cstheme="majorBidi"/>
          <w:color w:val="000000" w:themeColor="text1"/>
          <w:lang w:eastAsia="en-US"/>
        </w:rPr>
        <w:t>December</w:t>
      </w:r>
      <w:r w:rsidR="0015062B">
        <w:rPr>
          <w:rFonts w:asciiTheme="majorBidi" w:eastAsia="Times New Roman" w:hAnsiTheme="majorBidi" w:cstheme="majorBidi"/>
          <w:color w:val="000000" w:themeColor="text1"/>
          <w:lang w:eastAsia="en-US"/>
        </w:rPr>
        <w:t xml:space="preserve"> </w:t>
      </w:r>
      <w:r w:rsidRPr="001B3247">
        <w:rPr>
          <w:rFonts w:asciiTheme="majorBidi" w:eastAsia="Times New Roman" w:hAnsiTheme="majorBidi" w:cstheme="majorBidi"/>
          <w:color w:val="000000" w:themeColor="text1"/>
          <w:lang w:eastAsia="en-US"/>
        </w:rPr>
        <w:t>2022.</w:t>
      </w:r>
    </w:p>
    <w:p w14:paraId="7DE14857" w14:textId="0BD5D12D" w:rsidR="001B3247" w:rsidRPr="001B3247" w:rsidRDefault="001B3247" w:rsidP="001B3247">
      <w:pPr>
        <w:spacing w:after="200" w:line="480" w:lineRule="auto"/>
        <w:contextualSpacing/>
        <w:jc w:val="both"/>
        <w:rPr>
          <w:rFonts w:asciiTheme="majorBidi" w:eastAsia="Times New Roman" w:hAnsiTheme="majorBidi" w:cstheme="majorBidi"/>
          <w:color w:val="000000" w:themeColor="text1"/>
          <w:lang w:eastAsia="en-US"/>
        </w:rPr>
      </w:pPr>
      <w:r w:rsidRPr="001B3247">
        <w:rPr>
          <w:rFonts w:asciiTheme="majorBidi" w:eastAsia="Times New Roman" w:hAnsiTheme="majorBidi" w:cstheme="majorBidi"/>
          <w:color w:val="000000" w:themeColor="text1"/>
          <w:lang w:eastAsia="en-US"/>
        </w:rPr>
        <w:t xml:space="preserve">Revised: </w:t>
      </w:r>
      <w:r w:rsidR="00154861">
        <w:rPr>
          <w:rFonts w:asciiTheme="majorBidi" w:eastAsia="Times New Roman" w:hAnsiTheme="majorBidi" w:cstheme="majorBidi"/>
          <w:color w:val="000000" w:themeColor="text1"/>
          <w:lang w:eastAsia="en-US"/>
        </w:rPr>
        <w:t>01-January-</w:t>
      </w:r>
      <w:r w:rsidRPr="001B3247">
        <w:rPr>
          <w:rFonts w:asciiTheme="majorBidi" w:eastAsia="Times New Roman" w:hAnsiTheme="majorBidi" w:cstheme="majorBidi"/>
          <w:color w:val="000000" w:themeColor="text1"/>
          <w:lang w:eastAsia="en-US"/>
        </w:rPr>
        <w:t xml:space="preserve"> 2022.</w:t>
      </w:r>
    </w:p>
    <w:p w14:paraId="46A1345B" w14:textId="5A65E3F1" w:rsidR="001B3247" w:rsidRPr="001B3247" w:rsidRDefault="001B3247" w:rsidP="001B3247">
      <w:pPr>
        <w:spacing w:after="200" w:line="480" w:lineRule="auto"/>
        <w:contextualSpacing/>
        <w:jc w:val="both"/>
        <w:rPr>
          <w:rFonts w:asciiTheme="majorBidi" w:eastAsia="Times New Roman" w:hAnsiTheme="majorBidi" w:cstheme="majorBidi"/>
          <w:color w:val="000000" w:themeColor="text1"/>
          <w:lang w:eastAsia="en-US"/>
        </w:rPr>
      </w:pPr>
      <w:r w:rsidRPr="001B3247">
        <w:rPr>
          <w:rFonts w:asciiTheme="majorBidi" w:eastAsia="Times New Roman" w:hAnsiTheme="majorBidi" w:cstheme="majorBidi"/>
          <w:color w:val="000000" w:themeColor="text1"/>
          <w:lang w:eastAsia="en-US"/>
        </w:rPr>
        <w:t xml:space="preserve">Accepted: </w:t>
      </w:r>
      <w:r w:rsidR="00154861">
        <w:rPr>
          <w:rFonts w:asciiTheme="majorBidi" w:eastAsia="Times New Roman" w:hAnsiTheme="majorBidi" w:cstheme="majorBidi"/>
          <w:color w:val="000000" w:themeColor="text1"/>
          <w:lang w:eastAsia="en-US"/>
        </w:rPr>
        <w:t>6</w:t>
      </w:r>
      <w:r w:rsidRPr="001B3247">
        <w:rPr>
          <w:rFonts w:asciiTheme="majorBidi" w:eastAsia="Times New Roman" w:hAnsiTheme="majorBidi" w:cstheme="majorBidi"/>
          <w:color w:val="000000" w:themeColor="text1"/>
          <w:lang w:eastAsia="en-US"/>
        </w:rPr>
        <w:t xml:space="preserve">- </w:t>
      </w:r>
      <w:r w:rsidR="00154861">
        <w:rPr>
          <w:rFonts w:asciiTheme="majorBidi" w:eastAsia="Times New Roman" w:hAnsiTheme="majorBidi" w:cstheme="majorBidi"/>
          <w:color w:val="000000" w:themeColor="text1"/>
          <w:lang w:eastAsia="en-US"/>
        </w:rPr>
        <w:t>January</w:t>
      </w:r>
      <w:r w:rsidRPr="001B3247">
        <w:rPr>
          <w:rFonts w:asciiTheme="majorBidi" w:eastAsia="Times New Roman" w:hAnsiTheme="majorBidi" w:cstheme="majorBidi"/>
          <w:color w:val="000000" w:themeColor="text1"/>
          <w:lang w:eastAsia="en-US"/>
        </w:rPr>
        <w:t xml:space="preserve"> -202</w:t>
      </w:r>
      <w:r w:rsidR="00154861">
        <w:rPr>
          <w:rFonts w:asciiTheme="majorBidi" w:eastAsia="Times New Roman" w:hAnsiTheme="majorBidi" w:cstheme="majorBidi"/>
          <w:color w:val="000000" w:themeColor="text1"/>
          <w:lang w:eastAsia="en-US"/>
        </w:rPr>
        <w:t>3</w:t>
      </w:r>
      <w:r w:rsidRPr="001B3247">
        <w:rPr>
          <w:rFonts w:asciiTheme="majorBidi" w:eastAsia="Times New Roman" w:hAnsiTheme="majorBidi" w:cstheme="majorBidi"/>
          <w:color w:val="000000" w:themeColor="text1"/>
          <w:lang w:eastAsia="en-US"/>
        </w:rPr>
        <w:t>.</w:t>
      </w:r>
    </w:p>
    <w:p w14:paraId="75F1908A" w14:textId="1EE9CDF0" w:rsidR="001B3247" w:rsidRDefault="001B3247" w:rsidP="001B3247">
      <w:pPr>
        <w:spacing w:after="200" w:line="480" w:lineRule="auto"/>
        <w:contextualSpacing/>
        <w:jc w:val="both"/>
        <w:rPr>
          <w:rFonts w:asciiTheme="majorBidi" w:eastAsia="Times New Roman" w:hAnsiTheme="majorBidi" w:cstheme="majorBidi"/>
          <w:color w:val="000000" w:themeColor="text1"/>
          <w:lang w:eastAsia="en-US"/>
        </w:rPr>
      </w:pPr>
      <w:r w:rsidRPr="001B3247">
        <w:rPr>
          <w:rFonts w:asciiTheme="majorBidi" w:eastAsia="Times New Roman" w:hAnsiTheme="majorBidi" w:cstheme="majorBidi"/>
          <w:color w:val="000000" w:themeColor="text1"/>
          <w:lang w:eastAsia="en-US"/>
        </w:rPr>
        <w:t>First online:</w:t>
      </w:r>
      <w:r w:rsidR="00DB133F">
        <w:rPr>
          <w:rFonts w:asciiTheme="majorBidi" w:eastAsia="Times New Roman" w:hAnsiTheme="majorBidi" w:cstheme="majorBidi"/>
          <w:color w:val="000000" w:themeColor="text1"/>
          <w:lang w:eastAsia="en-US"/>
        </w:rPr>
        <w:t>7</w:t>
      </w:r>
      <w:r w:rsidRPr="001B3247">
        <w:rPr>
          <w:rFonts w:asciiTheme="majorBidi" w:eastAsia="Times New Roman" w:hAnsiTheme="majorBidi" w:cstheme="majorBidi"/>
          <w:color w:val="000000" w:themeColor="text1"/>
          <w:lang w:eastAsia="en-US"/>
        </w:rPr>
        <w:t xml:space="preserve"> - </w:t>
      </w:r>
      <w:r w:rsidR="00154861">
        <w:rPr>
          <w:rFonts w:asciiTheme="majorBidi" w:eastAsia="Times New Roman" w:hAnsiTheme="majorBidi" w:cstheme="majorBidi"/>
          <w:color w:val="000000" w:themeColor="text1"/>
          <w:lang w:eastAsia="en-US"/>
        </w:rPr>
        <w:t>January</w:t>
      </w:r>
      <w:r w:rsidRPr="001B3247">
        <w:rPr>
          <w:rFonts w:asciiTheme="majorBidi" w:eastAsia="Times New Roman" w:hAnsiTheme="majorBidi" w:cstheme="majorBidi"/>
          <w:color w:val="000000" w:themeColor="text1"/>
          <w:lang w:eastAsia="en-US"/>
        </w:rPr>
        <w:t xml:space="preserve"> -202</w:t>
      </w:r>
      <w:r w:rsidR="00A81A85">
        <w:rPr>
          <w:rFonts w:asciiTheme="majorBidi" w:eastAsia="Times New Roman" w:hAnsiTheme="majorBidi" w:cstheme="majorBidi"/>
          <w:color w:val="000000" w:themeColor="text1"/>
          <w:lang w:eastAsia="en-US"/>
        </w:rPr>
        <w:t>3</w:t>
      </w:r>
      <w:r w:rsidRPr="001B3247">
        <w:rPr>
          <w:rFonts w:asciiTheme="majorBidi" w:eastAsia="Times New Roman" w:hAnsiTheme="majorBidi" w:cstheme="majorBidi"/>
          <w:color w:val="000000" w:themeColor="text1"/>
          <w:lang w:eastAsia="en-US"/>
        </w:rPr>
        <w:t>.</w:t>
      </w:r>
    </w:p>
    <w:p w14:paraId="5877572A" w14:textId="77777777" w:rsidR="001B3247" w:rsidRDefault="001B3247" w:rsidP="001B3247">
      <w:pPr>
        <w:spacing w:after="200" w:line="480" w:lineRule="auto"/>
        <w:contextualSpacing/>
        <w:jc w:val="both"/>
        <w:rPr>
          <w:rFonts w:asciiTheme="majorBidi" w:eastAsia="Times New Roman" w:hAnsiTheme="majorBidi" w:cstheme="majorBidi"/>
          <w:color w:val="000000" w:themeColor="text1"/>
          <w:lang w:eastAsia="en-US"/>
        </w:rPr>
      </w:pPr>
    </w:p>
    <w:p w14:paraId="72D768F5" w14:textId="4F430082" w:rsidR="001B3247" w:rsidRDefault="001B3247" w:rsidP="001B3247">
      <w:pPr>
        <w:spacing w:after="200" w:line="480" w:lineRule="auto"/>
        <w:contextualSpacing/>
        <w:jc w:val="both"/>
        <w:rPr>
          <w:rFonts w:asciiTheme="majorBidi" w:eastAsia="Times New Roman" w:hAnsiTheme="majorBidi" w:cstheme="majorBidi"/>
          <w:color w:val="000000" w:themeColor="text1"/>
          <w:lang w:eastAsia="en-US"/>
        </w:rPr>
        <w:sectPr w:rsidR="001B3247" w:rsidSect="00745132">
          <w:headerReference w:type="default" r:id="rId13"/>
          <w:footerReference w:type="default" r:id="rId14"/>
          <w:pgSz w:w="12240" w:h="15840"/>
          <w:pgMar w:top="1440" w:right="1440" w:bottom="1440" w:left="1440" w:header="720" w:footer="720" w:gutter="0"/>
          <w:pgNumType w:start="48"/>
          <w:cols w:space="720"/>
          <w:docGrid w:linePitch="360"/>
        </w:sectPr>
      </w:pPr>
    </w:p>
    <w:p w14:paraId="41AD66C8" w14:textId="350D16BB" w:rsidR="004D2F88" w:rsidRPr="00B80F09" w:rsidRDefault="004D2F88" w:rsidP="004D799D">
      <w:pPr>
        <w:pStyle w:val="Header"/>
        <w:rPr>
          <w:rFonts w:asciiTheme="majorBidi" w:hAnsiTheme="majorBidi" w:cstheme="majorBidi"/>
          <w:b/>
          <w:bCs/>
          <w:color w:val="000000"/>
        </w:rPr>
      </w:pPr>
      <w:r w:rsidRPr="00B80F09">
        <w:rPr>
          <w:rFonts w:asciiTheme="majorBidi" w:hAnsiTheme="majorBidi" w:cstheme="majorBidi"/>
          <w:b/>
          <w:bCs/>
          <w:color w:val="000000"/>
        </w:rPr>
        <w:lastRenderedPageBreak/>
        <w:t>Abstract:</w:t>
      </w:r>
    </w:p>
    <w:p w14:paraId="65B83C69" w14:textId="212C0D18" w:rsidR="00AF5BCD" w:rsidRPr="00B80F09" w:rsidRDefault="00AF5BCD" w:rsidP="004D799D">
      <w:pPr>
        <w:pStyle w:val="Header"/>
        <w:rPr>
          <w:rFonts w:asciiTheme="majorBidi" w:hAnsiTheme="majorBidi" w:cstheme="majorBidi"/>
          <w:b/>
          <w:bCs/>
          <w:color w:val="000000"/>
        </w:rPr>
      </w:pPr>
      <w:bookmarkStart w:id="2" w:name="_Hlk123931785"/>
      <w:r w:rsidRPr="00B80F09">
        <w:rPr>
          <w:rFonts w:asciiTheme="majorBidi" w:hAnsiTheme="majorBidi" w:cstheme="majorBidi"/>
          <w:b/>
          <w:bCs/>
          <w:color w:val="000000"/>
        </w:rPr>
        <w:t>Background:</w:t>
      </w:r>
    </w:p>
    <w:p w14:paraId="274C19F3" w14:textId="77F6AD4E" w:rsidR="00401005" w:rsidRPr="00B80F09" w:rsidRDefault="00AF5BCD" w:rsidP="00401005">
      <w:pPr>
        <w:pStyle w:val="Header"/>
        <w:jc w:val="both"/>
        <w:rPr>
          <w:rFonts w:asciiTheme="majorBidi" w:hAnsiTheme="majorBidi" w:cstheme="majorBidi"/>
          <w:color w:val="000000"/>
        </w:rPr>
      </w:pPr>
      <w:bookmarkStart w:id="3" w:name="_Hlk122977917"/>
      <w:r w:rsidRPr="00B80F09">
        <w:rPr>
          <w:rFonts w:asciiTheme="majorBidi" w:hAnsiTheme="majorBidi" w:cstheme="majorBidi"/>
          <w:color w:val="000000"/>
        </w:rPr>
        <w:t xml:space="preserve">Non-alcoholic fatty liver disease (NAFLD) represents a considerable percentage of chronic liver diseases </w:t>
      </w:r>
      <w:r w:rsidR="00DE6BFB" w:rsidRPr="00B80F09">
        <w:rPr>
          <w:rFonts w:asciiTheme="majorBidi" w:hAnsiTheme="majorBidi" w:cstheme="majorBidi"/>
          <w:color w:val="000000"/>
        </w:rPr>
        <w:t>worldwide</w:t>
      </w:r>
      <w:r w:rsidRPr="00B80F09">
        <w:rPr>
          <w:rFonts w:asciiTheme="majorBidi" w:hAnsiTheme="majorBidi" w:cstheme="majorBidi"/>
          <w:color w:val="000000"/>
        </w:rPr>
        <w:t>. The liver is</w:t>
      </w:r>
      <w:r w:rsidR="003E62F3" w:rsidRPr="00B80F09">
        <w:rPr>
          <w:rFonts w:asciiTheme="majorBidi" w:hAnsiTheme="majorBidi" w:cstheme="majorBidi"/>
          <w:color w:val="000000"/>
        </w:rPr>
        <w:t xml:space="preserve"> </w:t>
      </w:r>
      <w:r w:rsidRPr="00B80F09">
        <w:rPr>
          <w:rFonts w:asciiTheme="majorBidi" w:hAnsiTheme="majorBidi" w:cstheme="majorBidi"/>
          <w:color w:val="000000"/>
        </w:rPr>
        <w:t>n</w:t>
      </w:r>
      <w:r w:rsidR="003E62F3" w:rsidRPr="00B80F09">
        <w:rPr>
          <w:rFonts w:asciiTheme="majorBidi" w:hAnsiTheme="majorBidi" w:cstheme="majorBidi"/>
          <w:color w:val="000000"/>
        </w:rPr>
        <w:t>o</w:t>
      </w:r>
      <w:r w:rsidRPr="00B80F09">
        <w:rPr>
          <w:rFonts w:asciiTheme="majorBidi" w:hAnsiTheme="majorBidi" w:cstheme="majorBidi"/>
          <w:color w:val="000000"/>
        </w:rPr>
        <w:t xml:space="preserve">t the only organ affected by NAFLD but also affects other organs such as the cardiovascular system and the kidney. </w:t>
      </w:r>
      <w:bookmarkEnd w:id="3"/>
      <w:r w:rsidR="003E62F3" w:rsidRPr="00B80F09">
        <w:rPr>
          <w:rFonts w:asciiTheme="majorBidi" w:hAnsiTheme="majorBidi" w:cstheme="majorBidi"/>
          <w:color w:val="000000"/>
        </w:rPr>
        <w:t>In recent decades, there has been a growing body of evidence linking NAFLD to kidney function</w:t>
      </w:r>
      <w:r w:rsidRPr="00B80F09">
        <w:rPr>
          <w:rFonts w:asciiTheme="majorBidi" w:hAnsiTheme="majorBidi" w:cstheme="majorBidi"/>
          <w:color w:val="000000"/>
        </w:rPr>
        <w:t>.</w:t>
      </w:r>
      <w:r w:rsidR="00401005" w:rsidRPr="00B80F09">
        <w:rPr>
          <w:rFonts w:asciiTheme="majorBidi" w:hAnsiTheme="majorBidi" w:cstheme="majorBidi"/>
          <w:color w:val="000000"/>
        </w:rPr>
        <w:t xml:space="preserve"> So, the </w:t>
      </w:r>
      <w:r w:rsidR="00DE6BFB" w:rsidRPr="00B80F09">
        <w:rPr>
          <w:rFonts w:asciiTheme="majorBidi" w:hAnsiTheme="majorBidi" w:cstheme="majorBidi"/>
          <w:color w:val="000000"/>
        </w:rPr>
        <w:t>current study aims</w:t>
      </w:r>
      <w:r w:rsidR="00401005" w:rsidRPr="00B80F09">
        <w:rPr>
          <w:rFonts w:asciiTheme="majorBidi" w:hAnsiTheme="majorBidi" w:cstheme="majorBidi"/>
          <w:color w:val="000000"/>
        </w:rPr>
        <w:t xml:space="preserve"> to </w:t>
      </w:r>
      <w:r w:rsidR="00C72D5D" w:rsidRPr="00B80F09">
        <w:rPr>
          <w:rFonts w:asciiTheme="majorBidi" w:hAnsiTheme="majorBidi" w:cstheme="majorBidi"/>
          <w:color w:val="000000"/>
        </w:rPr>
        <w:t xml:space="preserve">assess the </w:t>
      </w:r>
      <w:r w:rsidR="008C0523" w:rsidRPr="00B80F09">
        <w:rPr>
          <w:rFonts w:asciiTheme="majorBidi" w:hAnsiTheme="majorBidi" w:cstheme="majorBidi"/>
          <w:color w:val="000000"/>
        </w:rPr>
        <w:t xml:space="preserve">percentage </w:t>
      </w:r>
      <w:r w:rsidR="00C72D5D" w:rsidRPr="00B80F09">
        <w:rPr>
          <w:rFonts w:asciiTheme="majorBidi" w:hAnsiTheme="majorBidi" w:cstheme="majorBidi"/>
          <w:color w:val="000000"/>
        </w:rPr>
        <w:t xml:space="preserve">of </w:t>
      </w:r>
      <w:r w:rsidR="00266F99" w:rsidRPr="00B80F09">
        <w:rPr>
          <w:rFonts w:asciiTheme="majorBidi" w:hAnsiTheme="majorBidi" w:cstheme="majorBidi"/>
          <w:color w:val="000000"/>
        </w:rPr>
        <w:t xml:space="preserve">chronic kidney </w:t>
      </w:r>
      <w:r w:rsidR="00ED79D2" w:rsidRPr="00B80F09">
        <w:rPr>
          <w:rFonts w:asciiTheme="majorBidi" w:hAnsiTheme="majorBidi" w:cstheme="majorBidi"/>
          <w:color w:val="000000"/>
        </w:rPr>
        <w:t>disease (</w:t>
      </w:r>
      <w:r w:rsidR="0000228F" w:rsidRPr="00B80F09">
        <w:rPr>
          <w:rFonts w:asciiTheme="majorBidi" w:hAnsiTheme="majorBidi" w:cstheme="majorBidi"/>
          <w:color w:val="000000"/>
        </w:rPr>
        <w:t>CKD)</w:t>
      </w:r>
      <w:r w:rsidR="00C72D5D" w:rsidRPr="00B80F09">
        <w:rPr>
          <w:rFonts w:asciiTheme="majorBidi" w:hAnsiTheme="majorBidi" w:cstheme="majorBidi"/>
          <w:color w:val="000000"/>
        </w:rPr>
        <w:t xml:space="preserve"> in NAFLD patients and its link to different stages of hepatic fibrosis</w:t>
      </w:r>
      <w:r w:rsidR="00401005" w:rsidRPr="00B80F09">
        <w:rPr>
          <w:rFonts w:asciiTheme="majorBidi" w:hAnsiTheme="majorBidi" w:cstheme="majorBidi"/>
          <w:color w:val="000000"/>
        </w:rPr>
        <w:t>.</w:t>
      </w:r>
    </w:p>
    <w:p w14:paraId="31FF1C33" w14:textId="2D8C433D" w:rsidR="00AF5BCD" w:rsidRPr="00B80F09" w:rsidRDefault="00AF5BCD" w:rsidP="004D799D">
      <w:pPr>
        <w:pStyle w:val="Header"/>
        <w:jc w:val="both"/>
        <w:rPr>
          <w:rFonts w:asciiTheme="majorBidi" w:hAnsiTheme="majorBidi" w:cstheme="majorBidi"/>
          <w:color w:val="000000"/>
        </w:rPr>
      </w:pPr>
    </w:p>
    <w:p w14:paraId="360F780F" w14:textId="75C9FD31" w:rsidR="00466C8F" w:rsidRPr="00B80F09" w:rsidRDefault="00466C8F" w:rsidP="004D799D">
      <w:pPr>
        <w:jc w:val="both"/>
        <w:rPr>
          <w:rFonts w:asciiTheme="majorBidi" w:hAnsiTheme="majorBidi" w:cstheme="majorBidi"/>
        </w:rPr>
      </w:pPr>
      <w:r w:rsidRPr="00B80F09">
        <w:rPr>
          <w:rFonts w:asciiTheme="majorBidi" w:hAnsiTheme="majorBidi" w:cstheme="majorBidi"/>
          <w:b/>
          <w:bCs/>
          <w:color w:val="000000"/>
        </w:rPr>
        <w:t>Patients and Methods:</w:t>
      </w:r>
      <w:r w:rsidRPr="00B80F09">
        <w:rPr>
          <w:rFonts w:asciiTheme="majorBidi" w:eastAsia="Calibri" w:hAnsiTheme="majorBidi" w:cstheme="majorBidi"/>
          <w:lang w:bidi="ar-EG"/>
        </w:rPr>
        <w:t xml:space="preserve"> A </w:t>
      </w:r>
      <w:r w:rsidR="00401005" w:rsidRPr="00B80F09">
        <w:rPr>
          <w:rFonts w:asciiTheme="majorBidi" w:hAnsiTheme="majorBidi" w:cstheme="majorBidi"/>
          <w:color w:val="000000"/>
        </w:rPr>
        <w:t>case-control</w:t>
      </w:r>
      <w:r w:rsidRPr="00B80F09">
        <w:rPr>
          <w:rFonts w:asciiTheme="majorBidi" w:hAnsiTheme="majorBidi" w:cstheme="majorBidi"/>
          <w:color w:val="000000"/>
        </w:rPr>
        <w:t xml:space="preserve"> study</w:t>
      </w:r>
      <w:r w:rsidRPr="00B80F09">
        <w:rPr>
          <w:rFonts w:asciiTheme="majorBidi" w:hAnsiTheme="majorBidi" w:cstheme="majorBidi"/>
          <w:b/>
          <w:bCs/>
        </w:rPr>
        <w:t xml:space="preserve"> </w:t>
      </w:r>
      <w:r w:rsidR="009B2436" w:rsidRPr="00B80F09">
        <w:rPr>
          <w:rFonts w:asciiTheme="majorBidi" w:eastAsia="Calibri" w:hAnsiTheme="majorBidi" w:cstheme="majorBidi"/>
          <w:lang w:bidi="ar-EG"/>
        </w:rPr>
        <w:t>evaluated</w:t>
      </w:r>
      <w:r w:rsidRPr="00B80F09">
        <w:rPr>
          <w:rFonts w:asciiTheme="majorBidi" w:eastAsia="Calibri" w:hAnsiTheme="majorBidi" w:cstheme="majorBidi"/>
          <w:lang w:bidi="ar-EG"/>
        </w:rPr>
        <w:t xml:space="preserve"> </w:t>
      </w:r>
      <w:r w:rsidRPr="00B80F09">
        <w:rPr>
          <w:rFonts w:asciiTheme="majorBidi" w:hAnsiTheme="majorBidi" w:cstheme="majorBidi"/>
        </w:rPr>
        <w:t xml:space="preserve">62 non-alcoholic fatty liver disease patients </w:t>
      </w:r>
      <w:r w:rsidRPr="00B80F09">
        <w:rPr>
          <w:rFonts w:asciiTheme="majorBidi" w:eastAsia="Calibri" w:hAnsiTheme="majorBidi" w:cstheme="majorBidi"/>
          <w:lang w:bidi="hi-IN"/>
        </w:rPr>
        <w:t xml:space="preserve">and a control group of </w:t>
      </w:r>
      <w:r w:rsidRPr="00B80F09">
        <w:rPr>
          <w:rFonts w:asciiTheme="majorBidi" w:hAnsiTheme="majorBidi" w:cstheme="majorBidi"/>
        </w:rPr>
        <w:t xml:space="preserve">38 volunteers with apparently healthy </w:t>
      </w:r>
      <w:r w:rsidRPr="00B80F09">
        <w:rPr>
          <w:rFonts w:asciiTheme="majorBidi" w:hAnsiTheme="majorBidi" w:cstheme="majorBidi"/>
          <w:color w:val="000000"/>
        </w:rPr>
        <w:t>liver</w:t>
      </w:r>
      <w:r w:rsidR="005F1892" w:rsidRPr="00B80F09">
        <w:rPr>
          <w:rFonts w:asciiTheme="majorBidi" w:hAnsiTheme="majorBidi" w:cstheme="majorBidi"/>
          <w:color w:val="000000"/>
        </w:rPr>
        <w:t>s</w:t>
      </w:r>
      <w:r w:rsidRPr="00B80F09">
        <w:rPr>
          <w:rFonts w:asciiTheme="majorBidi" w:hAnsiTheme="majorBidi" w:cstheme="majorBidi"/>
          <w:color w:val="000000"/>
        </w:rPr>
        <w:t xml:space="preserve"> </w:t>
      </w:r>
      <w:r w:rsidR="00A13392" w:rsidRPr="00B80F09">
        <w:rPr>
          <w:rFonts w:asciiTheme="majorBidi" w:hAnsiTheme="majorBidi" w:cstheme="majorBidi"/>
          <w:color w:val="000000"/>
        </w:rPr>
        <w:t>(normal</w:t>
      </w:r>
      <w:r w:rsidRPr="00B80F09">
        <w:rPr>
          <w:rFonts w:asciiTheme="majorBidi" w:hAnsiTheme="majorBidi" w:cstheme="majorBidi"/>
          <w:color w:val="000000"/>
        </w:rPr>
        <w:t xml:space="preserve"> echo</w:t>
      </w:r>
      <w:r w:rsidR="00401005" w:rsidRPr="00B80F09">
        <w:rPr>
          <w:rFonts w:asciiTheme="majorBidi" w:hAnsiTheme="majorBidi" w:cstheme="majorBidi"/>
        </w:rPr>
        <w:t xml:space="preserve"> </w:t>
      </w:r>
      <w:r w:rsidRPr="00B80F09">
        <w:rPr>
          <w:rFonts w:asciiTheme="majorBidi" w:hAnsiTheme="majorBidi" w:cstheme="majorBidi"/>
        </w:rPr>
        <w:t xml:space="preserve">pattern by ultrasound). All participants </w:t>
      </w:r>
      <w:r w:rsidR="00ED79D2" w:rsidRPr="00B80F09">
        <w:rPr>
          <w:rFonts w:asciiTheme="majorBidi" w:hAnsiTheme="majorBidi" w:cstheme="majorBidi"/>
        </w:rPr>
        <w:t>underwent</w:t>
      </w:r>
      <w:r w:rsidRPr="00B80F09">
        <w:rPr>
          <w:rFonts w:asciiTheme="majorBidi" w:hAnsiTheme="majorBidi" w:cstheme="majorBidi"/>
        </w:rPr>
        <w:t xml:space="preserve"> </w:t>
      </w:r>
      <w:r w:rsidR="00DE6BFB" w:rsidRPr="00B80F09">
        <w:rPr>
          <w:rFonts w:asciiTheme="majorBidi" w:hAnsiTheme="majorBidi" w:cstheme="majorBidi"/>
        </w:rPr>
        <w:t>serum creatinine measurement</w:t>
      </w:r>
      <w:r w:rsidRPr="00B80F09">
        <w:rPr>
          <w:rFonts w:asciiTheme="majorBidi" w:hAnsiTheme="majorBidi" w:cstheme="majorBidi"/>
        </w:rPr>
        <w:t xml:space="preserve">, </w:t>
      </w:r>
      <w:r w:rsidR="0063099F" w:rsidRPr="00B80F09">
        <w:rPr>
          <w:rFonts w:asciiTheme="majorBidi" w:hAnsiTheme="majorBidi" w:cstheme="majorBidi"/>
          <w:color w:val="000000"/>
        </w:rPr>
        <w:t>albumin</w:t>
      </w:r>
      <w:r w:rsidRPr="00B80F09">
        <w:rPr>
          <w:rFonts w:asciiTheme="majorBidi" w:hAnsiTheme="majorBidi" w:cstheme="majorBidi"/>
        </w:rPr>
        <w:t xml:space="preserve"> creatinine ratio in urine, calculation of</w:t>
      </w:r>
      <w:r w:rsidR="0000228F" w:rsidRPr="00B80F09">
        <w:rPr>
          <w:rFonts w:asciiTheme="majorBidi" w:hAnsiTheme="majorBidi" w:cstheme="majorBidi"/>
        </w:rPr>
        <w:t xml:space="preserve"> estimated glomerular filtration rate</w:t>
      </w:r>
      <w:r w:rsidRPr="00B80F09">
        <w:rPr>
          <w:rFonts w:asciiTheme="majorBidi" w:hAnsiTheme="majorBidi" w:cstheme="majorBidi"/>
        </w:rPr>
        <w:t xml:space="preserve"> </w:t>
      </w:r>
      <w:r w:rsidR="0000228F" w:rsidRPr="00B80F09">
        <w:rPr>
          <w:rFonts w:asciiTheme="majorBidi" w:hAnsiTheme="majorBidi" w:cstheme="majorBidi"/>
        </w:rPr>
        <w:t>(</w:t>
      </w:r>
      <w:r w:rsidRPr="00B80F09">
        <w:rPr>
          <w:rFonts w:asciiTheme="majorBidi" w:hAnsiTheme="majorBidi" w:cstheme="majorBidi"/>
        </w:rPr>
        <w:t>eGFR</w:t>
      </w:r>
      <w:r w:rsidR="0000228F" w:rsidRPr="00B80F09">
        <w:rPr>
          <w:rFonts w:asciiTheme="majorBidi" w:hAnsiTheme="majorBidi" w:cstheme="majorBidi"/>
        </w:rPr>
        <w:t>)</w:t>
      </w:r>
      <w:r w:rsidRPr="00B80F09">
        <w:rPr>
          <w:rFonts w:asciiTheme="majorBidi" w:hAnsiTheme="majorBidi" w:cstheme="majorBidi"/>
        </w:rPr>
        <w:t xml:space="preserve">, abdominal ultrasound, and </w:t>
      </w:r>
      <w:proofErr w:type="spellStart"/>
      <w:r w:rsidR="00ED79D2" w:rsidRPr="00B80F09">
        <w:rPr>
          <w:rFonts w:asciiTheme="majorBidi" w:hAnsiTheme="majorBidi" w:cstheme="majorBidi"/>
        </w:rPr>
        <w:t>f</w:t>
      </w:r>
      <w:r w:rsidRPr="00B80F09">
        <w:rPr>
          <w:rFonts w:asciiTheme="majorBidi" w:hAnsiTheme="majorBidi" w:cstheme="majorBidi"/>
        </w:rPr>
        <w:t>ibroScan</w:t>
      </w:r>
      <w:proofErr w:type="spellEnd"/>
      <w:r w:rsidRPr="00B80F09">
        <w:rPr>
          <w:rFonts w:asciiTheme="majorBidi" w:hAnsiTheme="majorBidi" w:cstheme="majorBidi"/>
        </w:rPr>
        <w:t xml:space="preserve"> examination.</w:t>
      </w:r>
    </w:p>
    <w:p w14:paraId="3C5FEF4F" w14:textId="256D4AD8" w:rsidR="005F1892" w:rsidRPr="00B80F09" w:rsidRDefault="00466C8F" w:rsidP="004D799D">
      <w:pPr>
        <w:jc w:val="both"/>
        <w:rPr>
          <w:rFonts w:asciiTheme="majorBidi" w:hAnsiTheme="majorBidi" w:cstheme="majorBidi"/>
        </w:rPr>
      </w:pPr>
      <w:r w:rsidRPr="00B80F09">
        <w:rPr>
          <w:rFonts w:asciiTheme="majorBidi" w:hAnsiTheme="majorBidi" w:cstheme="majorBidi"/>
          <w:b/>
          <w:bCs/>
        </w:rPr>
        <w:t>Results:</w:t>
      </w:r>
      <w:r w:rsidR="005F1892" w:rsidRPr="00B80F09">
        <w:rPr>
          <w:rFonts w:asciiTheme="majorBidi" w:hAnsiTheme="majorBidi" w:cstheme="majorBidi"/>
          <w:b/>
          <w:bCs/>
        </w:rPr>
        <w:t xml:space="preserve"> </w:t>
      </w:r>
      <w:r w:rsidR="005F1892" w:rsidRPr="00B80F09">
        <w:rPr>
          <w:rFonts w:asciiTheme="majorBidi" w:hAnsiTheme="majorBidi" w:cstheme="majorBidi"/>
        </w:rPr>
        <w:t>The authors showed that</w:t>
      </w:r>
      <w:r w:rsidR="005F1892" w:rsidRPr="00B80F09">
        <w:rPr>
          <w:rFonts w:asciiTheme="majorBidi" w:hAnsiTheme="majorBidi" w:cstheme="majorBidi"/>
          <w:b/>
          <w:bCs/>
        </w:rPr>
        <w:t xml:space="preserve"> </w:t>
      </w:r>
      <w:r w:rsidR="005F1892" w:rsidRPr="00B80F09">
        <w:rPr>
          <w:rFonts w:asciiTheme="majorBidi" w:hAnsiTheme="majorBidi" w:cstheme="majorBidi"/>
        </w:rPr>
        <w:t xml:space="preserve">the percentage of patients with chronic kidney diseases (patients with GFR less than 60 ml or micro-albuminuria) were significantly higher among NAFLD groups than in healthy controls. There was a significant positive correlation between </w:t>
      </w:r>
      <w:r w:rsidR="00253991" w:rsidRPr="00B80F09">
        <w:rPr>
          <w:rFonts w:asciiTheme="majorBidi" w:hAnsiTheme="majorBidi" w:cstheme="majorBidi"/>
        </w:rPr>
        <w:t xml:space="preserve">the </w:t>
      </w:r>
      <w:r w:rsidR="005F1892" w:rsidRPr="00B80F09">
        <w:rPr>
          <w:rFonts w:asciiTheme="majorBidi" w:hAnsiTheme="majorBidi" w:cstheme="majorBidi"/>
        </w:rPr>
        <w:t>albumin creatinine ratio and subcutaneous fat thickness, BMI, and steatosis degrees</w:t>
      </w:r>
      <w:r w:rsidR="00D0261D" w:rsidRPr="00B80F09">
        <w:rPr>
          <w:rFonts w:asciiTheme="majorBidi" w:hAnsiTheme="majorBidi" w:cstheme="majorBidi"/>
        </w:rPr>
        <w:t>. The estimated glomerular filtration rate (eGFR) and the age of the patients had a significant negative correlation</w:t>
      </w:r>
      <w:r w:rsidR="005F1892" w:rsidRPr="00B80F09">
        <w:rPr>
          <w:rFonts w:asciiTheme="majorBidi" w:hAnsiTheme="majorBidi" w:cstheme="majorBidi"/>
        </w:rPr>
        <w:t xml:space="preserve">. </w:t>
      </w:r>
      <w:r w:rsidR="00DE6BFB" w:rsidRPr="00B80F09">
        <w:rPr>
          <w:rFonts w:asciiTheme="majorBidi" w:hAnsiTheme="majorBidi" w:cstheme="majorBidi"/>
        </w:rPr>
        <w:t>In comparison,</w:t>
      </w:r>
      <w:r w:rsidR="006F7A43" w:rsidRPr="00B80F09">
        <w:rPr>
          <w:rFonts w:asciiTheme="majorBidi" w:hAnsiTheme="majorBidi" w:cstheme="majorBidi"/>
        </w:rPr>
        <w:t xml:space="preserve"> </w:t>
      </w:r>
      <w:r w:rsidR="005F1892" w:rsidRPr="00B80F09">
        <w:rPr>
          <w:rFonts w:asciiTheme="majorBidi" w:hAnsiTheme="majorBidi" w:cstheme="majorBidi"/>
        </w:rPr>
        <w:t xml:space="preserve">the </w:t>
      </w:r>
      <w:r w:rsidR="00D0261D" w:rsidRPr="00B80F09">
        <w:rPr>
          <w:rFonts w:asciiTheme="majorBidi" w:hAnsiTheme="majorBidi" w:cstheme="majorBidi"/>
        </w:rPr>
        <w:t xml:space="preserve">eGFR </w:t>
      </w:r>
      <w:r w:rsidR="005F1892" w:rsidRPr="00B80F09">
        <w:rPr>
          <w:rFonts w:asciiTheme="majorBidi" w:hAnsiTheme="majorBidi" w:cstheme="majorBidi"/>
        </w:rPr>
        <w:t>and AST level</w:t>
      </w:r>
      <w:r w:rsidR="00253991" w:rsidRPr="00B80F09">
        <w:rPr>
          <w:rFonts w:asciiTheme="majorBidi" w:hAnsiTheme="majorBidi" w:cstheme="majorBidi"/>
        </w:rPr>
        <w:t>s</w:t>
      </w:r>
      <w:r w:rsidR="006F7A43" w:rsidRPr="00B80F09">
        <w:rPr>
          <w:rFonts w:asciiTheme="majorBidi" w:hAnsiTheme="majorBidi" w:cstheme="majorBidi"/>
        </w:rPr>
        <w:t xml:space="preserve"> had a significant positive correlation</w:t>
      </w:r>
      <w:r w:rsidR="005F1892" w:rsidRPr="00B80F09">
        <w:rPr>
          <w:rFonts w:asciiTheme="majorBidi" w:hAnsiTheme="majorBidi" w:cstheme="majorBidi"/>
        </w:rPr>
        <w:t>.</w:t>
      </w:r>
    </w:p>
    <w:p w14:paraId="69E1C400" w14:textId="2D69D3B0" w:rsidR="000B2965" w:rsidRPr="00B80F09" w:rsidRDefault="005F1892" w:rsidP="004D799D">
      <w:pPr>
        <w:jc w:val="both"/>
        <w:rPr>
          <w:rFonts w:asciiTheme="majorBidi" w:hAnsiTheme="majorBidi" w:cstheme="majorBidi"/>
        </w:rPr>
      </w:pPr>
      <w:r w:rsidRPr="00B80F09">
        <w:rPr>
          <w:rFonts w:asciiTheme="majorBidi" w:hAnsiTheme="majorBidi" w:cstheme="majorBidi"/>
          <w:b/>
          <w:bCs/>
        </w:rPr>
        <w:t xml:space="preserve">Conclusions: </w:t>
      </w:r>
      <w:r w:rsidRPr="00B80F09">
        <w:rPr>
          <w:rFonts w:asciiTheme="majorBidi" w:hAnsiTheme="majorBidi" w:cstheme="majorBidi"/>
        </w:rPr>
        <w:t xml:space="preserve">Our results </w:t>
      </w:r>
      <w:r w:rsidR="00AA29C9" w:rsidRPr="00B80F09">
        <w:rPr>
          <w:rFonts w:asciiTheme="majorBidi" w:hAnsiTheme="majorBidi" w:cstheme="majorBidi"/>
        </w:rPr>
        <w:t>show</w:t>
      </w:r>
      <w:r w:rsidR="00A47BC9" w:rsidRPr="00B80F09">
        <w:rPr>
          <w:rFonts w:asciiTheme="majorBidi" w:hAnsiTheme="majorBidi" w:cstheme="majorBidi"/>
        </w:rPr>
        <w:t>ed</w:t>
      </w:r>
      <w:r w:rsidR="00AA29C9" w:rsidRPr="00B80F09">
        <w:rPr>
          <w:rFonts w:asciiTheme="majorBidi" w:hAnsiTheme="majorBidi" w:cstheme="majorBidi"/>
        </w:rPr>
        <w:t xml:space="preserve"> that NAFLD </w:t>
      </w:r>
      <w:r w:rsidR="00DE6BFB" w:rsidRPr="00B80F09">
        <w:rPr>
          <w:rFonts w:asciiTheme="majorBidi" w:hAnsiTheme="majorBidi" w:cstheme="majorBidi"/>
        </w:rPr>
        <w:t>substantially raises the risk of getting CKD</w:t>
      </w:r>
      <w:r w:rsidR="00AA29C9" w:rsidRPr="00B80F09">
        <w:rPr>
          <w:rFonts w:asciiTheme="majorBidi" w:hAnsiTheme="majorBidi" w:cstheme="majorBidi"/>
        </w:rPr>
        <w:t>.</w:t>
      </w:r>
    </w:p>
    <w:bookmarkEnd w:id="2"/>
    <w:p w14:paraId="54177CF6" w14:textId="072388E1" w:rsidR="0099591B" w:rsidRPr="00B80F09" w:rsidRDefault="0099591B" w:rsidP="00401005">
      <w:pPr>
        <w:spacing w:after="200"/>
        <w:contextualSpacing/>
        <w:jc w:val="both"/>
        <w:rPr>
          <w:rFonts w:asciiTheme="majorBidi" w:hAnsiTheme="majorBidi" w:cstheme="majorBidi"/>
        </w:rPr>
      </w:pPr>
      <w:r w:rsidRPr="00B80F09">
        <w:rPr>
          <w:rFonts w:asciiTheme="majorBidi" w:hAnsiTheme="majorBidi" w:cstheme="majorBidi"/>
          <w:b/>
          <w:bCs/>
          <w:lang w:bidi="ar-EG"/>
        </w:rPr>
        <w:t xml:space="preserve">Keywords: </w:t>
      </w:r>
      <w:r w:rsidRPr="00B80F09">
        <w:rPr>
          <w:rFonts w:asciiTheme="majorBidi" w:hAnsiTheme="majorBidi" w:cstheme="majorBidi"/>
        </w:rPr>
        <w:t xml:space="preserve">Non-alcoholic fatty liver disease, </w:t>
      </w:r>
      <w:r w:rsidR="0063099F" w:rsidRPr="00B80F09">
        <w:rPr>
          <w:rFonts w:asciiTheme="majorBidi" w:hAnsiTheme="majorBidi" w:cstheme="majorBidi"/>
        </w:rPr>
        <w:t xml:space="preserve">NAFLD, </w:t>
      </w:r>
      <w:r w:rsidRPr="00B80F09">
        <w:rPr>
          <w:rFonts w:asciiTheme="majorBidi" w:hAnsiTheme="majorBidi" w:cstheme="majorBidi"/>
        </w:rPr>
        <w:t>Estimated glomerular filtration rate, Microalbuminuria</w:t>
      </w:r>
      <w:r w:rsidR="00401005" w:rsidRPr="00B80F09">
        <w:rPr>
          <w:rFonts w:asciiTheme="majorBidi" w:hAnsiTheme="majorBidi" w:cstheme="majorBidi"/>
        </w:rPr>
        <w:t>.</w:t>
      </w:r>
      <w:r w:rsidR="0063099F" w:rsidRPr="00B80F09">
        <w:rPr>
          <w:rFonts w:asciiTheme="majorBidi" w:hAnsiTheme="majorBidi" w:cstheme="majorBidi"/>
        </w:rPr>
        <w:t xml:space="preserve"> Hepatic fibrosis, Hepatic steatosis, Chronic kidney disease,</w:t>
      </w:r>
      <w:r w:rsidR="00365FB1" w:rsidRPr="00B80F09">
        <w:rPr>
          <w:rFonts w:asciiTheme="majorBidi" w:hAnsiTheme="majorBidi" w:cstheme="majorBidi"/>
        </w:rPr>
        <w:t xml:space="preserve"> </w:t>
      </w:r>
      <w:r w:rsidR="0063099F" w:rsidRPr="00B80F09">
        <w:rPr>
          <w:rFonts w:asciiTheme="majorBidi" w:hAnsiTheme="majorBidi" w:cstheme="majorBidi"/>
        </w:rPr>
        <w:t xml:space="preserve">CKD, </w:t>
      </w:r>
      <w:r w:rsidR="00ED79D2" w:rsidRPr="00B80F09">
        <w:rPr>
          <w:rFonts w:asciiTheme="majorBidi" w:hAnsiTheme="majorBidi" w:cstheme="majorBidi"/>
        </w:rPr>
        <w:t>f</w:t>
      </w:r>
      <w:r w:rsidR="0063099F" w:rsidRPr="00B80F09">
        <w:rPr>
          <w:rFonts w:asciiTheme="majorBidi" w:hAnsiTheme="majorBidi" w:cstheme="majorBidi"/>
        </w:rPr>
        <w:t>ibroscan</w:t>
      </w:r>
      <w:r w:rsidR="00365FB1" w:rsidRPr="00B80F09">
        <w:rPr>
          <w:rFonts w:asciiTheme="majorBidi" w:hAnsiTheme="majorBidi" w:cstheme="majorBidi"/>
        </w:rPr>
        <w:t>, Albumin-creatinine ratio</w:t>
      </w:r>
      <w:r w:rsidR="00ED79D2" w:rsidRPr="00B80F09">
        <w:rPr>
          <w:rFonts w:asciiTheme="majorBidi" w:hAnsiTheme="majorBidi" w:cstheme="majorBidi"/>
        </w:rPr>
        <w:t>.</w:t>
      </w:r>
    </w:p>
    <w:p w14:paraId="22C916EF" w14:textId="65B61FE5" w:rsidR="0066640E" w:rsidRPr="00B80F09" w:rsidRDefault="000B2965" w:rsidP="005C49D5">
      <w:pPr>
        <w:shd w:val="clear" w:color="auto" w:fill="FFFFFF"/>
        <w:spacing w:before="100" w:beforeAutospacing="1" w:after="100" w:afterAutospacing="1"/>
        <w:jc w:val="both"/>
        <w:outlineLvl w:val="3"/>
        <w:rPr>
          <w:rFonts w:asciiTheme="majorBidi" w:hAnsiTheme="majorBidi" w:cstheme="majorBidi"/>
          <w:b/>
          <w:bCs/>
        </w:rPr>
      </w:pPr>
      <w:r w:rsidRPr="00B80F09">
        <w:rPr>
          <w:rFonts w:asciiTheme="majorBidi" w:hAnsiTheme="majorBidi" w:cstheme="majorBidi"/>
          <w:b/>
          <w:bCs/>
        </w:rPr>
        <w:t>Introduction</w:t>
      </w:r>
      <w:r w:rsidR="0066640E" w:rsidRPr="00B80F09">
        <w:rPr>
          <w:rFonts w:asciiTheme="majorBidi" w:hAnsiTheme="majorBidi" w:cstheme="majorBidi"/>
          <w:b/>
          <w:bCs/>
        </w:rPr>
        <w:t>:</w:t>
      </w:r>
    </w:p>
    <w:p w14:paraId="46988F14" w14:textId="7946E57E" w:rsidR="00EB508F" w:rsidRPr="00B80F09" w:rsidRDefault="00AC5F8E" w:rsidP="004D799D">
      <w:pPr>
        <w:shd w:val="clear" w:color="auto" w:fill="FFFFFF"/>
        <w:spacing w:before="100" w:beforeAutospacing="1" w:after="100" w:afterAutospacing="1"/>
        <w:jc w:val="both"/>
        <w:outlineLvl w:val="3"/>
        <w:rPr>
          <w:rFonts w:asciiTheme="majorBidi" w:hAnsiTheme="majorBidi" w:cstheme="majorBidi"/>
          <w:b/>
          <w:bCs/>
        </w:rPr>
      </w:pPr>
      <w:r w:rsidRPr="00B80F09">
        <w:rPr>
          <w:rFonts w:asciiTheme="majorBidi" w:hAnsiTheme="majorBidi" w:cstheme="majorBidi"/>
          <w:color w:val="000000"/>
        </w:rPr>
        <w:t xml:space="preserve">One of the most frequent </w:t>
      </w:r>
      <w:r w:rsidR="00511C8F" w:rsidRPr="00B80F09">
        <w:rPr>
          <w:rFonts w:asciiTheme="majorBidi" w:hAnsiTheme="majorBidi" w:cstheme="majorBidi"/>
          <w:color w:val="000000"/>
        </w:rPr>
        <w:t>triggering factor</w:t>
      </w:r>
      <w:r w:rsidR="00253991" w:rsidRPr="00B80F09">
        <w:rPr>
          <w:rFonts w:asciiTheme="majorBidi" w:hAnsiTheme="majorBidi" w:cstheme="majorBidi"/>
          <w:color w:val="000000"/>
        </w:rPr>
        <w:t>s</w:t>
      </w:r>
      <w:r w:rsidR="00511C8F" w:rsidRPr="00B80F09">
        <w:rPr>
          <w:rFonts w:asciiTheme="majorBidi" w:hAnsiTheme="majorBidi" w:cstheme="majorBidi"/>
          <w:color w:val="000000"/>
        </w:rPr>
        <w:t xml:space="preserve"> of</w:t>
      </w:r>
      <w:r w:rsidRPr="00B80F09">
        <w:rPr>
          <w:rFonts w:asciiTheme="majorBidi" w:hAnsiTheme="majorBidi" w:cstheme="majorBidi"/>
          <w:color w:val="000000"/>
        </w:rPr>
        <w:t xml:space="preserve"> chronic liver </w:t>
      </w:r>
      <w:r w:rsidR="00963AC9" w:rsidRPr="00B80F09">
        <w:rPr>
          <w:rFonts w:asciiTheme="majorBidi" w:hAnsiTheme="majorBidi" w:cstheme="majorBidi"/>
          <w:color w:val="000000"/>
        </w:rPr>
        <w:t>disorder</w:t>
      </w:r>
      <w:r w:rsidRPr="00B80F09">
        <w:rPr>
          <w:rFonts w:asciiTheme="majorBidi" w:hAnsiTheme="majorBidi" w:cstheme="majorBidi"/>
          <w:color w:val="000000"/>
        </w:rPr>
        <w:t xml:space="preserve"> </w:t>
      </w:r>
      <w:r w:rsidR="00DE6BFB" w:rsidRPr="00B80F09">
        <w:rPr>
          <w:rFonts w:asciiTheme="majorBidi" w:hAnsiTheme="majorBidi" w:cstheme="majorBidi"/>
          <w:color w:val="000000"/>
        </w:rPr>
        <w:t>worldwide</w:t>
      </w:r>
      <w:r w:rsidRPr="00B80F09">
        <w:rPr>
          <w:rFonts w:asciiTheme="majorBidi" w:hAnsiTheme="majorBidi" w:cstheme="majorBidi"/>
          <w:color w:val="000000"/>
        </w:rPr>
        <w:t xml:space="preserve"> </w:t>
      </w:r>
      <w:r w:rsidR="00BB3A49" w:rsidRPr="00B80F09">
        <w:rPr>
          <w:rFonts w:asciiTheme="majorBidi" w:hAnsiTheme="majorBidi" w:cstheme="majorBidi"/>
          <w:color w:val="000000"/>
        </w:rPr>
        <w:t xml:space="preserve">is </w:t>
      </w:r>
      <w:r w:rsidR="00DE6BFB" w:rsidRPr="00B80F09">
        <w:rPr>
          <w:rFonts w:asciiTheme="majorBidi" w:hAnsiTheme="majorBidi" w:cstheme="majorBidi"/>
          <w:color w:val="000000"/>
        </w:rPr>
        <w:t>non-alcoholic</w:t>
      </w:r>
      <w:r w:rsidR="00BB3A49" w:rsidRPr="00B80F09">
        <w:rPr>
          <w:rFonts w:asciiTheme="majorBidi" w:hAnsiTheme="majorBidi" w:cstheme="majorBidi"/>
          <w:color w:val="000000"/>
        </w:rPr>
        <w:t xml:space="preserve"> fatty liver disease (NAFLD)</w:t>
      </w:r>
      <w:r w:rsidR="000B2965" w:rsidRPr="00B80F09">
        <w:rPr>
          <w:rFonts w:asciiTheme="majorBidi" w:hAnsiTheme="majorBidi" w:cstheme="majorBidi"/>
          <w:color w:val="000000"/>
        </w:rPr>
        <w:t xml:space="preserve"> </w:t>
      </w:r>
      <w:r w:rsidR="004B5CD8"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{"citationItems":[{"id":"ITEM-1","itemData":{"DOI":"10.1111/j.1365-2036.2011.04724.x","ISSN":"02692813","PMID":"21623852","abstract":"Background Non-alcoholic fatty liver disease (NAFLD) is a common cause of chronic liver disease, and its worldwide prevalence continues to increase with the growing obesity epidemic. This study assesses the epidemiology of NAFLD in adults based on clinical literature published over the past 30 years. Aim To review epidemiology and natural history of non-alcoholic fatty liver disease and non-alcoholic steatohepatitis in adults based on clinical literature published over the past 30 years. Methods An in-depth search of PubMed (1980-2010) was based on five search terms: 'non-alcoholic fatty liver disease' OR 'non-alcoholic steatohepatitis' OR 'fatty liver' OR 'steatosis' AND 'incidence' [MeSH Terms] OR 'prevalence' [MeSH Terms] OR 'natural history'. Studies of paediatric cohorts were excluded. Articles were categorised by topic and summarised, noting generalisations concerning their content. Results Four study categories included NAFLD incidence, prevalence, risk factors and natural history. Studies related to NAFLD prevalence and incidence indicate that the diagnosis is heterogeneous and relies on a variety of assessment tools, including liver biopsy, radiological tests such as ultrasonography, and blood testing such as liver enzymes. The prevalence of NAFLD is highest in populations with pre-existing metabolic conditions such as obesity and type II diabetes. Many studies investigating the natural history of NAFLD verify the progression from NASH to advanced fibrosis and hepatocellular carcinoma. Conclusions Non-alcoholic fatty liver disease is the most common cause of elevated liver enzymes. Within the NAFLD spectrum, only NASH progresses to cirrhosis and hepatocellular carcinoma. With the growing epidemic of obesity, the prevalence and impact of NAFLD continues to increase, making NASH potentially the most common cause of advanced liver disease in coming decades. © 2011 Blackwell Publishing Ltd.","author":[{"dropping-particle":"","family":"Vernon","given":"G.","non-dropping-particle":"","parse-names":false,"suffix":""},{"dropping-particle":"","family":"Baranova","given":"A.","non-dropping-particle":"","parse-names":false,"suffix":""},{"dropping-particle":"","family":"Younossi","given":"Z. M.","non-dropping-particle":"","parse-names":false,"suffix":""}],"container-title":"Alimentary Pharmacology and Therapeutics","id":"ITEM-1","issue":"3","issued":{"date-parts":[["2011"]]},"page":"274-285","title":"Systematic review: The epidemiology and natural history of non-alcoholic fatty liver disease and non-alcoholic steatohepatitis in adults","type":"article-journal","volume":"34"},"uris":["http://www.mendeley.com/documents/?uuid=a4a07b12-50ce-4523-b778-14e1e783908b"]}],"mendeley":{"formattedCitation":"(1)","plainTextFormattedCitation":"(1)","previouslyFormattedCitation":"[1]"},"properties":{"noteIndex":0},"schema":"https://github.com/citation-style-language/schema/raw/master/csl-citation.json"}</w:instrText>
      </w:r>
      <w:r w:rsidR="004B5CD8"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(1)</w:t>
      </w:r>
      <w:r w:rsidR="004B5CD8" w:rsidRPr="00B80F09">
        <w:rPr>
          <w:rFonts w:asciiTheme="majorBidi" w:hAnsiTheme="majorBidi" w:cstheme="majorBidi"/>
          <w:color w:val="000000"/>
        </w:rPr>
        <w:fldChar w:fldCharType="end"/>
      </w:r>
      <w:r w:rsidR="004B5CD8" w:rsidRPr="00B80F09">
        <w:rPr>
          <w:rFonts w:asciiTheme="majorBidi" w:hAnsiTheme="majorBidi" w:cstheme="majorBidi"/>
          <w:color w:val="000000"/>
        </w:rPr>
        <w:t>.</w:t>
      </w:r>
      <w:r w:rsidR="000B2965" w:rsidRPr="00B80F09">
        <w:rPr>
          <w:rFonts w:asciiTheme="majorBidi" w:hAnsiTheme="majorBidi" w:cstheme="majorBidi"/>
          <w:color w:val="000000"/>
        </w:rPr>
        <w:t xml:space="preserve"> </w:t>
      </w:r>
      <w:r w:rsidR="00963AC9" w:rsidRPr="00B80F09">
        <w:rPr>
          <w:rFonts w:asciiTheme="majorBidi" w:hAnsiTheme="majorBidi" w:cstheme="majorBidi"/>
          <w:color w:val="000000"/>
        </w:rPr>
        <w:t xml:space="preserve">NAFLD </w:t>
      </w:r>
      <w:r w:rsidR="008A668B" w:rsidRPr="00B80F09">
        <w:rPr>
          <w:rFonts w:asciiTheme="majorBidi" w:hAnsiTheme="majorBidi" w:cstheme="majorBidi"/>
          <w:color w:val="000000"/>
        </w:rPr>
        <w:t xml:space="preserve">is characterized by </w:t>
      </w:r>
      <w:r w:rsidR="00963AC9" w:rsidRPr="00B80F09">
        <w:rPr>
          <w:rFonts w:asciiTheme="majorBidi" w:hAnsiTheme="majorBidi" w:cstheme="majorBidi"/>
          <w:color w:val="000000"/>
        </w:rPr>
        <w:t xml:space="preserve">excessive </w:t>
      </w:r>
      <w:r w:rsidR="008A668B" w:rsidRPr="00B80F09">
        <w:rPr>
          <w:rFonts w:asciiTheme="majorBidi" w:hAnsiTheme="majorBidi" w:cstheme="majorBidi"/>
          <w:color w:val="000000"/>
        </w:rPr>
        <w:t xml:space="preserve">fat </w:t>
      </w:r>
      <w:r w:rsidR="00963AC9" w:rsidRPr="00B80F09">
        <w:rPr>
          <w:rFonts w:asciiTheme="majorBidi" w:hAnsiTheme="majorBidi" w:cstheme="majorBidi"/>
          <w:color w:val="000000"/>
        </w:rPr>
        <w:t xml:space="preserve">deposition </w:t>
      </w:r>
      <w:r w:rsidR="008A668B" w:rsidRPr="00B80F09">
        <w:rPr>
          <w:rFonts w:asciiTheme="majorBidi" w:hAnsiTheme="majorBidi" w:cstheme="majorBidi"/>
          <w:color w:val="000000"/>
        </w:rPr>
        <w:t xml:space="preserve">(&gt;5%) in </w:t>
      </w:r>
      <w:r w:rsidR="00254D57" w:rsidRPr="00B80F09">
        <w:rPr>
          <w:rFonts w:asciiTheme="majorBidi" w:hAnsiTheme="majorBidi" w:cstheme="majorBidi"/>
          <w:color w:val="000000"/>
        </w:rPr>
        <w:t>the hepatocytes</w:t>
      </w:r>
      <w:r w:rsidR="008A668B" w:rsidRPr="00B80F09">
        <w:rPr>
          <w:rFonts w:asciiTheme="majorBidi" w:hAnsiTheme="majorBidi" w:cstheme="majorBidi"/>
          <w:color w:val="000000"/>
        </w:rPr>
        <w:t xml:space="preserve"> in the absence of alcohol consumption or other </w:t>
      </w:r>
      <w:r w:rsidR="00963AC9" w:rsidRPr="00B80F09">
        <w:rPr>
          <w:rFonts w:asciiTheme="majorBidi" w:hAnsiTheme="majorBidi" w:cstheme="majorBidi"/>
          <w:color w:val="000000"/>
        </w:rPr>
        <w:t xml:space="preserve">reasons </w:t>
      </w:r>
      <w:r w:rsidR="00253991" w:rsidRPr="00B80F09">
        <w:rPr>
          <w:rFonts w:asciiTheme="majorBidi" w:hAnsiTheme="majorBidi" w:cstheme="majorBidi"/>
          <w:color w:val="000000"/>
        </w:rPr>
        <w:t>for</w:t>
      </w:r>
      <w:r w:rsidR="008A668B" w:rsidRPr="00B80F09">
        <w:rPr>
          <w:rFonts w:asciiTheme="majorBidi" w:hAnsiTheme="majorBidi" w:cstheme="majorBidi"/>
          <w:color w:val="000000"/>
        </w:rPr>
        <w:t xml:space="preserve"> liver illness, such as autoimmune, drug-induced, or viral hepatitis</w:t>
      </w:r>
      <w:r w:rsidR="00CC09BA"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10.1002/hep.25762","ISSN":"02709139","PMID":"22488764","author":[{"dropping-particle":"","family":"Chalasani","given":"Naga","non-dropping-particle":"","parse-names":false,"suffix":""},{"dropping-particle":"","family":"Younossi","given":"Zobair","non-dropping-particle":"","parse-names":false,"suffix":""},{"dropping-particle":"","family":"Lavine","given":"Joel E.","non-dropping-particle":"","parse-names":false,"suffix":""},{"dropping-particle":"","family":"Diehl","given":"Anna Mae","non-dropping-particle":"","parse-names":false,"suffix":""},{"dropping-particle":"","family":"Brunt","given":"Elizabeth M.","non-dropping-particle":"","parse-names":false,"suffix":""},{"dropping-particle":"","family":"Cusi","given":"Kenneth","non-dropping-particle":"","parse-names":false,"suffix":""},{"dropping-particle":"","family":"Charlton","given":"Michael","non-dropping-particle":"","parse-names":false,"suffix":""},{"dropping-particle":"","family":"Sanyal","given":"Arun J.","non-dropping-particle":"","parse-names":false,"suffix":""}],"container-title":"Hepatology","id":"ITEM-1","issue":"6","issued":{"date-parts":[["2012"]]},"page":"2005-2023","title":"The diagnosis and management of non-alcoholic fatty liver disease: Practice Guideline by the American Association for the Study of Liver Diseases, American College of Gastroenterology, and the American Gastroenterological Association","type":"article-journal","volume":"55"},"uris":["http://www.mendeley.com/documents/?uuid=c6d38925-fe39-4ace-9b6b-d5e9a109d3c8"]}],"mendeley":{"formattedCitation":"(2)","plainTextFormattedCitation":"(2)","previouslyFormattedCitation":"[2]"},"properties":{"noteIndex":0},"schema":"https://github.com/citation-style-language/schema/raw/master/csl-citation.json"}</w:instrText>
      </w:r>
      <w:r w:rsidR="00CC09BA"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(2)</w:t>
      </w:r>
      <w:r w:rsidR="00CC09BA" w:rsidRPr="00B80F09">
        <w:rPr>
          <w:rFonts w:asciiTheme="majorBidi" w:hAnsiTheme="majorBidi" w:cstheme="majorBidi"/>
          <w:color w:val="000000"/>
        </w:rPr>
        <w:fldChar w:fldCharType="end"/>
      </w:r>
      <w:r w:rsidR="00CC09BA" w:rsidRPr="00B80F09">
        <w:rPr>
          <w:rFonts w:asciiTheme="majorBidi" w:hAnsiTheme="majorBidi" w:cstheme="majorBidi"/>
          <w:color w:val="000000"/>
        </w:rPr>
        <w:t xml:space="preserve">. </w:t>
      </w:r>
      <w:r w:rsidR="00254D57" w:rsidRPr="00B80F09">
        <w:rPr>
          <w:rFonts w:asciiTheme="majorBidi" w:hAnsiTheme="majorBidi" w:cstheme="majorBidi"/>
          <w:color w:val="000000"/>
        </w:rPr>
        <w:t>NAFLD has a wide histologic variety</w:t>
      </w:r>
      <w:r w:rsidR="00DE6BFB" w:rsidRPr="00B80F09">
        <w:rPr>
          <w:rFonts w:asciiTheme="majorBidi" w:hAnsiTheme="majorBidi" w:cstheme="majorBidi"/>
          <w:color w:val="000000"/>
        </w:rPr>
        <w:t>, including</w:t>
      </w:r>
      <w:r w:rsidR="00254D57" w:rsidRPr="00B80F09">
        <w:rPr>
          <w:rFonts w:asciiTheme="majorBidi" w:hAnsiTheme="majorBidi" w:cstheme="majorBidi"/>
          <w:color w:val="000000"/>
        </w:rPr>
        <w:t xml:space="preserve"> simple steatosis, non-alcoholic steatohepatitis (NASH), liver fibrosis, and cirrhosis </w:t>
      </w:r>
      <w:r w:rsidR="00CC09BA"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10.1002/hep.25762","ISSN":"02709139","PMID":"22488764","author":[{"dropping-particle":"","family":"Chalasani","given":"Naga","non-dropping-particle":"","parse-names":false,"suffix":""},{"dropping-particle":"","family":"Younossi","given":"Zobair","non-dropping-particle":"","parse-names":false,"suffix":""},{"dropping-particle":"","family":"Lavine","given":"Joel E.","non-dropping-particle":"","parse-names":false,"suffix":""},{"dropping-particle":"","family":"Diehl","given":"Anna Mae","non-dropping-particle":"","parse-names":false,"suffix":""},{"dropping-particle":"","family":"Brunt","given":"Elizabeth M.","non-dropping-particle":"","parse-names":false,"suffix":""},{"dropping-particle":"","family":"Cusi","given":"Kenneth","non-dropping-particle":"","parse-names":false,"suffix":""},{"dropping-particle":"","family":"Charlton","given":"Michael","non-dropping-particle":"","parse-names":false,"suffix":""},{"dropping-particle":"","family":"Sanyal","given":"Arun J.","non-dropping-particle":"","parse-names":false,"suffix":""}],"container-title":"Hepatology","id":"ITEM-1","issue":"6","issued":{"date-parts":[["2012"]]},"page":"2005-2023","title":"The diagnosis and management of non-alcoholic fatty liver disease: Practice Guideline by the American Association for the Study of Liver Diseases, American College of Gastroenterology, and the American Gastroenterological Association","type":"article-journal","volume":"55"},"uris":["http://www.mendeley.com/documents/?uuid=c6d38925-fe39-4ace-9b6b-d5e9a109d3c8"]}],"mendeley":{"formattedCitation":"(2)","plainTextFormattedCitation":"(2)","previouslyFormattedCitation":"[2]"},"properties":{"noteIndex":0},"schema":"https://github.com/citation-style-language/schema/raw/master/csl-citation.json"}</w:instrText>
      </w:r>
      <w:r w:rsidR="00CC09BA"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(2)</w:t>
      </w:r>
      <w:r w:rsidR="00CC09BA" w:rsidRPr="00B80F09">
        <w:rPr>
          <w:rFonts w:asciiTheme="majorBidi" w:hAnsiTheme="majorBidi" w:cstheme="majorBidi"/>
          <w:color w:val="000000"/>
        </w:rPr>
        <w:fldChar w:fldCharType="end"/>
      </w:r>
      <w:r w:rsidR="000B2965" w:rsidRPr="00B80F09">
        <w:rPr>
          <w:rFonts w:asciiTheme="majorBidi" w:hAnsiTheme="majorBidi" w:cstheme="majorBidi"/>
          <w:color w:val="000000"/>
        </w:rPr>
        <w:t>.</w:t>
      </w:r>
      <w:r w:rsidR="00C841B7" w:rsidRPr="00B80F09">
        <w:rPr>
          <w:rFonts w:asciiTheme="majorBidi" w:hAnsiTheme="majorBidi" w:cstheme="majorBidi"/>
          <w:color w:val="000000"/>
        </w:rPr>
        <w:t xml:space="preserve"> In Western countries, NAFLD has been found in up to 30% of the general public, particularly in individuals with metabolic syndrome</w:t>
      </w:r>
      <w:r w:rsidR="0069500B"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10.1016/j.jhep.2010.04.008","ISSN":"01688278","PMID":"20494470","author":[{"dropping-particle":"","family":"Wedemeyer","given":"Heiner","non-dropping-particle":"","parse-names":false,"suffix":""},{"dropping-particle":"","family":"Thursz","given":"Mark","non-dropping-particle":"","parse-names":false,"suffix":""}],"container-title":"Journal of Hepatology","id":"ITEM-1","issue":"2","issued":{"date-parts":[["2010"]]},"page":"372-384","publisher":"J Hepatol","title":"The role of different EASL-papers: Clinical practice guidelines vs. position papers vs. conference summaries","type":"article","volume":"53"},"uris":["http://www.mendeley.com/documents/?uuid=4a23d820-c027-3a46-9474-7607026717f4"]},{"id":"ITEM-2","itemData":{"DOI":"10.1038/nrgastro.2013.171","ISSN":"17595045","PMID":"24042449","abstract":"NAFLD is a clinical syndrome characterized by predominant macrovesicular steatosis of the liver. The clinical and histological phenotypes of NAFLD extend from a nonalcoholic fatty liver to NASH. Although the prevalence of NAFLD is increasing globally, and it is set to become the predominant cause of chronic liver disease in many parts of the world, the epidemiology and demographic characteristics of NAFLD vary worldwide. Indeed, the condition is associated with obesity and insulin resistance in most cases in the Western world, but the disease manifests at a lower BMI in Asian countries and many patients do not seem to have insulin resistance as determined using conventional methods. The similarities and differences in the epidemiology of NAFLD in different regions of the world are discussed and the potential role of genetics and insulin resistance in disease progression is also presented. © 2013 Macmillan Publishers Limited. All rights reserved.","author":[{"dropping-particle":"","family":"Loomba","given":"Rohit","non-dropping-particle":"","parse-names":false,"suffix":""},{"dropping-particle":"","family":"Sanyal","given":"Arun J.","non-dropping-particle":"","parse-names":false,"suffix":""}],"container-title":"Nature Reviews Gastroenterology and Hepatology","id":"ITEM-2","issue":"11","issued":{"date-parts":[["2013"]]},"page":"686-690","publisher":"Nature Publishing Group","title":"The global NAFLD epidemic","type":"article-journal","volume":"10"},"uris":["http://www.mendeley.com/documents/?uuid=d549358e-0084-4d86-a31c-29fce415983e"]}],"mendeley":{"formattedCitation":"(3,4)","plainTextFormattedCitation":"(3,4)","previouslyFormattedCitation":"[3, 4]"},"properties":{"noteIndex":0},"schema":"https://github.com/citation-style-language/schema/raw/master/csl-citation.json"}</w:instrText>
      </w:r>
      <w:r w:rsidR="0069500B"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(3,4)</w:t>
      </w:r>
      <w:r w:rsidR="0069500B" w:rsidRPr="00B80F09">
        <w:rPr>
          <w:rFonts w:asciiTheme="majorBidi" w:hAnsiTheme="majorBidi" w:cstheme="majorBidi"/>
          <w:color w:val="000000"/>
        </w:rPr>
        <w:fldChar w:fldCharType="end"/>
      </w:r>
      <w:r w:rsidR="00826325" w:rsidRPr="00B80F09">
        <w:rPr>
          <w:rFonts w:asciiTheme="majorBidi" w:hAnsiTheme="majorBidi" w:cstheme="majorBidi"/>
          <w:color w:val="000000"/>
        </w:rPr>
        <w:t xml:space="preserve">. </w:t>
      </w:r>
      <w:r w:rsidR="00DE6BFB" w:rsidRPr="00B80F09">
        <w:rPr>
          <w:rFonts w:asciiTheme="majorBidi" w:hAnsiTheme="majorBidi" w:cstheme="majorBidi"/>
          <w:color w:val="000000"/>
        </w:rPr>
        <w:t xml:space="preserve">In addition, </w:t>
      </w:r>
      <w:r w:rsidR="00EB508F" w:rsidRPr="00B80F09">
        <w:rPr>
          <w:rFonts w:asciiTheme="majorBidi" w:hAnsiTheme="majorBidi" w:cstheme="majorBidi"/>
          <w:color w:val="000000"/>
        </w:rPr>
        <w:t xml:space="preserve">NAFLD is </w:t>
      </w:r>
      <w:r w:rsidR="00DE6BFB" w:rsidRPr="00B80F09">
        <w:rPr>
          <w:rFonts w:asciiTheme="majorBidi" w:hAnsiTheme="majorBidi" w:cstheme="majorBidi"/>
          <w:color w:val="000000"/>
        </w:rPr>
        <w:t>considered</w:t>
      </w:r>
      <w:r w:rsidR="00EB508F" w:rsidRPr="00B80F09">
        <w:rPr>
          <w:rFonts w:asciiTheme="majorBidi" w:hAnsiTheme="majorBidi" w:cstheme="majorBidi"/>
          <w:color w:val="000000"/>
        </w:rPr>
        <w:t xml:space="preserve"> an independent risk factor for cardiovascular disease, and there is growing evidence that it plays a causal role in chronic renal disease evolution (CKD)</w:t>
      </w:r>
      <w:r w:rsidR="00BA0BD5"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{"citationItems":[{"id":"ITEM-1","itemData":{"DOI":"10.3390/ijms17040562","ISSN":"14220067","PMID":"27089331","abstract":"Non-alcoholic fatty liver disease (NAFLD) is the most common cause of chronic liver disease in developed countries and it is now considered a risk factor for cardiovascular disease. Evidence linking NAFLD to the development and progression of chronic kidney disease (CKD) is emerging as a popular area of scientific interest. The rise in simultaneous liver-kidney transplantation as well as the significant cost associated with the presence of chronic kidney disease in the NAFLD population make this entity a worthwhile target for screening and therapeutic intervention. While several cross-sectional and case control studies have been published to substantiate these theories, very little data exists on the underlying cause of NAFLD and CKD. In this review, we will discuss the most recent publications on the diagnosis of NAFLD as well new evidence regarding the pathophysiology of NAFLD and CKD as an inflammatory disorder. These mechanisms include the role of obesity, the renin-angiotensin system, and dysregulation of fructose metabolism and lipogenesis in the development of both disorders. Further investigation of these pathways may lead to novel therapies that aim to target the NAFLD and CKD. However, more prospective studies that include information on both renal and liver histology will be necessary in order to understand the relationship between these diseases.","author":[{"dropping-particle":"","family":"Marcuccilli","given":"Morgan","non-dropping-particle":"","parse-names":false,"suffix":""},{"dropping-particle":"","family":"Chonchol","given":"Michel","non-dropping-particle":"","parse-names":false,"suffix":""}],"container-title":"International Journal of Molecular Sciences","id":"ITEM-1","issue":"4","issued":{"date-parts":[["2016"]]},"page":"1-15","title":"NAFLD and chronic kidney disease","type":"article-journal","volume":"17"},"uris":["http://www.mendeley.com/documents/?uuid=da3ae515-db12-45db-87c8-c5f681fbfd91"]}],"mendeley":{"formattedCitation":"(5)","plainTextFormattedCitation":"(5)","previouslyFormattedCitation":"[5]"},"properties":{"noteIndex":0},"schema":"https://github.com/citation-style-language/schema/raw/master/csl-citation.json"}</w:instrText>
      </w:r>
      <w:r w:rsidR="00BA0BD5"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(5)</w:t>
      </w:r>
      <w:r w:rsidR="00BA0BD5" w:rsidRPr="00B80F09">
        <w:rPr>
          <w:rFonts w:asciiTheme="majorBidi" w:hAnsiTheme="majorBidi" w:cstheme="majorBidi"/>
          <w:color w:val="000000"/>
        </w:rPr>
        <w:fldChar w:fldCharType="end"/>
      </w:r>
      <w:r w:rsidR="00BA0BD5" w:rsidRPr="00B80F09">
        <w:rPr>
          <w:rFonts w:asciiTheme="majorBidi" w:hAnsiTheme="majorBidi" w:cstheme="majorBidi"/>
          <w:color w:val="000000"/>
        </w:rPr>
        <w:t>.</w:t>
      </w:r>
    </w:p>
    <w:p w14:paraId="74543716" w14:textId="5F08BCA1" w:rsidR="000B2965" w:rsidRPr="00B80F09" w:rsidRDefault="000B2965" w:rsidP="004D799D">
      <w:pPr>
        <w:shd w:val="clear" w:color="auto" w:fill="FFFFFF"/>
        <w:spacing w:before="100" w:beforeAutospacing="1" w:after="100" w:afterAutospacing="1"/>
        <w:jc w:val="both"/>
        <w:outlineLvl w:val="3"/>
        <w:rPr>
          <w:rFonts w:asciiTheme="majorBidi" w:hAnsiTheme="majorBidi" w:cstheme="majorBidi"/>
          <w:b/>
          <w:bCs/>
        </w:rPr>
      </w:pPr>
      <w:r w:rsidRPr="00B80F09">
        <w:rPr>
          <w:rFonts w:asciiTheme="majorBidi" w:hAnsiTheme="majorBidi" w:cstheme="majorBidi"/>
          <w:color w:val="000000"/>
        </w:rPr>
        <w:t xml:space="preserve"> </w:t>
      </w:r>
      <w:r w:rsidR="001876E2" w:rsidRPr="00B80F09">
        <w:rPr>
          <w:rFonts w:asciiTheme="majorBidi" w:hAnsiTheme="majorBidi" w:cstheme="majorBidi"/>
          <w:color w:val="000000"/>
        </w:rPr>
        <w:t>Moreover</w:t>
      </w:r>
      <w:r w:rsidR="008E578E" w:rsidRPr="00B80F09">
        <w:rPr>
          <w:rFonts w:asciiTheme="majorBidi" w:hAnsiTheme="majorBidi" w:cstheme="majorBidi"/>
          <w:color w:val="000000"/>
        </w:rPr>
        <w:t xml:space="preserve">, CKD is a </w:t>
      </w:r>
      <w:r w:rsidR="00DE6BFB" w:rsidRPr="00B80F09">
        <w:rPr>
          <w:rFonts w:asciiTheme="majorBidi" w:hAnsiTheme="majorBidi" w:cstheme="majorBidi"/>
          <w:color w:val="000000"/>
        </w:rPr>
        <w:t>significant</w:t>
      </w:r>
      <w:r w:rsidR="008E578E" w:rsidRPr="00B80F09">
        <w:rPr>
          <w:rFonts w:asciiTheme="majorBidi" w:hAnsiTheme="majorBidi" w:cstheme="majorBidi"/>
          <w:color w:val="000000"/>
        </w:rPr>
        <w:t xml:space="preserve"> health concern in the Western population, affecting more than a quarter of those over 65 </w:t>
      </w:r>
      <w:r w:rsidR="008E578E"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{"citationItems":[{"id":"ITEM-1","itemData":{"DOI":"10.1093/ndt/gfr547","ISSN":"14602385","PMID":"21965592","abstract":"Internationally, there have been substantial efforts to improve the early identification of chronic kidney disease (CKD), with a view to improving survival, reducing progression and minimizing cardiovascular morbidity and mortality. In 2002, a new and globally adopted definition of CKD was introduced. The burden of kidney function impairment in the population is unclear and widely ranging prevalence estimates have been reported. We conducted a systematic literature review, searching databases to June 2009. We included all adult population screening studies and studies based on laboratory or clinical datasets where the denominator was clear. Studies reporting prevalence estimates based on at least one eGFR &lt;60 mL/min/1.73m(2) or elevated creatinine above a stated threshold were included. Study design and quality were explored as potential factors leading to heterogeneity. We identified 43 eligible studies (57 published reports) for inclusion. Substantial heterogeneity was observed with estimated prevalence (0.6-42.6%). The included studies demonstrated significant variation in methodology and quality that impacted on the comparability of their findings. From the higher quality studies, the six studies measuring impaired kidney function (iKF) using estimated glomerular filtration rate in community screening samples reported a prevalence ranging from 1.7% in a Chinese study to 8.1% in a US study, with four reporting an estimated prevalence of 3.2-5.6%. Heterogeneity was driven by the measure used, study design and study population. In the general population, estimated iKF, particularly eGFR 30-59 mL/min/1.73m(2) was common with prevalence similar to diabetes mellitus. Appropriate care of patients poses a substantial global health care challenge.","author":[{"dropping-particle":"","family":"McCullough","given":"Keith","non-dropping-particle":"","parse-names":false,"suffix":""},{"dropping-particle":"","family":"Sharma","given":"Pawana","non-dropping-particle":"","parse-names":false,"suffix":""},{"dropping-particle":"","family":"Ali","given":"Tariq","non-dropping-particle":"","parse-names":false,"suffix":""},{"dropping-particle":"","family":"Khan","given":"Izhar","non-dropping-particle":"","parse-names":false,"suffix":""},{"dropping-particle":"","family":"Smith","given":"William C.S.","non-dropping-particle":"","parse-names":false,"suffix":""},{"dropping-particle":"","family":"MacLeod","given":"Alison","non-dropping-particle":"","parse-names":false,"suffix":""},{"dropping-particle":"","family":"Black","given":"Corri","non-dropping-particle":"","parse-names":false,"suffix":""}],"container-title":"Nephrology, dialysis, transplantation : official publication of the European Dialysis and Transplant Association - European Renal Association","id":"ITEM-1","issue":"5","issued":{"date-parts":[["2012"]]},"page":"1812-1821","title":"Measuring the population burden of chronic kidney disease: a systematic literature review of the estimated prevalence of impaired kidney function.","type":"article","volume":"27"},"uris":["http://www.mendeley.com/documents/?uuid=0633c030-67a4-3b4a-af37-2c3a9b354cd5"]}],"mendeley":{"formattedCitation":"(6)","plainTextFormattedCitation":"(6)","previouslyFormattedCitation":"[6]"},"properties":{"noteIndex":0},"schema":"https://github.com/citation-style-language/schema/raw/master/csl-citation.json"}</w:instrText>
      </w:r>
      <w:r w:rsidR="008E578E"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(6)</w:t>
      </w:r>
      <w:r w:rsidR="008E578E" w:rsidRPr="00B80F09">
        <w:rPr>
          <w:rFonts w:asciiTheme="majorBidi" w:hAnsiTheme="majorBidi" w:cstheme="majorBidi"/>
          <w:color w:val="000000"/>
        </w:rPr>
        <w:fldChar w:fldCharType="end"/>
      </w:r>
      <w:r w:rsidRPr="00B80F09">
        <w:rPr>
          <w:rFonts w:asciiTheme="majorBidi" w:hAnsiTheme="majorBidi" w:cstheme="majorBidi"/>
          <w:color w:val="000000"/>
        </w:rPr>
        <w:t xml:space="preserve">. CKD is </w:t>
      </w:r>
      <w:r w:rsidR="00463C36" w:rsidRPr="00B80F09">
        <w:rPr>
          <w:rFonts w:asciiTheme="majorBidi" w:hAnsiTheme="majorBidi" w:cstheme="majorBidi"/>
          <w:color w:val="000000"/>
        </w:rPr>
        <w:t>known</w:t>
      </w:r>
      <w:r w:rsidRPr="00B80F09">
        <w:rPr>
          <w:rFonts w:asciiTheme="majorBidi" w:hAnsiTheme="majorBidi" w:cstheme="majorBidi"/>
          <w:color w:val="000000"/>
        </w:rPr>
        <w:t xml:space="preserve"> as </w:t>
      </w:r>
      <w:r w:rsidR="00463C36" w:rsidRPr="00B80F09">
        <w:rPr>
          <w:rFonts w:asciiTheme="majorBidi" w:hAnsiTheme="majorBidi" w:cstheme="majorBidi"/>
          <w:color w:val="000000"/>
        </w:rPr>
        <w:t>reduce</w:t>
      </w:r>
      <w:r w:rsidR="001A1C21" w:rsidRPr="00B80F09">
        <w:rPr>
          <w:rFonts w:asciiTheme="majorBidi" w:hAnsiTheme="majorBidi" w:cstheme="majorBidi"/>
          <w:color w:val="000000"/>
        </w:rPr>
        <w:t>d</w:t>
      </w:r>
      <w:r w:rsidRPr="00B80F09">
        <w:rPr>
          <w:rFonts w:asciiTheme="majorBidi" w:hAnsiTheme="majorBidi" w:cstheme="majorBidi"/>
          <w:color w:val="000000"/>
        </w:rPr>
        <w:t xml:space="preserve"> estimated glomerular filtration (eGFR) </w:t>
      </w:r>
      <w:r w:rsidR="00DE6BFB" w:rsidRPr="00B80F09">
        <w:rPr>
          <w:rFonts w:asciiTheme="majorBidi" w:hAnsiTheme="majorBidi" w:cstheme="majorBidi"/>
          <w:color w:val="000000"/>
        </w:rPr>
        <w:t>or</w:t>
      </w:r>
      <w:r w:rsidRPr="00B80F09">
        <w:rPr>
          <w:rFonts w:asciiTheme="majorBidi" w:hAnsiTheme="majorBidi" w:cstheme="majorBidi"/>
          <w:color w:val="000000"/>
        </w:rPr>
        <w:t xml:space="preserve"> the </w:t>
      </w:r>
      <w:r w:rsidR="001A1C21" w:rsidRPr="00B80F09">
        <w:rPr>
          <w:rFonts w:asciiTheme="majorBidi" w:hAnsiTheme="majorBidi" w:cstheme="majorBidi"/>
          <w:color w:val="000000"/>
        </w:rPr>
        <w:t>occur</w:t>
      </w:r>
      <w:r w:rsidR="00AA4DCE" w:rsidRPr="00B80F09">
        <w:rPr>
          <w:rFonts w:asciiTheme="majorBidi" w:hAnsiTheme="majorBidi" w:cstheme="majorBidi"/>
          <w:color w:val="000000"/>
        </w:rPr>
        <w:t>re</w:t>
      </w:r>
      <w:r w:rsidR="001A1C21" w:rsidRPr="00B80F09">
        <w:rPr>
          <w:rFonts w:asciiTheme="majorBidi" w:hAnsiTheme="majorBidi" w:cstheme="majorBidi"/>
          <w:color w:val="000000"/>
        </w:rPr>
        <w:t xml:space="preserve">nce </w:t>
      </w:r>
      <w:r w:rsidRPr="00B80F09">
        <w:rPr>
          <w:rFonts w:asciiTheme="majorBidi" w:hAnsiTheme="majorBidi" w:cstheme="majorBidi"/>
          <w:color w:val="000000"/>
        </w:rPr>
        <w:t>of significant proteinuria (&gt;500 mg)</w:t>
      </w:r>
      <w:r w:rsidR="00BA0BD5"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{"citationItems":[{"id":"ITEM-1","itemData":{"DOI":"10.1053/J.AJKD.2014.05.019","ISSN":"0272-6386","PMID":"25085644","abstract":"&lt;p&gt;The possible link between nonalcoholic fatty liver disease and chronic kidney disease (CKD) recently has attracted considerable scientific interest. Accumulating clinical evidence indicates that the presence and severity of nonalcoholic fatty liver disease is associated significantly with CKD (defined as decreased estimated glomerular filtration rate and/or proteinuria) and that nonalcoholic fatty liver disease predicts the development and progression of CKD, independently of traditional cardiorenal risk factors. Experimental evidence also suggests that nonalcoholic fatty liver disease itself may exacerbate systemic and hepatic insulin resistance, cause atherogenic dyslipidemia, and release a variety of proinflammatory, procoagulant, pro-oxidant, and profibrogenic mediators that play important roles in the development and progression of CKD. However, despite the growing evidence linking nonalcoholic fatty liver disease with CKD, it has not been definitively established whether a causal association exists. The clinical implication for these findings is that patients with nonalcoholic fatty liver disease may benefit from more intensive surveillance or early treatment interventions to decrease the risk of CKD. In this review, we discuss the evidence linking nonalcoholic fatty liver disease with CKD and the putative mechanisms by which nonalcoholic fatty liver disease contributes to kidney damage. We also briefly discuss current treatment options for this increasingly prevalent disease that is likely to have an important future impact on the global burden of disease.&lt;/p&gt;","author":[{"dropping-particle":"","family":"Targher","given":"Giovanni","non-dropping-particle":"","parse-names":false,"suffix":""},{"dropping-particle":"","family":"Chonchol","given":"Michel B.","non-dropping-particle":"","parse-names":false,"suffix":""},{"dropping-particle":"","family":"Byrne","given":"Christopher D.","non-dropping-particle":"","parse-names":false,"suffix":""}],"container-title":"American Journal of Kidney Diseases","id":"ITEM-1","issue":"4","issued":{"date-parts":[["2014","10","1"]]},"page":"638-652","publisher":"Elsevier","title":"CKD and Nonalcoholic Fatty Liver Disease","type":"article-journal","volume":"64"},"uris":["http://www.mendeley.com/documents/?uuid=7c1ba993-bc05-3e4a-a745-5a280552b60a"]}],"mendeley":{"formattedCitation":"(7)","plainTextFormattedCitation":"(7)","previouslyFormattedCitation":"[7]"},"properties":{"noteIndex":0},"schema":"https://github.com/citation-style-language/schema/raw/master/csl-citation.json"}</w:instrText>
      </w:r>
      <w:r w:rsidR="00BA0BD5"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(7)</w:t>
      </w:r>
      <w:r w:rsidR="00BA0BD5" w:rsidRPr="00B80F09">
        <w:rPr>
          <w:rFonts w:asciiTheme="majorBidi" w:hAnsiTheme="majorBidi" w:cstheme="majorBidi"/>
          <w:color w:val="000000"/>
        </w:rPr>
        <w:fldChar w:fldCharType="end"/>
      </w:r>
      <w:r w:rsidRPr="00B80F09">
        <w:rPr>
          <w:rFonts w:asciiTheme="majorBidi" w:hAnsiTheme="majorBidi" w:cstheme="majorBidi"/>
          <w:color w:val="000000"/>
        </w:rPr>
        <w:t xml:space="preserve">. </w:t>
      </w:r>
      <w:r w:rsidR="001A1C21" w:rsidRPr="00B80F09">
        <w:rPr>
          <w:rFonts w:asciiTheme="majorBidi" w:hAnsiTheme="majorBidi" w:cstheme="majorBidi"/>
          <w:color w:val="000000"/>
        </w:rPr>
        <w:t xml:space="preserve">Nearly half </w:t>
      </w:r>
      <w:r w:rsidR="00AA4DCE" w:rsidRPr="00B80F09">
        <w:rPr>
          <w:rFonts w:asciiTheme="majorBidi" w:hAnsiTheme="majorBidi" w:cstheme="majorBidi"/>
          <w:color w:val="000000"/>
        </w:rPr>
        <w:t xml:space="preserve">a </w:t>
      </w:r>
      <w:r w:rsidR="001A1C21" w:rsidRPr="00B80F09">
        <w:rPr>
          <w:rFonts w:asciiTheme="majorBidi" w:hAnsiTheme="majorBidi" w:cstheme="majorBidi"/>
          <w:color w:val="000000"/>
        </w:rPr>
        <w:t xml:space="preserve">million persons in the United States currently get renal dialysis treatment, </w:t>
      </w:r>
      <w:r w:rsidR="00DE6BFB" w:rsidRPr="00B80F09">
        <w:rPr>
          <w:rFonts w:asciiTheme="majorBidi" w:hAnsiTheme="majorBidi" w:cstheme="majorBidi"/>
          <w:color w:val="000000"/>
        </w:rPr>
        <w:t>which is</w:t>
      </w:r>
      <w:r w:rsidR="001A1C21" w:rsidRPr="00B80F09">
        <w:rPr>
          <w:rFonts w:asciiTheme="majorBidi" w:hAnsiTheme="majorBidi" w:cstheme="majorBidi"/>
          <w:color w:val="000000"/>
        </w:rPr>
        <w:t xml:space="preserve"> predicted to rise to 2.2 million by 2030</w:t>
      </w:r>
      <w:r w:rsidR="00BA0BD5"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{"citationItems":[{"id":"ITEM-1","itemData":{"DOI":"10.3310/hta14210","ISSN":"13665278","PMID":"20441712","abstract":"Background: Chronic kidney disease (CKD) is a long-term condition and has been described as the gradual loss of kidney function over time. Early in the disease process, people with CKD often experience no symptoms. For a long time, CKD has been an underdiagnosed condition. Even in the absence of symptoms, CKD appears to add significantly to the burden of cardiovascular disease and death and, for an important minority, can progress to kidney failure. Objective: To systematically review the evidence of the clinical effectiveness and cost-effectiveness of early referral strategies for management of people with markers of renal disease. Data sources: Electronic searches of 12 major databases (such as MEDLINE, EMBASE, CINAHL, etc.) were conducted for the time period of 1990 to April 2008 to identify studies comparing early referral to other care options for people with CKD. Additional searching was performed in the NHS Economic Evaluation Database to support the cost-effectiveness literature review. Review methods: Two authors reviewed all titles, abstracts and full papers to select relevant literature. A Markov model was constructed to represent the natural history of CKD. The model allowed cohorts to be tracked according to estimated glomerular filtration rate (eGFR) status and the presence of other complications known to influence CKD progression and the incidence of cardiovascular events. Results: From 36 relevant natural history studies, CKD was found to be, despite marked heterogeneity between studies, a marker of increased risk of mortality, renal progression and end-stage renal disease. Mortality was generally high and increased with stage of CKD. After adjustment for comorbidities, the relative risk of mortality among those with CKD identified from the general population increased with stage. For clinical populations, the relative risk was higher. All three outcomes increased as eGFR fell. Only seven studies, and no randomised controlled trials, were identified as relevant to assessing the clinical effectiveness of early referral strategies for CKD. In the five retrospective studies constructed from cohorts starting on renal replacement therapy (RRT), mortality was reduced in the early referral group (more than 12 months prior to RRT) even as late as 5 years after initiation of RRT. Only two studies included predialysis participants. One study, in people screened for diabetic nephropathy, reported a reduction in the decline in renal function associa…","author":[{"dropping-particle":"","family":"Black","given":"C.","non-dropping-particle":"","parse-names":false,"suffix":""},{"dropping-particle":"","family":"Sharma","given":"P.","non-dropping-particle":"","parse-names":false,"suffix":""},{"dropping-particle":"","family":"Scotland","given":"G.","non-dropping-particle":"","parse-names":false,"suffix":""},{"dropping-particle":"","family":"McCullough","given":"K.","non-dropping-particle":"","parse-names":false,"suffix":""},{"dropping-particle":"","family":"McGurn","given":"D.","non-dropping-particle":"","parse-names":false,"suffix":""},{"dropping-particle":"","family":"Robertson","given":"L.","non-dropping-particle":"","parse-names":false,"suffix":""},{"dropping-particle":"","family":"Fluck","given":"N.","non-dropping-particle":"","parse-names":false,"suffix":""},{"dropping-particle":"","family":"MacLeod","given":"A.","non-dropping-particle":"","parse-names":false,"suffix":""},{"dropping-particle":"","family":"McNamee","given":"P.","non-dropping-particle":"","parse-names":false,"suffix":""},{"dropping-particle":"","family":"Prescott","given":"G.","non-dropping-particle":"","parse-names":false,"suffix":""},{"dropping-particle":"","family":"Smith","given":"C.","non-dropping-particle":"","parse-names":false,"suffix":""}],"container-title":"Health Technology Assessment","id":"ITEM-1","issue":"21","issued":{"date-parts":[["2010"]]},"page":"1-184","title":"Early referral strategies for management of people with markers of renal disease: A systematic review of the evidence of clinical effectiveness, cost-effectiveness and economic analysis","type":"article-journal","volume":"14"},"uris":["http://www.mendeley.com/documents/?uuid=b0aab27f-bda8-4edf-9bc3-322162e1fcdd"]}],"mendeley":{"formattedCitation":"(8)","plainTextFormattedCitation":"(8)","previouslyFormattedCitation":"[8]"},"properties":{"noteIndex":0},"schema":"https://github.com/citation-style-language/schema/raw/master/csl-citation.json"}</w:instrText>
      </w:r>
      <w:r w:rsidR="00BA0BD5"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(8)</w:t>
      </w:r>
      <w:r w:rsidR="00BA0BD5" w:rsidRPr="00B80F09">
        <w:rPr>
          <w:rFonts w:asciiTheme="majorBidi" w:hAnsiTheme="majorBidi" w:cstheme="majorBidi"/>
          <w:color w:val="000000"/>
        </w:rPr>
        <w:fldChar w:fldCharType="end"/>
      </w:r>
      <w:r w:rsidRPr="00B80F09">
        <w:rPr>
          <w:rFonts w:asciiTheme="majorBidi" w:hAnsiTheme="majorBidi" w:cstheme="majorBidi"/>
          <w:color w:val="000000"/>
        </w:rPr>
        <w:t xml:space="preserve">. </w:t>
      </w:r>
    </w:p>
    <w:p w14:paraId="468E2E1E" w14:textId="479C751D" w:rsidR="00F83FA6" w:rsidRPr="00B80F09" w:rsidRDefault="000B2965" w:rsidP="004D799D">
      <w:pPr>
        <w:shd w:val="clear" w:color="auto" w:fill="FFFFFF"/>
        <w:spacing w:before="100" w:beforeAutospacing="1" w:after="100" w:afterAutospacing="1"/>
        <w:jc w:val="both"/>
        <w:outlineLvl w:val="3"/>
        <w:rPr>
          <w:rFonts w:asciiTheme="majorBidi" w:hAnsiTheme="majorBidi" w:cstheme="majorBidi"/>
          <w:color w:val="000000"/>
          <w:lang w:bidi="ar-EG"/>
        </w:rPr>
      </w:pPr>
      <w:r w:rsidRPr="00B80F09">
        <w:rPr>
          <w:rFonts w:asciiTheme="majorBidi" w:hAnsiTheme="majorBidi" w:cstheme="majorBidi"/>
          <w:color w:val="000000"/>
        </w:rPr>
        <w:t xml:space="preserve"> </w:t>
      </w:r>
      <w:r w:rsidR="00DE6BFB" w:rsidRPr="00B80F09">
        <w:rPr>
          <w:rFonts w:asciiTheme="majorBidi" w:hAnsiTheme="majorBidi" w:cstheme="majorBidi"/>
          <w:color w:val="000000"/>
        </w:rPr>
        <w:t>In recent decades, there has been a growing body of evidence linking NAFLD to kidney function</w:t>
      </w:r>
      <w:r w:rsidRPr="00B80F09">
        <w:rPr>
          <w:rFonts w:asciiTheme="majorBidi" w:hAnsiTheme="majorBidi" w:cstheme="majorBidi"/>
          <w:color w:val="000000"/>
        </w:rPr>
        <w:t xml:space="preserve">. </w:t>
      </w:r>
      <w:r w:rsidR="00AA4DCE" w:rsidRPr="00B80F09">
        <w:rPr>
          <w:rFonts w:asciiTheme="majorBidi" w:hAnsiTheme="majorBidi" w:cstheme="majorBidi"/>
          <w:color w:val="000000"/>
        </w:rPr>
        <w:t>Many</w:t>
      </w:r>
      <w:r w:rsidR="006343AA" w:rsidRPr="00B80F09">
        <w:rPr>
          <w:rFonts w:asciiTheme="majorBidi" w:hAnsiTheme="majorBidi" w:cstheme="majorBidi"/>
          <w:color w:val="000000"/>
        </w:rPr>
        <w:t xml:space="preserve"> researchers have confirmed that NAFLD, which can be detected by ultrasonography, liver enzymes, or biopsy, is linked to an elevated risk of CKD</w:t>
      </w:r>
      <w:r w:rsidR="00BA0BD5"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{"citationItems":[{"id":"ITEM-1","itemData":{"DOI":"10.1016/J.METABOL.2010.07.022","ISSN":"0026-0495","PMID":"20817213","abstract":"&lt;h2&gt;Abstract&lt;/h2&gt;&lt;p&gt;Nonalcoholic fatty liver disease (NAFLD) and chronic kidney disease (CKD) share common features. Both are associated with visceral obesity, type 2 diabetes mellitus, metabolic syndrome, and insulin resistance. However, the relationship between NAFLD and CKD is poorly understood. We examined the prevalence of and risk factors for CKD in patients with NAFLD. We analyzed 174 Japanese patients with liver biopsy–proven NAFLD using a cross-sectional design. Chronic kidney disease was defined as estimated glomerular filtration rate less than 60 mL/min per 1.73 m&lt;sup&gt;2&lt;/sup&gt; and/or overt proteinuria. Of 174 NAFLD patients, 92 (53%) exhibited histologic characteristics of nonalcoholic steatohepatitis (NASH), the progressive form of NAFLD; and 82 (47%) had non-NASH NAFLD. Chronic kidney disease was present in 24 (14%) of 174 NAFLD patients. The prevalence of CKD was significantly higher in NASH patients (19 of 92; 21%) than non-NASH patients (5 of 82; 6%). The presence of CKD was associated with a higher body mass index and the presence of hypertension and NASH. Our results demonstrated a high prevalence of CKD among patients with NASH.&lt;/p&gt;","author":[{"dropping-particle":"","family":"Yasui","given":"Kohichiroh","non-dropping-particle":"","parse-names":false,"suffix":""},{"dropping-particle":"","family":"Sumida","given":"Yoshio","non-dropping-particle":"","parse-names":false,"suffix":""},{"dropping-particle":"","family":"Mori","given":"Yasukiyo","non-dropping-particle":"","parse-names":false,"suffix":""},{"dropping-particle":"","family":"Mitsuyoshi","given":"Hironori","non-dropping-particle":"","parse-names":false,"suffix":""},{"dropping-particle":"","family":"Minami","given":"Masahito","non-dropping-particle":"","parse-names":false,"suffix":""},{"dropping-particle":"","family":"Itoh","given":"Yoshito","non-dropping-particle":"","parse-names":false,"suffix":""},{"dropping-particle":"","family":"Kanemasa","given":"Kazuyuki","non-dropping-particle":"","parse-names":false,"suffix":""},{"dropping-particle":"","family":"Matsubara","given":"Hiroaki","non-dropping-particle":"","parse-names":false,"suffix":""},{"dropping-particle":"","family":"Okanoue","given":"Takeshi","non-dropping-particle":"","parse-names":false,"suffix":""},{"dropping-particle":"","family":"Yoshikawa","given":"Toshikazu","non-dropping-particle":"","parse-names":false,"suffix":""}],"container-title":"Metabolism - Clinical and Experimental","id":"ITEM-1","issue":"5","issued":{"date-parts":[["2011","5","1"]]},"page":"735-739","publisher":"Elsevier","title":"Nonalcoholic steatohepatitis and increased risk of chronic kidney disease","type":"article-journal","volume":"60"},"uris":["http://www.mendeley.com/documents/?uuid=995ce3d3-072b-370a-a713-46a61b168607"]}],"mendeley":{"formattedCitation":"(9)","plainTextFormattedCitation":"(9)","previouslyFormattedCitation":"[9]"},"properties":{"noteIndex":0},"schema":"https://github.com/citation-style-language/schema/raw/master/csl-citation.json"}</w:instrText>
      </w:r>
      <w:r w:rsidR="00BA0BD5"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(9)</w:t>
      </w:r>
      <w:r w:rsidR="00BA0BD5" w:rsidRPr="00B80F09">
        <w:rPr>
          <w:rFonts w:asciiTheme="majorBidi" w:hAnsiTheme="majorBidi" w:cstheme="majorBidi"/>
          <w:color w:val="000000"/>
        </w:rPr>
        <w:fldChar w:fldCharType="end"/>
      </w:r>
      <w:r w:rsidRPr="00B80F09">
        <w:rPr>
          <w:rFonts w:asciiTheme="majorBidi" w:hAnsiTheme="majorBidi" w:cstheme="majorBidi"/>
          <w:color w:val="000000"/>
        </w:rPr>
        <w:t>.</w:t>
      </w:r>
      <w:r w:rsidR="006343AA" w:rsidRPr="00B80F09">
        <w:rPr>
          <w:rFonts w:asciiTheme="majorBidi" w:hAnsiTheme="majorBidi" w:cstheme="majorBidi"/>
        </w:rPr>
        <w:t xml:space="preserve"> Mor</w:t>
      </w:r>
      <w:r w:rsidR="00AA4DCE" w:rsidRPr="00B80F09">
        <w:rPr>
          <w:rFonts w:asciiTheme="majorBidi" w:hAnsiTheme="majorBidi" w:cstheme="majorBidi"/>
        </w:rPr>
        <w:t>e</w:t>
      </w:r>
      <w:r w:rsidR="006343AA" w:rsidRPr="00B80F09">
        <w:rPr>
          <w:rFonts w:asciiTheme="majorBidi" w:hAnsiTheme="majorBidi" w:cstheme="majorBidi"/>
        </w:rPr>
        <w:t xml:space="preserve">over, </w:t>
      </w:r>
      <w:r w:rsidR="006343AA" w:rsidRPr="00B80F09">
        <w:rPr>
          <w:rFonts w:asciiTheme="majorBidi" w:hAnsiTheme="majorBidi" w:cstheme="majorBidi"/>
          <w:color w:val="000000"/>
        </w:rPr>
        <w:t xml:space="preserve">NAFLD, particularly with higher gamma-glutamyl transferase concentrations, appears to contribute to the development of CKD in several prospective </w:t>
      </w:r>
      <w:r w:rsidR="00DE6BFB" w:rsidRPr="00B80F09">
        <w:rPr>
          <w:rFonts w:asciiTheme="majorBidi" w:hAnsiTheme="majorBidi" w:cstheme="majorBidi"/>
          <w:color w:val="000000"/>
        </w:rPr>
        <w:t>investigations; according to the National Kidney Foundation Practice Guidelines, mild kidney function impairment occurs before CKD appears. The</w:t>
      </w:r>
      <w:r w:rsidR="002A12E4" w:rsidRPr="00B80F09">
        <w:rPr>
          <w:rFonts w:asciiTheme="majorBidi" w:hAnsiTheme="majorBidi" w:cstheme="majorBidi"/>
          <w:color w:val="000000"/>
        </w:rPr>
        <w:t xml:space="preserve"> </w:t>
      </w:r>
      <w:r w:rsidR="00DE6BFB" w:rsidRPr="00B80F09">
        <w:rPr>
          <w:rFonts w:asciiTheme="majorBidi" w:hAnsiTheme="majorBidi" w:cstheme="majorBidi"/>
          <w:color w:val="000000"/>
        </w:rPr>
        <w:t xml:space="preserve">unfavorable adverse </w:t>
      </w:r>
      <w:r w:rsidR="002A12E4" w:rsidRPr="00B80F09">
        <w:rPr>
          <w:rFonts w:asciiTheme="majorBidi" w:hAnsiTheme="majorBidi" w:cstheme="majorBidi"/>
          <w:color w:val="000000"/>
        </w:rPr>
        <w:t>e</w:t>
      </w:r>
      <w:r w:rsidR="00DE6BFB" w:rsidRPr="00B80F09">
        <w:rPr>
          <w:rFonts w:asciiTheme="majorBidi" w:hAnsiTheme="majorBidi" w:cstheme="majorBidi"/>
          <w:color w:val="000000"/>
        </w:rPr>
        <w:t>ffe</w:t>
      </w:r>
      <w:r w:rsidR="002A12E4" w:rsidRPr="00B80F09">
        <w:rPr>
          <w:rFonts w:asciiTheme="majorBidi" w:hAnsiTheme="majorBidi" w:cstheme="majorBidi"/>
          <w:color w:val="000000"/>
        </w:rPr>
        <w:t>cts of CKD may be averted or postponed if MKFD can be recognized and treated in time</w:t>
      </w:r>
      <w:r w:rsidR="00651167" w:rsidRPr="00B80F09">
        <w:rPr>
          <w:rFonts w:asciiTheme="majorBidi" w:hAnsiTheme="majorBidi" w:cstheme="majorBidi"/>
          <w:color w:val="000000"/>
        </w:rPr>
        <w:fldChar w:fldCharType="begin" w:fldLock="1"/>
      </w:r>
      <w:r w:rsidR="0063099F" w:rsidRPr="00B80F09">
        <w:rPr>
          <w:rFonts w:asciiTheme="majorBidi" w:hAnsiTheme="majorBidi" w:cstheme="majorBidi"/>
          <w:color w:val="000000"/>
        </w:rPr>
        <w:instrText>ADDIN CSL_CITATION {"citationItems":[{"id":"ITEM-1","itemData":{"DOI":"10.7326/0003-4819-139-2-200307150-00013/ASSET/IMAGES/LARGE/13FF2.JPEG","ISSN":"00034819","PMID":"12859163","abstract":"Chronic kidney disease is a worldwide public health problem with an increasing incidence and prevalence, poor outcomes, and high cost. Outcomes of chronic kidney disease include not only kidney failure but also complications of decreased kidney function and cardiovascular disease. Current evidence suggests that some of these adverse outcomes can be prevented or delayed by early detection and treatment. Unfortunately, chronic kidney disease is underdiagnosed and undertreated, in part as a result of lack of agreement on a definition and classification of its stages of progression. Recent clinical practice guidelines by the National Kidney Foundation 1) define chronic kidney disease and classify its stages, regardless of underlying cause, 2) evaluate laboratory measurements for the clinical assessment of kidney disease, 3) associate the level of kidney function with complications of chronic kidney disease, and 4) stratify the risk for loss of kidney function and development of cardiovascular disease. The guidelines were developed by using an approach based on the procedure outlined by the Agency for Healthcare Research and Quality. This paper presents the definition and five-stage classification system of chronic kidney disease and summarizes the major recommendations on early detection in adults. Recommendations include identifying persons at increased risk (those with diabetes, those with hypertension, those with a family history of chronic kidney disease, those older than 60 years of age, or those with U.S. racial or ethnic minority status), detecting kidney damage by measuring the albumin-creatinine ratio in untimed (\"spot\") urine specimens, and estimating the glomerular filtration rate from serum creatinine measurements by using prediction equations. Because of the high prevalence of early stages of chronic kidney disease in the general population (approximately 11% of adults), this information is particularly important for general internists and specialists.","author":[{"dropping-particle":"","family":"Levey","given":"Andrew S.","non-dropping-particle":"","parse-names":false,"suffix":""},{"dropping-particle":"","family":"Coresh","given":"Josef","non-dropping-particle":"","parse-names":false,"suffix":""},{"dropping-particle":"","family":"Balk","given":"Ethan","non-dropping-particle":"","parse-names":false,"suffix":""},{"dropping-particle":"","family":"Kausz","given":"Annamaria T.","non-dropping-particle":"","parse-names":false,"suffix":""},{"dropping-particle":"","family":"Levin","given":"Adeera","non-dropping-particle":"","parse-names":false,"suffix":""},{"dropping-particle":"","family":"Steffes","given":"Michael W.","non-dropping-particle":"","parse-names":false,"suffix":""},{"dropping-particle":"","family":"Hogg","given":"Ronald J.","non-dropping-particle":"","parse-names":false,"suffix":""},{"dropping-particle":"","family":"Perrone","given":"Ronald D.","non-dropping-particle":"","parse-names":false,"suffix":""},{"dropping-particle":"","family":"Lau","given":"Joseph","non-dropping-particle":"","parse-names":false,"suffix":""},{"dropping-particle":"","family":"Eknoyan","given":"Garabed","non-dropping-particle":"","parse-names":false,"suffix":""},{"dropping-particle":"","family":"Willis","given":"Kerry","non-dropping-particle":"","parse-names":false,"suffix":""}],"container-title":"Annals of Internal Medicine","id":"ITEM-1","issue":"2","issued":{"date-parts":[["2003","7","15"]]},"publisher":"American College of Physicians","title":"National Kidney Foundation Practice Guidelines for Chronic Kidney Disease: Evaluation, Classification, and Stratification","type":"article-journal","volume":"139"},"uris":["http://www.mendeley.com/documents/?uuid=e370c5f2-1d21-3fff-86bb-76f2be4173df"]}],"mendeley":{"formattedCitation":"(11)","plainTextFormattedCitation":"(11)","previouslyFormattedCitation":"[11]"},"properties":{"noteIndex":0},"schema":"https://github.com/citation-style-language/schema/raw/master/csl-citation.json"}</w:instrText>
      </w:r>
      <w:r w:rsidR="00651167" w:rsidRPr="00B80F09">
        <w:rPr>
          <w:rFonts w:asciiTheme="majorBidi" w:hAnsiTheme="majorBidi" w:cstheme="majorBidi"/>
          <w:color w:val="000000"/>
        </w:rPr>
        <w:fldChar w:fldCharType="separate"/>
      </w:r>
      <w:r w:rsidR="0063099F" w:rsidRPr="00B80F09">
        <w:rPr>
          <w:rFonts w:asciiTheme="majorBidi" w:hAnsiTheme="majorBidi" w:cstheme="majorBidi"/>
          <w:noProof/>
          <w:color w:val="000000"/>
        </w:rPr>
        <w:t>(11)</w:t>
      </w:r>
      <w:r w:rsidR="00651167" w:rsidRPr="00B80F09">
        <w:rPr>
          <w:rFonts w:asciiTheme="majorBidi" w:hAnsiTheme="majorBidi" w:cstheme="majorBidi"/>
          <w:color w:val="000000"/>
        </w:rPr>
        <w:fldChar w:fldCharType="end"/>
      </w:r>
      <w:r w:rsidR="00651167" w:rsidRPr="00B80F09">
        <w:rPr>
          <w:rFonts w:asciiTheme="majorBidi" w:hAnsiTheme="majorBidi" w:cstheme="majorBidi"/>
          <w:color w:val="000000"/>
        </w:rPr>
        <w:t>.</w:t>
      </w:r>
      <w:r w:rsidR="003E62F3" w:rsidRPr="00B80F09">
        <w:rPr>
          <w:rFonts w:asciiTheme="majorBidi" w:hAnsiTheme="majorBidi" w:cstheme="majorBidi"/>
          <w:color w:val="000000"/>
        </w:rPr>
        <w:t xml:space="preserve"> </w:t>
      </w:r>
      <w:r w:rsidR="0019455A" w:rsidRPr="00B80F09">
        <w:rPr>
          <w:rFonts w:asciiTheme="majorBidi" w:hAnsiTheme="majorBidi" w:cstheme="majorBidi"/>
          <w:color w:val="000000"/>
        </w:rPr>
        <w:t xml:space="preserve">So, </w:t>
      </w:r>
      <w:r w:rsidR="00DE6BFB" w:rsidRPr="00B80F09">
        <w:rPr>
          <w:rFonts w:asciiTheme="majorBidi" w:hAnsiTheme="majorBidi" w:cstheme="majorBidi"/>
          <w:color w:val="000000"/>
        </w:rPr>
        <w:t>this study aim</w:t>
      </w:r>
      <w:r w:rsidR="003E62F3" w:rsidRPr="00B80F09">
        <w:rPr>
          <w:rFonts w:asciiTheme="majorBidi" w:hAnsiTheme="majorBidi" w:cstheme="majorBidi"/>
          <w:color w:val="000000"/>
        </w:rPr>
        <w:t>s</w:t>
      </w:r>
      <w:r w:rsidR="00DE6BFB" w:rsidRPr="00B80F09">
        <w:rPr>
          <w:rFonts w:asciiTheme="majorBidi" w:hAnsiTheme="majorBidi" w:cstheme="majorBidi"/>
          <w:color w:val="000000"/>
        </w:rPr>
        <w:t xml:space="preserve"> to assess</w:t>
      </w:r>
      <w:r w:rsidR="003E62F3" w:rsidRPr="00B80F09">
        <w:rPr>
          <w:rFonts w:asciiTheme="majorBidi" w:hAnsiTheme="majorBidi" w:cstheme="majorBidi"/>
          <w:color w:val="000000"/>
        </w:rPr>
        <w:t xml:space="preserve"> the p</w:t>
      </w:r>
      <w:r w:rsidR="00AA4DCE" w:rsidRPr="00B80F09">
        <w:rPr>
          <w:rFonts w:asciiTheme="majorBidi" w:hAnsiTheme="majorBidi" w:cstheme="majorBidi"/>
          <w:color w:val="000000"/>
        </w:rPr>
        <w:t>er</w:t>
      </w:r>
      <w:r w:rsidR="0019455A" w:rsidRPr="00B80F09">
        <w:rPr>
          <w:rFonts w:asciiTheme="majorBidi" w:hAnsiTheme="majorBidi" w:cstheme="majorBidi"/>
          <w:color w:val="000000"/>
        </w:rPr>
        <w:t>centage of chronic kidney disease in NAFLD patients</w:t>
      </w:r>
      <w:r w:rsidR="0019455A" w:rsidRPr="00B80F09">
        <w:rPr>
          <w:rFonts w:asciiTheme="majorBidi" w:hAnsiTheme="majorBidi" w:cstheme="majorBidi"/>
          <w:color w:val="000000"/>
          <w:rtl/>
        </w:rPr>
        <w:t xml:space="preserve"> </w:t>
      </w:r>
      <w:r w:rsidR="0019455A" w:rsidRPr="00B80F09">
        <w:rPr>
          <w:rFonts w:asciiTheme="majorBidi" w:hAnsiTheme="majorBidi" w:cstheme="majorBidi"/>
          <w:color w:val="000000"/>
        </w:rPr>
        <w:t xml:space="preserve">and </w:t>
      </w:r>
      <w:r w:rsidR="003E62F3" w:rsidRPr="00B80F09">
        <w:rPr>
          <w:rFonts w:asciiTheme="majorBidi" w:hAnsiTheme="majorBidi" w:cstheme="majorBidi"/>
          <w:color w:val="000000"/>
        </w:rPr>
        <w:t>whether</w:t>
      </w:r>
      <w:r w:rsidR="0019455A" w:rsidRPr="00B80F09">
        <w:rPr>
          <w:rFonts w:asciiTheme="majorBidi" w:hAnsiTheme="majorBidi" w:cstheme="majorBidi"/>
          <w:color w:val="000000"/>
        </w:rPr>
        <w:t xml:space="preserve"> there </w:t>
      </w:r>
      <w:r w:rsidR="003E62F3" w:rsidRPr="00B80F09">
        <w:rPr>
          <w:rFonts w:asciiTheme="majorBidi" w:hAnsiTheme="majorBidi" w:cstheme="majorBidi"/>
          <w:color w:val="000000"/>
        </w:rPr>
        <w:t>i</w:t>
      </w:r>
      <w:r w:rsidR="0019455A" w:rsidRPr="00B80F09">
        <w:rPr>
          <w:rFonts w:asciiTheme="majorBidi" w:hAnsiTheme="majorBidi" w:cstheme="majorBidi"/>
          <w:color w:val="000000"/>
        </w:rPr>
        <w:t xml:space="preserve">s a </w:t>
      </w:r>
      <w:r w:rsidR="003E62F3" w:rsidRPr="00B80F09">
        <w:rPr>
          <w:rFonts w:asciiTheme="majorBidi" w:hAnsiTheme="majorBidi" w:cstheme="majorBidi"/>
          <w:color w:val="000000"/>
        </w:rPr>
        <w:t>r</w:t>
      </w:r>
      <w:r w:rsidR="00DE6BFB" w:rsidRPr="00B80F09">
        <w:rPr>
          <w:rFonts w:asciiTheme="majorBidi" w:hAnsiTheme="majorBidi" w:cstheme="majorBidi"/>
          <w:color w:val="000000"/>
        </w:rPr>
        <w:t>is</w:t>
      </w:r>
      <w:r w:rsidR="0019455A" w:rsidRPr="00B80F09">
        <w:rPr>
          <w:rFonts w:asciiTheme="majorBidi" w:hAnsiTheme="majorBidi" w:cstheme="majorBidi"/>
          <w:color w:val="000000"/>
        </w:rPr>
        <w:t>k betw</w:t>
      </w:r>
      <w:r w:rsidR="003E62F3" w:rsidRPr="00B80F09">
        <w:rPr>
          <w:rFonts w:asciiTheme="majorBidi" w:hAnsiTheme="majorBidi" w:cstheme="majorBidi"/>
          <w:color w:val="000000"/>
        </w:rPr>
        <w:t xml:space="preserve">een </w:t>
      </w:r>
      <w:r w:rsidR="0019455A" w:rsidRPr="00B80F09">
        <w:rPr>
          <w:rFonts w:asciiTheme="majorBidi" w:hAnsiTheme="majorBidi" w:cstheme="majorBidi"/>
          <w:color w:val="000000"/>
        </w:rPr>
        <w:t>hepatic fibrosis and CKD.</w:t>
      </w:r>
    </w:p>
    <w:p w14:paraId="578C0F7C" w14:textId="77777777" w:rsidR="00F83FA6" w:rsidRPr="00B80F09" w:rsidRDefault="00F83FA6" w:rsidP="004D799D">
      <w:pPr>
        <w:tabs>
          <w:tab w:val="left" w:pos="4690"/>
        </w:tabs>
        <w:autoSpaceDE w:val="0"/>
        <w:autoSpaceDN w:val="0"/>
        <w:adjustRightInd w:val="0"/>
        <w:rPr>
          <w:rFonts w:asciiTheme="majorBidi" w:hAnsiTheme="majorBidi" w:cstheme="majorBidi"/>
          <w:b/>
          <w:bCs/>
        </w:rPr>
      </w:pPr>
      <w:r w:rsidRPr="00B80F09">
        <w:rPr>
          <w:rFonts w:asciiTheme="majorBidi" w:hAnsiTheme="majorBidi" w:cstheme="majorBidi"/>
          <w:b/>
          <w:bCs/>
        </w:rPr>
        <w:t>Methodology:</w:t>
      </w:r>
    </w:p>
    <w:p w14:paraId="2402CBD7" w14:textId="2C0D824E" w:rsidR="00F83FA6" w:rsidRPr="00B80F09" w:rsidRDefault="00F83FA6" w:rsidP="00AA3D05">
      <w:pPr>
        <w:jc w:val="both"/>
        <w:rPr>
          <w:rFonts w:asciiTheme="majorBidi" w:eastAsia="Calibri" w:hAnsiTheme="majorBidi" w:cstheme="majorBidi"/>
          <w:lang w:bidi="hi-IN"/>
        </w:rPr>
      </w:pPr>
      <w:r w:rsidRPr="00B80F09">
        <w:rPr>
          <w:rFonts w:asciiTheme="majorBidi" w:eastAsia="Calibri" w:hAnsiTheme="majorBidi" w:cstheme="majorBidi"/>
          <w:lang w:bidi="hi-IN"/>
        </w:rPr>
        <w:t xml:space="preserve">A </w:t>
      </w:r>
      <w:r w:rsidR="00401005" w:rsidRPr="00B80F09">
        <w:rPr>
          <w:rFonts w:asciiTheme="majorBidi" w:eastAsia="Calibri" w:hAnsiTheme="majorBidi" w:cstheme="majorBidi"/>
          <w:lang w:bidi="hi-IN"/>
        </w:rPr>
        <w:t>case-control</w:t>
      </w:r>
      <w:r w:rsidRPr="00B80F09">
        <w:rPr>
          <w:rFonts w:asciiTheme="majorBidi" w:eastAsia="Calibri" w:hAnsiTheme="majorBidi" w:cstheme="majorBidi"/>
          <w:lang w:bidi="hi-IN"/>
        </w:rPr>
        <w:t xml:space="preserve"> study </w:t>
      </w:r>
      <w:r w:rsidR="00F540FB" w:rsidRPr="00B80F09">
        <w:rPr>
          <w:rFonts w:asciiTheme="majorBidi" w:eastAsia="Calibri" w:hAnsiTheme="majorBidi" w:cstheme="majorBidi"/>
          <w:lang w:bidi="hi-IN"/>
        </w:rPr>
        <w:t>evaluated</w:t>
      </w:r>
      <w:r w:rsidRPr="00B80F09">
        <w:rPr>
          <w:rFonts w:asciiTheme="majorBidi" w:eastAsia="Calibri" w:hAnsiTheme="majorBidi" w:cstheme="majorBidi"/>
          <w:lang w:bidi="hi-IN"/>
        </w:rPr>
        <w:t xml:space="preserve"> 62 non-alcoholic fatty liver diseases patients (23 men,</w:t>
      </w:r>
      <w:r w:rsidR="00CE79F7" w:rsidRPr="00B80F09">
        <w:rPr>
          <w:rFonts w:asciiTheme="majorBidi" w:eastAsia="Calibri" w:hAnsiTheme="majorBidi" w:cstheme="majorBidi"/>
          <w:lang w:bidi="hi-IN"/>
        </w:rPr>
        <w:t xml:space="preserve"> </w:t>
      </w:r>
      <w:r w:rsidRPr="00B80F09">
        <w:rPr>
          <w:rFonts w:asciiTheme="majorBidi" w:eastAsia="Calibri" w:hAnsiTheme="majorBidi" w:cstheme="majorBidi"/>
          <w:lang w:bidi="hi-IN"/>
        </w:rPr>
        <w:t>39</w:t>
      </w:r>
      <w:r w:rsidR="00CE79F7" w:rsidRPr="00B80F09">
        <w:rPr>
          <w:rFonts w:asciiTheme="majorBidi" w:eastAsia="Calibri" w:hAnsiTheme="majorBidi" w:cstheme="majorBidi"/>
          <w:lang w:bidi="hi-IN"/>
        </w:rPr>
        <w:t xml:space="preserve"> </w:t>
      </w:r>
      <w:r w:rsidRPr="00B80F09">
        <w:rPr>
          <w:rFonts w:asciiTheme="majorBidi" w:eastAsia="Calibri" w:hAnsiTheme="majorBidi" w:cstheme="majorBidi"/>
          <w:lang w:bidi="hi-IN"/>
        </w:rPr>
        <w:t xml:space="preserve">women) presented to the Tropical Medicine and Gastroenterology outpatient clinic of </w:t>
      </w:r>
      <w:proofErr w:type="spellStart"/>
      <w:r w:rsidR="00401005" w:rsidRPr="00B80F09">
        <w:rPr>
          <w:rFonts w:asciiTheme="majorBidi" w:eastAsia="Calibri" w:hAnsiTheme="majorBidi" w:cstheme="majorBidi"/>
          <w:lang w:bidi="hi-IN"/>
        </w:rPr>
        <w:t>Sohag</w:t>
      </w:r>
      <w:proofErr w:type="spellEnd"/>
      <w:r w:rsidR="00401005" w:rsidRPr="00B80F09">
        <w:rPr>
          <w:rFonts w:asciiTheme="majorBidi" w:eastAsia="Calibri" w:hAnsiTheme="majorBidi" w:cstheme="majorBidi"/>
          <w:lang w:bidi="hi-IN"/>
        </w:rPr>
        <w:t xml:space="preserve"> University</w:t>
      </w:r>
      <w:r w:rsidR="005E7138" w:rsidRPr="00B80F09">
        <w:rPr>
          <w:rFonts w:asciiTheme="majorBidi" w:eastAsia="Calibri" w:hAnsiTheme="majorBidi" w:cstheme="majorBidi"/>
          <w:lang w:bidi="hi-IN"/>
        </w:rPr>
        <w:t xml:space="preserve"> </w:t>
      </w:r>
      <w:r w:rsidRPr="00B80F09">
        <w:rPr>
          <w:rFonts w:asciiTheme="majorBidi" w:eastAsia="Calibri" w:hAnsiTheme="majorBidi" w:cstheme="majorBidi"/>
          <w:lang w:bidi="hi-IN"/>
        </w:rPr>
        <w:t>Hospitals and a control group of 38 volunteers (11 men, 27 women) with apparently healthy liver (normal echo-pattern by ultrasound) from February 2021 to July 2021</w:t>
      </w:r>
      <w:bookmarkStart w:id="4" w:name="_Hlk123402473"/>
      <w:r w:rsidRPr="00B80F09">
        <w:rPr>
          <w:rFonts w:asciiTheme="majorBidi" w:eastAsia="Calibri" w:hAnsiTheme="majorBidi" w:cstheme="majorBidi"/>
          <w:lang w:bidi="hi-IN"/>
        </w:rPr>
        <w:t>.</w:t>
      </w:r>
      <w:r w:rsidR="00AA3D05" w:rsidRPr="00B80F09">
        <w:rPr>
          <w:rFonts w:asciiTheme="majorBidi" w:eastAsia="Calibri" w:hAnsiTheme="majorBidi" w:cstheme="majorBidi"/>
          <w:lang w:bidi="hi-IN"/>
        </w:rPr>
        <w:t xml:space="preserve"> </w:t>
      </w:r>
      <w:r w:rsidR="00DE6BFB" w:rsidRPr="00B80F09">
        <w:rPr>
          <w:rFonts w:asciiTheme="majorBidi" w:eastAsia="Calibri" w:hAnsiTheme="majorBidi" w:cstheme="majorBidi"/>
          <w:lang w:bidi="hi-IN"/>
        </w:rPr>
        <w:t>On abdominal ultrasound examination, patients showing bright echo patterns of the liver w</w:t>
      </w:r>
      <w:r w:rsidR="00AA3D05" w:rsidRPr="00B80F09">
        <w:rPr>
          <w:rFonts w:asciiTheme="majorBidi" w:eastAsia="Calibri" w:hAnsiTheme="majorBidi" w:cstheme="majorBidi"/>
          <w:lang w:bidi="hi-IN"/>
        </w:rPr>
        <w:t xml:space="preserve">ere included in the study. </w:t>
      </w:r>
      <w:bookmarkEnd w:id="4"/>
      <w:r w:rsidRPr="00B80F09">
        <w:rPr>
          <w:rFonts w:asciiTheme="majorBidi" w:eastAsia="Calibri" w:hAnsiTheme="majorBidi" w:cstheme="majorBidi"/>
          <w:lang w:bidi="hi-IN"/>
        </w:rPr>
        <w:t xml:space="preserve">Patients with diabetes Mellitus, hypertension, thyroid disorders, chronic kidney disorders, chronic liver disorders rather than NAFLD, and patients with a history of intake of alcohol, statins, </w:t>
      </w:r>
      <w:r w:rsidR="00401005" w:rsidRPr="00B80F09">
        <w:rPr>
          <w:rFonts w:asciiTheme="majorBidi" w:eastAsia="Calibri" w:hAnsiTheme="majorBidi" w:cstheme="majorBidi"/>
          <w:lang w:bidi="hi-IN"/>
        </w:rPr>
        <w:t>nephrotoxic drugs such as</w:t>
      </w:r>
      <w:r w:rsidR="00401005" w:rsidRPr="0006159D">
        <w:rPr>
          <w:rFonts w:asciiTheme="majorBidi" w:eastAsia="Calibri" w:hAnsiTheme="majorBidi" w:cstheme="majorBidi"/>
          <w:lang w:bidi="hi-IN"/>
        </w:rPr>
        <w:t xml:space="preserve"> </w:t>
      </w:r>
      <w:r w:rsidR="00401005" w:rsidRPr="00B80F09">
        <w:rPr>
          <w:rFonts w:asciiTheme="majorBidi" w:eastAsia="Calibri" w:hAnsiTheme="majorBidi" w:cstheme="majorBidi"/>
          <w:lang w:bidi="hi-IN"/>
        </w:rPr>
        <w:t xml:space="preserve">NSAIDs and antibiotics, </w:t>
      </w:r>
      <w:r w:rsidRPr="00B80F09">
        <w:rPr>
          <w:rFonts w:asciiTheme="majorBidi" w:eastAsia="Calibri" w:hAnsiTheme="majorBidi" w:cstheme="majorBidi"/>
          <w:lang w:bidi="hi-IN"/>
        </w:rPr>
        <w:t>and steroids were excluded from the study.</w:t>
      </w:r>
      <w:r w:rsidR="00524C54" w:rsidRPr="00B80F09">
        <w:rPr>
          <w:rFonts w:asciiTheme="majorBidi" w:eastAsia="Calibri" w:hAnsiTheme="majorBidi" w:cstheme="majorBidi"/>
          <w:lang w:bidi="hi-IN"/>
        </w:rPr>
        <w:t xml:space="preserve"> </w:t>
      </w:r>
      <w:r w:rsidRPr="00B80F09">
        <w:rPr>
          <w:rFonts w:asciiTheme="majorBidi" w:eastAsia="Calibri" w:hAnsiTheme="majorBidi" w:cstheme="majorBidi"/>
          <w:lang w:bidi="hi-IN"/>
        </w:rPr>
        <w:t>After approval of the study protocol, informed written consent was taken from patients and volunteers. All included patients were subjected to</w:t>
      </w:r>
      <w:r w:rsidR="00DE6BFB" w:rsidRPr="00B80F09">
        <w:rPr>
          <w:rFonts w:asciiTheme="majorBidi" w:eastAsia="Calibri" w:hAnsiTheme="majorBidi" w:cstheme="majorBidi"/>
          <w:lang w:bidi="hi-IN"/>
        </w:rPr>
        <w:t xml:space="preserve"> the following</w:t>
      </w:r>
      <w:r w:rsidRPr="00B80F09">
        <w:rPr>
          <w:rFonts w:asciiTheme="majorBidi" w:eastAsia="Calibri" w:hAnsiTheme="majorBidi" w:cstheme="majorBidi"/>
          <w:lang w:bidi="hi-IN"/>
        </w:rPr>
        <w:t xml:space="preserve">: </w:t>
      </w:r>
    </w:p>
    <w:p w14:paraId="1A52C2C9" w14:textId="0C9159E7" w:rsidR="00F83FA6" w:rsidRPr="00B80F09" w:rsidRDefault="00282CBB" w:rsidP="004D799D">
      <w:pPr>
        <w:numPr>
          <w:ilvl w:val="0"/>
          <w:numId w:val="1"/>
        </w:numPr>
        <w:spacing w:after="160"/>
        <w:contextualSpacing/>
        <w:rPr>
          <w:rFonts w:asciiTheme="majorBidi" w:eastAsia="Calibri" w:hAnsiTheme="majorBidi" w:cstheme="majorBidi"/>
        </w:rPr>
      </w:pPr>
      <w:r w:rsidRPr="00B80F09">
        <w:rPr>
          <w:rFonts w:asciiTheme="majorBidi" w:hAnsiTheme="majorBidi" w:cstheme="majorBidi"/>
          <w:color w:val="000000"/>
        </w:rPr>
        <w:t xml:space="preserve"> Comprehensive medical history and physical assessment</w:t>
      </w:r>
      <w:r w:rsidR="00F83FA6" w:rsidRPr="00B80F09">
        <w:rPr>
          <w:rFonts w:asciiTheme="majorBidi" w:hAnsiTheme="majorBidi" w:cstheme="majorBidi"/>
          <w:color w:val="000000"/>
        </w:rPr>
        <w:t>.</w:t>
      </w:r>
    </w:p>
    <w:p w14:paraId="74075E07" w14:textId="07AB0011" w:rsidR="00F83FA6" w:rsidRPr="00B80F09" w:rsidRDefault="00F83FA6" w:rsidP="004D799D">
      <w:pPr>
        <w:numPr>
          <w:ilvl w:val="0"/>
          <w:numId w:val="1"/>
        </w:numPr>
        <w:spacing w:before="240" w:after="160"/>
        <w:contextualSpacing/>
        <w:rPr>
          <w:rFonts w:asciiTheme="majorBidi" w:eastAsia="Times New Roman" w:hAnsiTheme="majorBidi" w:cstheme="majorBidi"/>
          <w:lang w:val="da-DK"/>
        </w:rPr>
      </w:pPr>
      <w:r w:rsidRPr="00B80F09">
        <w:rPr>
          <w:rFonts w:asciiTheme="majorBidi" w:eastAsia="Times New Roman" w:hAnsiTheme="majorBidi" w:cstheme="majorBidi"/>
        </w:rPr>
        <w:t>Body ma</w:t>
      </w:r>
      <w:r w:rsidR="0015062B" w:rsidRPr="00B80F09">
        <w:rPr>
          <w:rFonts w:asciiTheme="majorBidi" w:eastAsia="Times New Roman" w:hAnsiTheme="majorBidi" w:cstheme="majorBidi"/>
        </w:rPr>
        <w:t>s</w:t>
      </w:r>
      <w:r w:rsidRPr="00B80F09">
        <w:rPr>
          <w:rFonts w:asciiTheme="majorBidi" w:eastAsia="Times New Roman" w:hAnsiTheme="majorBidi" w:cstheme="majorBidi"/>
        </w:rPr>
        <w:t xml:space="preserve">s BMI was </w:t>
      </w:r>
      <w:r w:rsidR="00F540FB" w:rsidRPr="00B80F09">
        <w:rPr>
          <w:rFonts w:asciiTheme="majorBidi" w:eastAsia="Times New Roman" w:hAnsiTheme="majorBidi" w:cstheme="majorBidi"/>
        </w:rPr>
        <w:t>estimated</w:t>
      </w:r>
      <w:r w:rsidRPr="00B80F09">
        <w:rPr>
          <w:rFonts w:asciiTheme="majorBidi" w:eastAsia="Times New Roman" w:hAnsiTheme="majorBidi" w:cstheme="majorBidi"/>
        </w:rPr>
        <w:t xml:space="preserve"> (</w:t>
      </w:r>
      <w:r w:rsidRPr="00B80F09">
        <w:rPr>
          <w:rFonts w:asciiTheme="majorBidi" w:hAnsiTheme="majorBidi" w:cstheme="majorBidi"/>
        </w:rPr>
        <w:t xml:space="preserve">BMI </w:t>
      </w:r>
      <w:r w:rsidRPr="00B80F09">
        <w:rPr>
          <w:rStyle w:val="apple-style-span"/>
          <w:rFonts w:asciiTheme="majorBidi" w:hAnsiTheme="majorBidi" w:cstheme="majorBidi"/>
          <w:color w:val="000000"/>
        </w:rPr>
        <w:t>(kg/m</w:t>
      </w:r>
      <w:r w:rsidRPr="00B80F09">
        <w:rPr>
          <w:rStyle w:val="apple-style-span"/>
          <w:rFonts w:asciiTheme="majorBidi" w:hAnsiTheme="majorBidi" w:cstheme="majorBidi"/>
          <w:color w:val="000000"/>
          <w:vertAlign w:val="superscript"/>
        </w:rPr>
        <w:t>2</w:t>
      </w:r>
      <w:r w:rsidRPr="00B80F09">
        <w:rPr>
          <w:rStyle w:val="apple-style-span"/>
          <w:rFonts w:asciiTheme="majorBidi" w:hAnsiTheme="majorBidi" w:cstheme="majorBidi"/>
          <w:color w:val="000000"/>
        </w:rPr>
        <w:t>)</w:t>
      </w:r>
      <w:r w:rsidRPr="00B80F09">
        <w:rPr>
          <w:rFonts w:asciiTheme="majorBidi" w:hAnsiTheme="majorBidi" w:cstheme="majorBidi"/>
        </w:rPr>
        <w:t xml:space="preserve"> = weight in kilograms / (height in meters)</w:t>
      </w:r>
      <w:r w:rsidR="00795BD1" w:rsidRPr="00B80F09">
        <w:rPr>
          <w:rFonts w:asciiTheme="majorBidi" w:hAnsiTheme="majorBidi" w:cstheme="majorBidi"/>
          <w:vertAlign w:val="superscript"/>
        </w:rPr>
        <w:t>2</w:t>
      </w:r>
      <w:r w:rsidR="00795BD1" w:rsidRPr="00B80F09">
        <w:rPr>
          <w:rFonts w:asciiTheme="majorBidi" w:hAnsiTheme="majorBidi" w:cstheme="majorBidi"/>
        </w:rPr>
        <w:t>)</w:t>
      </w:r>
      <w:r w:rsidR="00ED79D2" w:rsidRPr="00B80F09">
        <w:rPr>
          <w:rFonts w:asciiTheme="majorBidi" w:hAnsiTheme="majorBidi" w:cstheme="majorBidi"/>
        </w:rPr>
        <w:t>.</w:t>
      </w:r>
    </w:p>
    <w:p w14:paraId="59AF178C" w14:textId="77777777" w:rsidR="00F83FA6" w:rsidRPr="00B80F09" w:rsidRDefault="00F83FA6" w:rsidP="004D799D">
      <w:pPr>
        <w:numPr>
          <w:ilvl w:val="0"/>
          <w:numId w:val="1"/>
        </w:numPr>
        <w:spacing w:after="160"/>
        <w:contextualSpacing/>
        <w:rPr>
          <w:rFonts w:asciiTheme="majorBidi" w:eastAsia="Times New Roman" w:hAnsiTheme="majorBidi" w:cstheme="majorBidi"/>
          <w:lang w:val="da-DK"/>
        </w:rPr>
      </w:pPr>
      <w:r w:rsidRPr="00B80F09">
        <w:rPr>
          <w:rFonts w:asciiTheme="majorBidi" w:eastAsia="Times New Roman" w:hAnsiTheme="majorBidi" w:cstheme="majorBidi"/>
          <w:lang w:val="da-DK"/>
        </w:rPr>
        <w:t>Waist circumference measurement: assessed horizontally at the level of the umbilicus.</w:t>
      </w:r>
    </w:p>
    <w:p w14:paraId="2D272A01" w14:textId="402D2C9A" w:rsidR="00F83FA6" w:rsidRPr="00B80F09" w:rsidRDefault="00F83FA6" w:rsidP="004D799D">
      <w:pPr>
        <w:numPr>
          <w:ilvl w:val="0"/>
          <w:numId w:val="1"/>
        </w:numPr>
        <w:spacing w:after="160"/>
        <w:contextualSpacing/>
        <w:rPr>
          <w:rFonts w:asciiTheme="majorBidi" w:eastAsia="Calibri" w:hAnsiTheme="majorBidi" w:cstheme="majorBidi"/>
          <w:b/>
          <w:bCs/>
        </w:rPr>
      </w:pPr>
      <w:r w:rsidRPr="00B80F09">
        <w:rPr>
          <w:rFonts w:asciiTheme="majorBidi" w:eastAsia="Calibri" w:hAnsiTheme="majorBidi" w:cstheme="majorBidi"/>
          <w:b/>
          <w:bCs/>
        </w:rPr>
        <w:t xml:space="preserve">Laboratory investigations: after overnight fasting,10 ml of blood </w:t>
      </w:r>
      <w:r w:rsidR="00466C8F" w:rsidRPr="00B80F09">
        <w:rPr>
          <w:rFonts w:asciiTheme="majorBidi" w:eastAsia="Calibri" w:hAnsiTheme="majorBidi" w:cstheme="majorBidi"/>
          <w:b/>
          <w:bCs/>
        </w:rPr>
        <w:t>was</w:t>
      </w:r>
      <w:r w:rsidRPr="00B80F09">
        <w:rPr>
          <w:rFonts w:asciiTheme="majorBidi" w:eastAsia="Calibri" w:hAnsiTheme="majorBidi" w:cstheme="majorBidi"/>
          <w:b/>
          <w:bCs/>
        </w:rPr>
        <w:t xml:space="preserve"> taken and examined for </w:t>
      </w:r>
    </w:p>
    <w:p w14:paraId="52834187" w14:textId="77777777" w:rsidR="00F83FA6" w:rsidRPr="00B80F09" w:rsidRDefault="00F83FA6" w:rsidP="004D799D">
      <w:pPr>
        <w:numPr>
          <w:ilvl w:val="0"/>
          <w:numId w:val="2"/>
        </w:numPr>
        <w:spacing w:after="160"/>
        <w:contextualSpacing/>
        <w:rPr>
          <w:rFonts w:asciiTheme="majorBidi" w:eastAsia="Calibri" w:hAnsiTheme="majorBidi" w:cstheme="majorBidi"/>
          <w:lang w:bidi="ar-EG"/>
        </w:rPr>
      </w:pPr>
      <w:r w:rsidRPr="00B80F09">
        <w:rPr>
          <w:rFonts w:asciiTheme="majorBidi" w:eastAsia="Calibri" w:hAnsiTheme="majorBidi" w:cstheme="majorBidi"/>
        </w:rPr>
        <w:t>Fasting blood sugar</w:t>
      </w:r>
    </w:p>
    <w:p w14:paraId="1075B7BB" w14:textId="77777777" w:rsidR="00F83FA6" w:rsidRPr="00B80F09" w:rsidRDefault="00F83FA6" w:rsidP="004D799D">
      <w:pPr>
        <w:numPr>
          <w:ilvl w:val="0"/>
          <w:numId w:val="2"/>
        </w:numPr>
        <w:spacing w:after="160"/>
        <w:contextualSpacing/>
        <w:rPr>
          <w:rFonts w:asciiTheme="majorBidi" w:eastAsia="Calibri" w:hAnsiTheme="majorBidi" w:cstheme="majorBidi"/>
          <w:lang w:bidi="ar-EG"/>
        </w:rPr>
      </w:pPr>
      <w:r w:rsidRPr="00B80F09">
        <w:rPr>
          <w:rFonts w:asciiTheme="majorBidi" w:eastAsia="Calibri" w:hAnsiTheme="majorBidi" w:cstheme="majorBidi"/>
        </w:rPr>
        <w:t>Serum lipogram.</w:t>
      </w:r>
    </w:p>
    <w:p w14:paraId="0F1632B0" w14:textId="77777777" w:rsidR="00F83FA6" w:rsidRPr="00B80F09" w:rsidRDefault="00F83FA6" w:rsidP="004D799D">
      <w:pPr>
        <w:numPr>
          <w:ilvl w:val="0"/>
          <w:numId w:val="2"/>
        </w:numPr>
        <w:spacing w:after="160"/>
        <w:contextualSpacing/>
        <w:rPr>
          <w:rFonts w:asciiTheme="majorBidi" w:eastAsia="Calibri" w:hAnsiTheme="majorBidi" w:cstheme="majorBidi"/>
          <w:lang w:bidi="ar-EG"/>
        </w:rPr>
      </w:pPr>
      <w:r w:rsidRPr="00B80F09">
        <w:rPr>
          <w:rFonts w:asciiTheme="majorBidi" w:eastAsia="Calibri" w:hAnsiTheme="majorBidi" w:cstheme="majorBidi"/>
        </w:rPr>
        <w:t>Liver function tests.</w:t>
      </w:r>
    </w:p>
    <w:p w14:paraId="61A354CA" w14:textId="77777777" w:rsidR="00F83FA6" w:rsidRPr="00B80F09" w:rsidRDefault="00F83FA6" w:rsidP="004D799D">
      <w:pPr>
        <w:numPr>
          <w:ilvl w:val="0"/>
          <w:numId w:val="2"/>
        </w:numPr>
        <w:spacing w:after="160"/>
        <w:contextualSpacing/>
        <w:rPr>
          <w:rFonts w:asciiTheme="majorBidi" w:eastAsia="Calibri" w:hAnsiTheme="majorBidi" w:cstheme="majorBidi"/>
          <w:lang w:bidi="ar-EG"/>
        </w:rPr>
      </w:pPr>
      <w:r w:rsidRPr="00B80F09">
        <w:rPr>
          <w:rFonts w:asciiTheme="majorBidi" w:eastAsia="Calibri" w:hAnsiTheme="majorBidi" w:cstheme="majorBidi"/>
        </w:rPr>
        <w:t>Serum creatinine</w:t>
      </w:r>
    </w:p>
    <w:p w14:paraId="51F8B4D4" w14:textId="520AC19F" w:rsidR="00F83FA6" w:rsidRPr="00B80F09" w:rsidRDefault="00F83FA6" w:rsidP="004D799D">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B80F09">
        <w:rPr>
          <w:rFonts w:asciiTheme="majorBidi" w:eastAsia="Calibri" w:hAnsiTheme="majorBidi" w:cstheme="majorBidi"/>
          <w:b/>
          <w:bCs/>
          <w:sz w:val="24"/>
          <w:szCs w:val="24"/>
          <w:lang w:eastAsia="zh-CN"/>
        </w:rPr>
        <w:t xml:space="preserve">Spot </w:t>
      </w:r>
      <w:r w:rsidR="008E560F" w:rsidRPr="00B80F09">
        <w:rPr>
          <w:rFonts w:asciiTheme="majorBidi" w:eastAsia="Calibri" w:hAnsiTheme="majorBidi" w:cstheme="majorBidi"/>
          <w:b/>
          <w:bCs/>
          <w:sz w:val="24"/>
          <w:szCs w:val="24"/>
          <w:lang w:eastAsia="zh-CN"/>
        </w:rPr>
        <w:t>a</w:t>
      </w:r>
      <w:r w:rsidR="00FC0300" w:rsidRPr="00B80F09">
        <w:rPr>
          <w:rFonts w:asciiTheme="majorBidi" w:eastAsia="Calibri" w:hAnsiTheme="majorBidi" w:cstheme="majorBidi"/>
          <w:b/>
          <w:bCs/>
          <w:sz w:val="24"/>
          <w:szCs w:val="24"/>
          <w:lang w:eastAsia="zh-CN"/>
        </w:rPr>
        <w:t>lbumin</w:t>
      </w:r>
      <w:r w:rsidRPr="00B80F09">
        <w:rPr>
          <w:rFonts w:asciiTheme="majorBidi" w:eastAsia="Calibri" w:hAnsiTheme="majorBidi" w:cstheme="majorBidi"/>
          <w:b/>
          <w:bCs/>
          <w:sz w:val="24"/>
          <w:szCs w:val="24"/>
          <w:lang w:eastAsia="zh-CN"/>
        </w:rPr>
        <w:t xml:space="preserve"> creatinine ratio</w:t>
      </w:r>
      <w:r w:rsidRPr="00B80F09">
        <w:rPr>
          <w:rFonts w:asciiTheme="majorBidi" w:hAnsiTheme="majorBidi" w:cstheme="majorBidi"/>
          <w:b/>
          <w:bCs/>
          <w:sz w:val="24"/>
          <w:szCs w:val="24"/>
        </w:rPr>
        <w:t xml:space="preserve"> test</w:t>
      </w:r>
      <w:r w:rsidR="00904E5B" w:rsidRPr="00B80F09">
        <w:rPr>
          <w:rFonts w:asciiTheme="majorBidi" w:hAnsiTheme="majorBidi" w:cstheme="majorBidi"/>
          <w:b/>
          <w:bCs/>
          <w:sz w:val="24"/>
          <w:szCs w:val="24"/>
        </w:rPr>
        <w:t xml:space="preserve"> </w:t>
      </w:r>
      <w:r w:rsidR="00904E5B" w:rsidRPr="00B80F09">
        <w:rPr>
          <w:rFonts w:asciiTheme="majorBidi" w:eastAsia="Calibri" w:hAnsiTheme="majorBidi" w:cstheme="majorBidi"/>
          <w:b/>
          <w:bCs/>
          <w:sz w:val="24"/>
          <w:szCs w:val="24"/>
          <w:lang w:eastAsia="zh-CN"/>
        </w:rPr>
        <w:t>(ACR)</w:t>
      </w:r>
      <w:r w:rsidRPr="00B80F09">
        <w:rPr>
          <w:rFonts w:asciiTheme="majorBidi" w:eastAsia="Calibri" w:hAnsiTheme="majorBidi" w:cstheme="majorBidi"/>
          <w:b/>
          <w:bCs/>
          <w:sz w:val="24"/>
          <w:szCs w:val="24"/>
          <w:lang w:eastAsia="zh-CN"/>
        </w:rPr>
        <w:t>:</w:t>
      </w:r>
      <w:r w:rsidRPr="00B80F09">
        <w:rPr>
          <w:rFonts w:asciiTheme="majorBidi" w:hAnsiTheme="majorBidi" w:cstheme="majorBidi"/>
          <w:sz w:val="24"/>
          <w:szCs w:val="24"/>
        </w:rPr>
        <w:t xml:space="preserve"> </w:t>
      </w:r>
      <w:r w:rsidR="00DE6BFB" w:rsidRPr="00B80F09">
        <w:rPr>
          <w:rFonts w:asciiTheme="majorBidi" w:hAnsiTheme="majorBidi" w:cstheme="majorBidi"/>
          <w:sz w:val="24"/>
          <w:szCs w:val="24"/>
        </w:rPr>
        <w:t>The clean catch method obtained a random urine sample</w:t>
      </w:r>
      <w:r w:rsidRPr="00B80F09">
        <w:rPr>
          <w:rFonts w:asciiTheme="majorBidi" w:hAnsiTheme="majorBidi" w:cstheme="majorBidi"/>
          <w:sz w:val="24"/>
          <w:szCs w:val="24"/>
        </w:rPr>
        <w:t xml:space="preserve">. </w:t>
      </w:r>
      <w:r w:rsidR="008E560F" w:rsidRPr="00B80F09">
        <w:rPr>
          <w:rFonts w:asciiTheme="majorBidi" w:hAnsiTheme="majorBidi" w:cstheme="majorBidi"/>
          <w:sz w:val="24"/>
          <w:szCs w:val="24"/>
        </w:rPr>
        <w:t>Albumin</w:t>
      </w:r>
      <w:r w:rsidRPr="00B80F09">
        <w:rPr>
          <w:rFonts w:asciiTheme="majorBidi" w:hAnsiTheme="majorBidi" w:cstheme="majorBidi"/>
          <w:sz w:val="24"/>
          <w:szCs w:val="24"/>
        </w:rPr>
        <w:t xml:space="preserve"> in urine was measured by immunoturbidimetry using </w:t>
      </w:r>
      <w:r w:rsidR="00253991" w:rsidRPr="00B80F09">
        <w:rPr>
          <w:rFonts w:asciiTheme="majorBidi" w:hAnsiTheme="majorBidi" w:cstheme="majorBidi"/>
          <w:sz w:val="24"/>
          <w:szCs w:val="24"/>
        </w:rPr>
        <w:t xml:space="preserve">a </w:t>
      </w:r>
      <w:proofErr w:type="spellStart"/>
      <w:r w:rsidRPr="00B80F09">
        <w:rPr>
          <w:rFonts w:asciiTheme="majorBidi" w:hAnsiTheme="majorBidi" w:cstheme="majorBidi"/>
          <w:sz w:val="24"/>
          <w:szCs w:val="24"/>
        </w:rPr>
        <w:t>Chromatest</w:t>
      </w:r>
      <w:proofErr w:type="spellEnd"/>
      <w:r w:rsidRPr="00B80F09">
        <w:rPr>
          <w:rFonts w:asciiTheme="majorBidi" w:hAnsiTheme="majorBidi" w:cstheme="majorBidi"/>
          <w:sz w:val="24"/>
          <w:szCs w:val="24"/>
        </w:rPr>
        <w:t xml:space="preserve"> kit</w:t>
      </w:r>
      <w:r w:rsidR="003E62F3" w:rsidRPr="00B80F09">
        <w:rPr>
          <w:rFonts w:asciiTheme="majorBidi" w:hAnsiTheme="majorBidi" w:cstheme="majorBidi"/>
          <w:sz w:val="24"/>
          <w:szCs w:val="24"/>
        </w:rPr>
        <w:t>,</w:t>
      </w:r>
      <w:r w:rsidRPr="00B80F09">
        <w:rPr>
          <w:rFonts w:asciiTheme="majorBidi" w:hAnsiTheme="majorBidi" w:cstheme="majorBidi"/>
          <w:sz w:val="24"/>
          <w:szCs w:val="24"/>
        </w:rPr>
        <w:t xml:space="preserve"> and creatinine was measured by </w:t>
      </w:r>
      <w:r w:rsidR="005E7138" w:rsidRPr="00B80F09">
        <w:rPr>
          <w:rFonts w:asciiTheme="majorBidi" w:hAnsiTheme="majorBidi" w:cstheme="majorBidi"/>
          <w:sz w:val="24"/>
          <w:szCs w:val="24"/>
        </w:rPr>
        <w:t>Jaffe</w:t>
      </w:r>
      <w:r w:rsidR="003E62F3" w:rsidRPr="00B80F09">
        <w:rPr>
          <w:rFonts w:asciiTheme="majorBidi" w:hAnsiTheme="majorBidi" w:cstheme="majorBidi"/>
          <w:sz w:val="24"/>
          <w:szCs w:val="24"/>
        </w:rPr>
        <w:t>'</w:t>
      </w:r>
      <w:r w:rsidR="005E7138" w:rsidRPr="00B80F09">
        <w:rPr>
          <w:rFonts w:asciiTheme="majorBidi" w:hAnsiTheme="majorBidi" w:cstheme="majorBidi"/>
          <w:sz w:val="24"/>
          <w:szCs w:val="24"/>
        </w:rPr>
        <w:t>s</w:t>
      </w:r>
      <w:r w:rsidRPr="00B80F09">
        <w:rPr>
          <w:rFonts w:asciiTheme="majorBidi" w:hAnsiTheme="majorBidi" w:cstheme="majorBidi"/>
          <w:sz w:val="24"/>
          <w:szCs w:val="24"/>
        </w:rPr>
        <w:t xml:space="preserve"> reaction using </w:t>
      </w:r>
      <w:r w:rsidR="00253991" w:rsidRPr="00B80F09">
        <w:rPr>
          <w:rFonts w:asciiTheme="majorBidi" w:hAnsiTheme="majorBidi" w:cstheme="majorBidi"/>
          <w:sz w:val="24"/>
          <w:szCs w:val="24"/>
        </w:rPr>
        <w:t xml:space="preserve">a </w:t>
      </w:r>
      <w:r w:rsidRPr="00B80F09">
        <w:rPr>
          <w:rFonts w:asciiTheme="majorBidi" w:hAnsiTheme="majorBidi" w:cstheme="majorBidi"/>
          <w:sz w:val="24"/>
          <w:szCs w:val="24"/>
        </w:rPr>
        <w:t>Spin React kit</w:t>
      </w:r>
      <w:r w:rsidR="003E62F3" w:rsidRPr="00B80F09">
        <w:rPr>
          <w:rFonts w:asciiTheme="majorBidi" w:hAnsiTheme="majorBidi" w:cstheme="majorBidi"/>
          <w:sz w:val="24"/>
          <w:szCs w:val="24"/>
        </w:rPr>
        <w:t>. B</w:t>
      </w:r>
      <w:r w:rsidRPr="00B80F09">
        <w:rPr>
          <w:rFonts w:asciiTheme="majorBidi" w:hAnsiTheme="majorBidi" w:cstheme="majorBidi"/>
          <w:sz w:val="24"/>
          <w:szCs w:val="24"/>
        </w:rPr>
        <w:t xml:space="preserve">oth were analyzed by Photometer 5010. The Spot </w:t>
      </w:r>
      <w:r w:rsidR="00904E5B" w:rsidRPr="00B80F09">
        <w:rPr>
          <w:rFonts w:asciiTheme="majorBidi" w:eastAsia="Calibri" w:hAnsiTheme="majorBidi" w:cstheme="majorBidi"/>
          <w:b/>
          <w:bCs/>
          <w:sz w:val="24"/>
          <w:szCs w:val="24"/>
          <w:lang w:eastAsia="zh-CN"/>
        </w:rPr>
        <w:t>ACR</w:t>
      </w:r>
      <w:r w:rsidRPr="00B80F09">
        <w:rPr>
          <w:rFonts w:asciiTheme="majorBidi" w:eastAsia="Calibri" w:hAnsiTheme="majorBidi" w:cstheme="majorBidi"/>
          <w:b/>
          <w:bCs/>
          <w:sz w:val="24"/>
          <w:szCs w:val="24"/>
          <w:lang w:eastAsia="zh-CN"/>
        </w:rPr>
        <w:t xml:space="preserve"> </w:t>
      </w:r>
      <w:r w:rsidRPr="00B80F09">
        <w:rPr>
          <w:rFonts w:asciiTheme="majorBidi" w:hAnsiTheme="majorBidi" w:cstheme="majorBidi"/>
          <w:sz w:val="24"/>
          <w:szCs w:val="24"/>
        </w:rPr>
        <w:t xml:space="preserve">was calculated by mg/dl. Normal adult reference range up to </w:t>
      </w:r>
      <w:r w:rsidRPr="00B80F09">
        <w:rPr>
          <w:rFonts w:asciiTheme="majorBidi" w:hAnsiTheme="majorBidi" w:cstheme="majorBidi"/>
          <w:sz w:val="24"/>
          <w:szCs w:val="24"/>
          <w:rtl/>
        </w:rPr>
        <w:t>30</w:t>
      </w:r>
      <w:r w:rsidRPr="00B80F09">
        <w:rPr>
          <w:rFonts w:asciiTheme="majorBidi" w:hAnsiTheme="majorBidi" w:cstheme="majorBidi"/>
          <w:sz w:val="24"/>
          <w:szCs w:val="24"/>
        </w:rPr>
        <w:t>ug Alb/mg creatinine.</w:t>
      </w:r>
    </w:p>
    <w:p w14:paraId="4D3E14FD" w14:textId="2BB1617E" w:rsidR="00F83FA6" w:rsidRPr="00B80F09" w:rsidRDefault="00F83FA6" w:rsidP="004D799D">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B80F09">
        <w:rPr>
          <w:rFonts w:asciiTheme="majorBidi" w:eastAsia="Calibri" w:hAnsiTheme="majorBidi" w:cstheme="majorBidi"/>
          <w:b/>
          <w:bCs/>
          <w:sz w:val="24"/>
          <w:szCs w:val="24"/>
        </w:rPr>
        <w:t xml:space="preserve">Calculation of estimated Glomerular Filtration Rate (eGFR) according to </w:t>
      </w:r>
      <w:r w:rsidRPr="00B80F09">
        <w:rPr>
          <w:rFonts w:asciiTheme="majorBidi" w:hAnsiTheme="majorBidi" w:cstheme="majorBidi"/>
          <w:sz w:val="24"/>
          <w:szCs w:val="24"/>
        </w:rPr>
        <w:t xml:space="preserve">Chronic Kidney Disease Epidemiology Collaboration (CKD-EPI) </w:t>
      </w:r>
      <w:r w:rsidRPr="00B80F09">
        <w:rPr>
          <w:rFonts w:asciiTheme="majorBidi" w:hAnsiTheme="majorBidi" w:cstheme="majorBidi"/>
          <w:sz w:val="24"/>
          <w:szCs w:val="24"/>
        </w:rPr>
        <w:fldChar w:fldCharType="begin" w:fldLock="1"/>
      </w:r>
      <w:r w:rsidR="0063099F" w:rsidRPr="00B80F09">
        <w:rPr>
          <w:rFonts w:asciiTheme="majorBidi" w:hAnsiTheme="majorBidi" w:cstheme="majorBidi"/>
          <w:sz w:val="24"/>
          <w:szCs w:val="24"/>
        </w:rPr>
        <w:instrText>ADDIN CSL_CITATION {"citationItems":[{"id":"ITEM-1","itemData":{"DOI":"10.2337/dc11-1282","ISSN":"01495992","PMID":"21926286","abstract":"OBJECTIVE - To evaluate the performance of the Chronic Kidney Disease Epidemiology Collaboration (CKD-EPI) equation to estimate glomerular filtration rate (GFR) in type 2 diabetic patients with GFR &gt;60 mL/min/1.73 m 2. RESEARCH DESIGN AND METHODS - This was a cross-sectional study including 105 type 2 diabetic patients. GFR was measured by 51Cr-EDTA method and estimated by the MDRD and CKD-EPI equations. Serum creatinine was measured by the traceable Jaffe method. Bland-Altman plots were used. Bias, accuracy (P30), and precision were evaluated. RESULTS - Themean age of patientswas 57 ± 8 years; 53 (50%) were men and 90 (86%) were white. Forty-six (44%) patients had microalbuminuria, and 14 (13%) had macroalbuminuria. 51Cr-EDTA GFR was 103 ± 23, CKD-EPI GFR was 83 ± 15, and MDRD-GFR was 78 ± 17 mL/min/1.73m 2 (P &lt; 0.001). Accuracy (95% CI) was 67% (58-74) for CKD-EPI and 64% (56-75) for MDRD. Precision was 21 and 22, respectively. CONCLUSIONS - The CKD-EPI and MDRD equations pronouncedly underestimated GFR in type 2 diabetic patients. © 2011 by the American Diabetes Association.","author":[{"dropping-particle":"","family":"Silveiro","given":"Sandra P.","non-dropping-particle":"","parse-names":false,"suffix":""},{"dropping-particle":"","family":"Araújo","given":"Gustavo N.","non-dropping-particle":"","parse-names":false,"suffix":""},{"dropping-particle":"","family":"Ferreira","given":"Mariana N.","non-dropping-particle":"","parse-names":false,"suffix":""},{"dropping-particle":"","family":"Souza","given":"Fabíola D.S.","non-dropping-particle":"","parse-names":false,"suffix":""},{"dropping-particle":"","family":"Yamaguchi","given":"Halley M.","non-dropping-particle":"","parse-names":false,"suffix":""},{"dropping-particle":"","family":"Camargo","given":"Eduardo G.","non-dropping-particle":"","parse-names":false,"suffix":""}],"container-title":"Diabetes Care","id":"ITEM-1","issue":"11","issued":{"date-parts":[["2011"]]},"page":"2353-2355","title":"Chronic Kidney Disease Epidemiology Collaboration (CKD-EPI) equation pronouncedly underestimates glomerular filtration rate in type 2 diabetes","type":"article-journal","volume":"34"},"uris":["http://www.mendeley.com/documents/?uuid=aed34b50-28d1-4eec-bcd8-9aeebf39b58e"]}],"mendeley":{"formattedCitation":"(12)","plainTextFormattedCitation":"(12)","previouslyFormattedCitation":"[12]"},"properties":{"noteIndex":0},"schema":"https://github.com/citation-style-language/schema/raw/master/csl-citation.json"}</w:instrText>
      </w:r>
      <w:r w:rsidRPr="00B80F09">
        <w:rPr>
          <w:rFonts w:asciiTheme="majorBidi" w:hAnsiTheme="majorBidi" w:cstheme="majorBidi"/>
          <w:sz w:val="24"/>
          <w:szCs w:val="24"/>
        </w:rPr>
        <w:fldChar w:fldCharType="separate"/>
      </w:r>
      <w:r w:rsidR="0063099F" w:rsidRPr="00B80F09">
        <w:rPr>
          <w:rFonts w:asciiTheme="majorBidi" w:hAnsiTheme="majorBidi" w:cstheme="majorBidi"/>
          <w:noProof/>
          <w:sz w:val="24"/>
          <w:szCs w:val="24"/>
        </w:rPr>
        <w:t>(12)</w:t>
      </w:r>
      <w:r w:rsidRPr="00B80F09">
        <w:rPr>
          <w:rFonts w:asciiTheme="majorBidi" w:hAnsiTheme="majorBidi" w:cstheme="majorBidi"/>
          <w:sz w:val="24"/>
          <w:szCs w:val="24"/>
        </w:rPr>
        <w:fldChar w:fldCharType="end"/>
      </w:r>
      <w:r w:rsidRPr="00B80F09">
        <w:rPr>
          <w:rFonts w:asciiTheme="majorBidi" w:eastAsia="Calibri" w:hAnsiTheme="majorBidi" w:cstheme="majorBidi"/>
          <w:b/>
          <w:bCs/>
          <w:sz w:val="24"/>
          <w:szCs w:val="24"/>
        </w:rPr>
        <w:t>.</w:t>
      </w:r>
    </w:p>
    <w:p w14:paraId="61B7FDEF" w14:textId="4FA20817" w:rsidR="00F83FA6" w:rsidRPr="00B80F09" w:rsidRDefault="00F83FA6" w:rsidP="004D799D">
      <w:pPr>
        <w:pStyle w:val="ListParagraph"/>
        <w:numPr>
          <w:ilvl w:val="0"/>
          <w:numId w:val="1"/>
        </w:numPr>
        <w:spacing w:line="240" w:lineRule="auto"/>
        <w:jc w:val="both"/>
        <w:rPr>
          <w:rFonts w:asciiTheme="majorBidi" w:hAnsiTheme="majorBidi" w:cstheme="majorBidi"/>
          <w:sz w:val="24"/>
          <w:szCs w:val="24"/>
          <w:lang w:bidi="ar-EG"/>
        </w:rPr>
      </w:pPr>
      <w:r w:rsidRPr="00B80F09">
        <w:rPr>
          <w:rFonts w:asciiTheme="majorBidi" w:eastAsia="Calibri" w:hAnsiTheme="majorBidi" w:cstheme="majorBidi"/>
          <w:b/>
          <w:bCs/>
          <w:sz w:val="24"/>
          <w:szCs w:val="24"/>
        </w:rPr>
        <w:t xml:space="preserve">Abdominal ultrasound examination: </w:t>
      </w:r>
      <w:r w:rsidRPr="00B80F09">
        <w:rPr>
          <w:rFonts w:asciiTheme="majorBidi" w:eastAsia="Calibri" w:hAnsiTheme="majorBidi" w:cstheme="majorBidi"/>
          <w:sz w:val="24"/>
          <w:szCs w:val="24"/>
        </w:rPr>
        <w:t xml:space="preserve">to evaluate the echogenicity of the liver and to measure the subcutaneous and preperitoneal fat </w:t>
      </w:r>
      <w:r w:rsidRPr="00B80F09">
        <w:rPr>
          <w:rFonts w:asciiTheme="majorBidi" w:eastAsia="Calibri" w:hAnsiTheme="majorBidi" w:cstheme="majorBidi"/>
          <w:sz w:val="24"/>
          <w:szCs w:val="24"/>
        </w:rPr>
        <w:fldChar w:fldCharType="begin" w:fldLock="1"/>
      </w:r>
      <w:r w:rsidR="0063099F" w:rsidRPr="00B80F09">
        <w:rPr>
          <w:rFonts w:asciiTheme="majorBidi" w:eastAsia="Calibri" w:hAnsiTheme="majorBidi" w:cstheme="majorBidi"/>
          <w:sz w:val="24"/>
          <w:szCs w:val="24"/>
        </w:rPr>
        <w:instrText>ADDIN CSL_CITATION {"citationItems":[{"id":"ITEM-1","itemData":{"DOI":"10.1002/osp4.453","ISSN":"20552238","abstract":"Objective: Abdominal fat ultrasound (US) is a simple clinical tool that may allow measures of fat depots not visible using common dual-energy X-ray absorptiometry (DEXA) or computerized tomography (CT) imaging. The aim of this study was to validate the technique, give measures of superficial and profound subcutaneous, preperitoneal, omental and perirenal (retroperitoneal) fat and correlate them with MS markers. Methods: Sequential US measures of these five abdominal fat layers were done at 397 adults. Blood pressure (BP), body mass index (BMI), waist, body fat %, HOMA-IR index (homeostatic model assessment of insulin resistance), lipid profile and leptin were recorded. Metabolic syndrome (MS) was defined according to Cholesterol education programme adult treatment panel III (ATPIII) criteria. Results: Subcutaneous and omental fat were increased among people with obesity, whereas preperitoneal and perirenal fat did not show any difference according to BMI or waist. Women showed thicker subcutaneous fat (both superficial and profound), whereas men had bigger omental fat. Both postmenopausal and diabetic patients had changes in omental fat only, whereas patients with fatty liver showed thicker preperitoneal and perirenal fat, as well. MS patients showed both thicker perirenal and omental fat. A cut-off of 54 mm in male (M)/34 mm in female (F) of omental fat and 22.5 mm (M)/12.5 mm (F) of perirenal fat could be predictive of later MS onset. Conclusions: US is a valid method to measure all different abdominal fat depots. Omental and perirenal fat measures may classify patients at risk for MS. Preperitoneal fat depot may also correlate with fatty liver disease.","author":[{"dropping-particle":"","family":"Cuatrecasas","given":"Guillem","non-dropping-particle":"","parse-names":false,"suffix":""},{"dropping-particle":"","family":"Cabo","given":"Francisco","non-dropping-particle":"de","parse-names":false,"suffix":""},{"dropping-particle":"","family":"Coves","given":"Maria Josep","non-dropping-particle":"","parse-names":false,"suffix":""},{"dropping-particle":"","family":"Patrascioiu","given":"Ioana","non-dropping-particle":"","parse-names":false,"suffix":""},{"dropping-particle":"","family":"Aguilar","given":"Gerardo","non-dropping-particle":"","parse-names":false,"suffix":""},{"dropping-particle":"","family":"March","given":"Sonia","non-dropping-particle":"","parse-names":false,"suffix":""},{"dropping-particle":"","family":"Balfegó","given":"Mariona","non-dropping-particle":"","parse-names":false,"suffix":""},{"dropping-particle":"","family":"Bretxa","given":"Clara","non-dropping-particle":"","parse-names":false,"suffix":""},{"dropping-particle":"","family":"Calbo","given":"Marta","non-dropping-particle":"","parse-names":false,"suffix":""},{"dropping-particle":"","family":"Cuatrecasas","given":"Gabriel","non-dropping-particle":"","parse-names":false,"suffix":""},{"dropping-particle":"","family":"Aranda","given":"Gloria","non-dropping-particle":"","parse-names":false,"suffix":""},{"dropping-particle":"","family":"Orois","given":"Aida","non-dropping-particle":"","parse-names":false,"suffix":""},{"dropping-particle":"","family":"Bové","given":"Isabel","non-dropping-particle":"","parse-names":false,"suffix":""},{"dropping-particle":"","family":"Munoz-Marron","given":"Elena","non-dropping-particle":"","parse-names":false,"suffix":""},{"dropping-particle":"","family":"García-Lorda","given":"Pilar","non-dropping-particle":"","parse-names":false,"suffix":""}],"container-title":"Obesity Science and Practice","id":"ITEM-1","issue":"6","issued":{"date-parts":[["2020"]]},"page":"660-667","title":"Ultrasound measures of abdominal fat layers correlate with metabolic syndrome features in patients with obesity","type":"article-journal","volume":"6"},"uris":["http://www.mendeley.com/documents/?uuid=344975cd-a34e-4197-94d9-6d97f44ba8d5"]}],"mendeley":{"formattedCitation":"(13)","plainTextFormattedCitation":"(13)","previouslyFormattedCitation":"[13]"},"properties":{"noteIndex":0},"schema":"https://github.com/citation-style-language/schema/raw/master/csl-citation.json"}</w:instrText>
      </w:r>
      <w:r w:rsidRPr="00B80F09">
        <w:rPr>
          <w:rFonts w:asciiTheme="majorBidi" w:eastAsia="Calibri" w:hAnsiTheme="majorBidi" w:cstheme="majorBidi"/>
          <w:sz w:val="24"/>
          <w:szCs w:val="24"/>
        </w:rPr>
        <w:fldChar w:fldCharType="separate"/>
      </w:r>
      <w:r w:rsidR="0063099F" w:rsidRPr="00B80F09">
        <w:rPr>
          <w:rFonts w:asciiTheme="majorBidi" w:eastAsia="Calibri" w:hAnsiTheme="majorBidi" w:cstheme="majorBidi"/>
          <w:noProof/>
          <w:sz w:val="24"/>
          <w:szCs w:val="24"/>
        </w:rPr>
        <w:t>(13)</w:t>
      </w:r>
      <w:r w:rsidRPr="00B80F09">
        <w:rPr>
          <w:rFonts w:asciiTheme="majorBidi" w:eastAsia="Calibri" w:hAnsiTheme="majorBidi" w:cstheme="majorBidi"/>
          <w:sz w:val="24"/>
          <w:szCs w:val="24"/>
        </w:rPr>
        <w:fldChar w:fldCharType="end"/>
      </w:r>
      <w:r w:rsidRPr="00B80F09">
        <w:rPr>
          <w:rFonts w:asciiTheme="majorBidi" w:eastAsia="Calibri" w:hAnsiTheme="majorBidi" w:cstheme="majorBidi"/>
          <w:sz w:val="24"/>
          <w:szCs w:val="24"/>
        </w:rPr>
        <w:t>.</w:t>
      </w:r>
      <w:r w:rsidRPr="00B80F09">
        <w:rPr>
          <w:rFonts w:asciiTheme="majorBidi" w:hAnsiTheme="majorBidi" w:cstheme="majorBidi"/>
          <w:sz w:val="24"/>
          <w:szCs w:val="24"/>
          <w:lang w:bidi="ar-EG"/>
        </w:rPr>
        <w:t xml:space="preserve"> </w:t>
      </w:r>
    </w:p>
    <w:p w14:paraId="6A95935C" w14:textId="6895C57F" w:rsidR="00F83FA6" w:rsidRPr="00B80F09" w:rsidRDefault="00F83FA6" w:rsidP="004D799D">
      <w:pPr>
        <w:spacing w:after="160"/>
        <w:ind w:left="720"/>
        <w:contextualSpacing/>
        <w:jc w:val="both"/>
        <w:rPr>
          <w:rFonts w:asciiTheme="majorBidi" w:hAnsiTheme="majorBidi" w:cstheme="majorBidi"/>
          <w:lang w:bidi="ar-EG"/>
        </w:rPr>
      </w:pPr>
      <w:r w:rsidRPr="00B80F09">
        <w:rPr>
          <w:rFonts w:asciiTheme="majorBidi" w:hAnsiTheme="majorBidi" w:cstheme="majorBidi"/>
          <w:b/>
          <w:bCs/>
          <w:lang w:bidi="ar-EG"/>
        </w:rPr>
        <w:t>A-</w:t>
      </w:r>
      <w:r w:rsidRPr="00B80F09">
        <w:rPr>
          <w:rFonts w:asciiTheme="majorBidi" w:hAnsiTheme="majorBidi" w:cstheme="majorBidi"/>
          <w:lang w:bidi="ar-EG"/>
        </w:rPr>
        <w:t xml:space="preserve">Subcutaneous fat (S) – </w:t>
      </w:r>
      <w:r w:rsidR="00A02928" w:rsidRPr="00B80F09">
        <w:rPr>
          <w:rFonts w:asciiTheme="majorBidi" w:hAnsiTheme="majorBidi" w:cstheme="majorBidi"/>
          <w:lang w:bidi="ar-EG"/>
        </w:rPr>
        <w:t xml:space="preserve">using the linear Probe in a longitudinal plane, measure the line from the skin to the </w:t>
      </w:r>
      <w:proofErr w:type="spellStart"/>
      <w:r w:rsidR="00A02928" w:rsidRPr="00B80F09">
        <w:rPr>
          <w:rFonts w:asciiTheme="majorBidi" w:hAnsiTheme="majorBidi" w:cstheme="majorBidi"/>
          <w:lang w:bidi="ar-EG"/>
        </w:rPr>
        <w:t>linea</w:t>
      </w:r>
      <w:proofErr w:type="spellEnd"/>
      <w:r w:rsidR="00A02928" w:rsidRPr="00B80F09">
        <w:rPr>
          <w:rFonts w:asciiTheme="majorBidi" w:hAnsiTheme="majorBidi" w:cstheme="majorBidi"/>
          <w:lang w:bidi="ar-EG"/>
        </w:rPr>
        <w:t xml:space="preserve"> alba on the mid-sternal line, 1 cm above the umbilicus.</w:t>
      </w:r>
    </w:p>
    <w:p w14:paraId="074332F3" w14:textId="5B898D8C" w:rsidR="00F83FA6" w:rsidRPr="00B80F09" w:rsidRDefault="00F83FA6" w:rsidP="004D799D">
      <w:pPr>
        <w:spacing w:after="160"/>
        <w:ind w:left="720"/>
        <w:contextualSpacing/>
        <w:jc w:val="both"/>
        <w:rPr>
          <w:rFonts w:asciiTheme="majorBidi" w:hAnsiTheme="majorBidi" w:cstheme="majorBidi"/>
          <w:lang w:bidi="ar-EG"/>
        </w:rPr>
      </w:pPr>
      <w:r w:rsidRPr="00B80F09">
        <w:rPr>
          <w:rFonts w:asciiTheme="majorBidi" w:hAnsiTheme="majorBidi" w:cstheme="majorBidi"/>
          <w:rtl/>
          <w:lang w:bidi="ar-EG"/>
        </w:rPr>
        <w:t xml:space="preserve"> </w:t>
      </w:r>
      <w:r w:rsidRPr="00B80F09">
        <w:rPr>
          <w:rFonts w:asciiTheme="majorBidi" w:hAnsiTheme="majorBidi" w:cstheme="majorBidi"/>
          <w:b/>
          <w:bCs/>
          <w:lang w:bidi="ar-EG"/>
        </w:rPr>
        <w:t>B)</w:t>
      </w:r>
      <w:r w:rsidRPr="00B80F09">
        <w:rPr>
          <w:rFonts w:asciiTheme="majorBidi" w:hAnsiTheme="majorBidi" w:cstheme="majorBidi"/>
          <w:lang w:bidi="ar-EG"/>
        </w:rPr>
        <w:t xml:space="preserve"> Preperitoneal fat (P) – extends from the anterior surface of the left lobe of the liver to the posterior surface of the </w:t>
      </w:r>
      <w:proofErr w:type="spellStart"/>
      <w:r w:rsidRPr="00B80F09">
        <w:rPr>
          <w:rFonts w:asciiTheme="majorBidi" w:hAnsiTheme="majorBidi" w:cstheme="majorBidi"/>
          <w:lang w:bidi="ar-EG"/>
        </w:rPr>
        <w:t>linea</w:t>
      </w:r>
      <w:proofErr w:type="spellEnd"/>
      <w:r w:rsidRPr="00B80F09">
        <w:rPr>
          <w:rFonts w:asciiTheme="majorBidi" w:hAnsiTheme="majorBidi" w:cstheme="majorBidi"/>
          <w:lang w:bidi="ar-EG"/>
        </w:rPr>
        <w:t xml:space="preserve"> alba.</w:t>
      </w:r>
    </w:p>
    <w:p w14:paraId="7297E502" w14:textId="3487DF2D" w:rsidR="00F83FA6" w:rsidRPr="00B80F09" w:rsidRDefault="00F83FA6" w:rsidP="004D799D">
      <w:pPr>
        <w:pStyle w:val="ListParagraph"/>
        <w:numPr>
          <w:ilvl w:val="0"/>
          <w:numId w:val="1"/>
        </w:numPr>
        <w:autoSpaceDE w:val="0"/>
        <w:autoSpaceDN w:val="0"/>
        <w:adjustRightInd w:val="0"/>
        <w:spacing w:after="0" w:line="240" w:lineRule="auto"/>
        <w:rPr>
          <w:rFonts w:asciiTheme="majorBidi" w:eastAsia="Calibri" w:hAnsiTheme="majorBidi" w:cstheme="majorBidi"/>
          <w:sz w:val="24"/>
          <w:szCs w:val="24"/>
        </w:rPr>
      </w:pPr>
      <w:r w:rsidRPr="00B80F09">
        <w:rPr>
          <w:rFonts w:asciiTheme="majorBidi" w:eastAsia="Calibri" w:hAnsiTheme="majorBidi" w:cstheme="majorBidi"/>
          <w:b/>
          <w:bCs/>
          <w:sz w:val="24"/>
          <w:szCs w:val="24"/>
        </w:rPr>
        <w:t xml:space="preserve">Assessment of the degree of hepatic fibrosis and steatosis using </w:t>
      </w:r>
      <w:proofErr w:type="spellStart"/>
      <w:r w:rsidRPr="00B80F09">
        <w:rPr>
          <w:rFonts w:asciiTheme="majorBidi" w:eastAsia="Calibri" w:hAnsiTheme="majorBidi" w:cstheme="majorBidi"/>
          <w:b/>
          <w:bCs/>
          <w:sz w:val="24"/>
          <w:szCs w:val="24"/>
        </w:rPr>
        <w:t>FibroScan</w:t>
      </w:r>
      <w:proofErr w:type="spellEnd"/>
      <w:r w:rsidRPr="00B80F09">
        <w:rPr>
          <w:rFonts w:asciiTheme="majorBidi" w:eastAsia="Calibri" w:hAnsiTheme="majorBidi" w:cstheme="majorBidi"/>
          <w:b/>
          <w:bCs/>
          <w:sz w:val="24"/>
          <w:szCs w:val="24"/>
        </w:rPr>
        <w:t>:</w:t>
      </w:r>
    </w:p>
    <w:p w14:paraId="483975C3" w14:textId="3117435D" w:rsidR="00F83FA6" w:rsidRPr="00B80F09" w:rsidRDefault="00F83FA6" w:rsidP="004D799D">
      <w:pPr>
        <w:pStyle w:val="ListParagraph"/>
        <w:spacing w:line="240" w:lineRule="auto"/>
        <w:jc w:val="both"/>
        <w:rPr>
          <w:rFonts w:asciiTheme="majorBidi" w:hAnsiTheme="majorBidi" w:cstheme="majorBidi"/>
          <w:color w:val="000000"/>
          <w:sz w:val="24"/>
          <w:szCs w:val="24"/>
          <w:shd w:val="clear" w:color="auto" w:fill="FFFFFF"/>
          <w:rtl/>
        </w:rPr>
      </w:pPr>
      <w:r w:rsidRPr="00B80F09">
        <w:rPr>
          <w:rFonts w:asciiTheme="majorBidi" w:eastAsia="Calibri" w:hAnsiTheme="majorBidi" w:cstheme="majorBidi"/>
          <w:b/>
          <w:bCs/>
          <w:sz w:val="24"/>
          <w:szCs w:val="24"/>
        </w:rPr>
        <w:t>After overnight fasting,</w:t>
      </w:r>
      <w:r w:rsidRPr="00B80F09">
        <w:rPr>
          <w:rFonts w:asciiTheme="majorBidi" w:eastAsia="Times New Roman" w:hAnsiTheme="majorBidi" w:cstheme="majorBidi"/>
          <w:color w:val="000000" w:themeColor="text1"/>
          <w:sz w:val="24"/>
          <w:szCs w:val="24"/>
        </w:rPr>
        <w:t xml:space="preserve"> all patients were examined by </w:t>
      </w:r>
      <w:proofErr w:type="spellStart"/>
      <w:r w:rsidRPr="00B80F09">
        <w:rPr>
          <w:rFonts w:asciiTheme="majorBidi" w:eastAsia="Times New Roman" w:hAnsiTheme="majorBidi" w:cstheme="majorBidi"/>
          <w:color w:val="000000" w:themeColor="text1"/>
          <w:sz w:val="24"/>
          <w:szCs w:val="24"/>
        </w:rPr>
        <w:t>FibroScan</w:t>
      </w:r>
      <w:proofErr w:type="spellEnd"/>
      <w:r w:rsidRPr="00B80F09">
        <w:rPr>
          <w:rFonts w:asciiTheme="majorBidi" w:eastAsia="Times New Roman" w:hAnsiTheme="majorBidi" w:cstheme="majorBidi"/>
          <w:color w:val="000000" w:themeColor="text1"/>
          <w:sz w:val="24"/>
          <w:szCs w:val="24"/>
        </w:rPr>
        <w:t xml:space="preserve">® Mini+ 530 </w:t>
      </w:r>
      <w:r w:rsidRPr="00B80F09">
        <w:rPr>
          <w:rFonts w:asciiTheme="majorBidi" w:hAnsiTheme="majorBidi" w:cstheme="majorBidi"/>
          <w:color w:val="000000"/>
          <w:sz w:val="24"/>
          <w:szCs w:val="24"/>
          <w:shd w:val="clear" w:color="auto" w:fill="FFFFFF"/>
        </w:rPr>
        <w:t>(M probe and the XL probe, Paris, France)</w:t>
      </w:r>
      <w:r w:rsidRPr="00B80F09">
        <w:rPr>
          <w:rFonts w:asciiTheme="majorBidi" w:hAnsiTheme="majorBidi" w:cstheme="majorBidi"/>
          <w:color w:val="000000"/>
          <w:sz w:val="24"/>
          <w:szCs w:val="24"/>
          <w:shd w:val="clear" w:color="auto" w:fill="FFFFFF"/>
          <w:rtl/>
        </w:rPr>
        <w:t xml:space="preserve"> </w:t>
      </w:r>
      <w:r w:rsidRPr="00B80F09">
        <w:rPr>
          <w:rFonts w:asciiTheme="majorBidi" w:hAnsiTheme="majorBidi" w:cstheme="majorBidi"/>
          <w:color w:val="000000"/>
          <w:sz w:val="24"/>
          <w:szCs w:val="24"/>
          <w:shd w:val="clear" w:color="auto" w:fill="FFFFFF"/>
        </w:rPr>
        <w:t>to evaluate hepatic stiffness (fibrosis) and</w:t>
      </w:r>
      <w:r w:rsidRPr="00B80F09">
        <w:rPr>
          <w:rFonts w:asciiTheme="majorBidi" w:hAnsiTheme="majorBidi" w:cstheme="majorBidi"/>
          <w:b/>
          <w:bCs/>
          <w:sz w:val="24"/>
          <w:szCs w:val="24"/>
        </w:rPr>
        <w:t xml:space="preserve"> </w:t>
      </w:r>
      <w:r w:rsidRPr="00B80F09">
        <w:rPr>
          <w:rFonts w:asciiTheme="majorBidi" w:hAnsiTheme="majorBidi" w:cstheme="majorBidi"/>
          <w:sz w:val="24"/>
          <w:szCs w:val="24"/>
        </w:rPr>
        <w:t>Controlled Attenuation Parameter</w:t>
      </w:r>
      <w:r w:rsidRPr="00B80F09">
        <w:rPr>
          <w:rFonts w:asciiTheme="majorBidi" w:hAnsiTheme="majorBidi" w:cstheme="majorBidi"/>
          <w:color w:val="000000"/>
          <w:sz w:val="24"/>
          <w:szCs w:val="24"/>
          <w:shd w:val="clear" w:color="auto" w:fill="FFFFFF"/>
        </w:rPr>
        <w:t xml:space="preserve"> (CAP) (hepatic steatosis). The patient l</w:t>
      </w:r>
      <w:r w:rsidR="005F1892" w:rsidRPr="00B80F09">
        <w:rPr>
          <w:rFonts w:asciiTheme="majorBidi" w:hAnsiTheme="majorBidi" w:cstheme="majorBidi"/>
          <w:color w:val="000000"/>
          <w:sz w:val="24"/>
          <w:szCs w:val="24"/>
          <w:shd w:val="clear" w:color="auto" w:fill="FFFFFF"/>
        </w:rPr>
        <w:t>ay</w:t>
      </w:r>
      <w:r w:rsidRPr="00B80F09">
        <w:rPr>
          <w:rFonts w:asciiTheme="majorBidi" w:hAnsiTheme="majorBidi" w:cstheme="majorBidi"/>
          <w:color w:val="000000"/>
          <w:sz w:val="24"/>
          <w:szCs w:val="24"/>
          <w:shd w:val="clear" w:color="auto" w:fill="FFFFFF"/>
        </w:rPr>
        <w:t xml:space="preserve"> in the left lateral position, and </w:t>
      </w:r>
      <w:r w:rsidR="003E62F3" w:rsidRPr="00B80F09">
        <w:rPr>
          <w:rFonts w:asciiTheme="majorBidi" w:hAnsiTheme="majorBidi" w:cstheme="majorBidi"/>
          <w:color w:val="000000"/>
          <w:sz w:val="24"/>
          <w:szCs w:val="24"/>
          <w:shd w:val="clear" w:color="auto" w:fill="FFFFFF"/>
        </w:rPr>
        <w:t>ten</w:t>
      </w:r>
      <w:r w:rsidRPr="00B80F09">
        <w:rPr>
          <w:rFonts w:asciiTheme="majorBidi" w:hAnsiTheme="majorBidi" w:cstheme="majorBidi"/>
          <w:color w:val="000000"/>
          <w:sz w:val="24"/>
          <w:szCs w:val="24"/>
          <w:shd w:val="clear" w:color="auto" w:fill="FFFFFF"/>
        </w:rPr>
        <w:t xml:space="preserve"> valid values of liver stiffness measurements and CAP were taken and evaluated in kilopascals (</w:t>
      </w:r>
      <w:proofErr w:type="spellStart"/>
      <w:r w:rsidR="005F1892" w:rsidRPr="00B80F09">
        <w:rPr>
          <w:rFonts w:asciiTheme="majorBidi" w:hAnsiTheme="majorBidi" w:cstheme="majorBidi"/>
          <w:sz w:val="24"/>
          <w:szCs w:val="24"/>
        </w:rPr>
        <w:t>K</w:t>
      </w:r>
      <w:r w:rsidRPr="00B80F09">
        <w:rPr>
          <w:rFonts w:asciiTheme="majorBidi" w:hAnsiTheme="majorBidi" w:cstheme="majorBidi"/>
          <w:sz w:val="24"/>
          <w:szCs w:val="24"/>
        </w:rPr>
        <w:t>pa</w:t>
      </w:r>
      <w:proofErr w:type="spellEnd"/>
      <w:r w:rsidRPr="00B80F09">
        <w:rPr>
          <w:rFonts w:asciiTheme="majorBidi" w:hAnsiTheme="majorBidi" w:cstheme="majorBidi"/>
          <w:sz w:val="24"/>
          <w:szCs w:val="24"/>
        </w:rPr>
        <w:t>) and decibel</w:t>
      </w:r>
      <w:r w:rsidR="00253991" w:rsidRPr="00B80F09">
        <w:rPr>
          <w:rFonts w:asciiTheme="majorBidi" w:hAnsiTheme="majorBidi" w:cstheme="majorBidi"/>
          <w:sz w:val="24"/>
          <w:szCs w:val="24"/>
        </w:rPr>
        <w:t>s</w:t>
      </w:r>
      <w:r w:rsidRPr="00B80F09">
        <w:rPr>
          <w:rFonts w:asciiTheme="majorBidi" w:hAnsiTheme="majorBidi" w:cstheme="majorBidi"/>
          <w:sz w:val="24"/>
          <w:szCs w:val="24"/>
        </w:rPr>
        <w:t>/meter (dB/m)</w:t>
      </w:r>
      <w:r w:rsidRPr="00B80F09">
        <w:rPr>
          <w:rFonts w:asciiTheme="majorBidi" w:hAnsiTheme="majorBidi" w:cstheme="majorBidi"/>
          <w:color w:val="000000"/>
          <w:sz w:val="24"/>
          <w:szCs w:val="24"/>
          <w:shd w:val="clear" w:color="auto" w:fill="FFFFFF"/>
        </w:rPr>
        <w:t>. Then the</w:t>
      </w:r>
      <w:r w:rsidR="003E62F3" w:rsidRPr="00B80F09">
        <w:rPr>
          <w:rFonts w:asciiTheme="majorBidi" w:hAnsiTheme="majorBidi" w:cstheme="majorBidi"/>
          <w:color w:val="000000"/>
          <w:sz w:val="24"/>
          <w:szCs w:val="24"/>
          <w:shd w:val="clear" w:color="auto" w:fill="FFFFFF"/>
        </w:rPr>
        <w:t>ir median value</w:t>
      </w:r>
      <w:r w:rsidRPr="00B80F09">
        <w:rPr>
          <w:rFonts w:asciiTheme="majorBidi" w:hAnsiTheme="majorBidi" w:cstheme="majorBidi"/>
          <w:color w:val="000000"/>
          <w:sz w:val="24"/>
          <w:szCs w:val="24"/>
          <w:shd w:val="clear" w:color="auto" w:fill="FFFFFF"/>
        </w:rPr>
        <w:t xml:space="preserve"> was taken into consideration only if the interquartile range to median ratio was less than 30% </w:t>
      </w:r>
      <w:r w:rsidRPr="00B80F09">
        <w:rPr>
          <w:rFonts w:asciiTheme="majorBidi" w:hAnsiTheme="majorBidi" w:cstheme="majorBidi"/>
          <w:color w:val="000000"/>
          <w:sz w:val="24"/>
          <w:szCs w:val="24"/>
          <w:shd w:val="clear" w:color="auto" w:fill="FFFFFF"/>
        </w:rPr>
        <w:fldChar w:fldCharType="begin" w:fldLock="1"/>
      </w:r>
      <w:r w:rsidR="0063099F" w:rsidRPr="00B80F09">
        <w:rPr>
          <w:rFonts w:asciiTheme="majorBidi" w:hAnsiTheme="majorBidi" w:cstheme="majorBidi"/>
          <w:color w:val="000000"/>
          <w:sz w:val="24"/>
          <w:szCs w:val="24"/>
          <w:shd w:val="clear" w:color="auto" w:fill="FFFFFF"/>
        </w:rPr>
        <w:instrText>ADDIN CSL_CITATION {"citationItems":[{"id":"ITEM-1","itemData":{"ISSN":"17927463","PMID":"25830783","abstract":"Background The aim of the study was to determine the efficacy of Fibroscan versus noninvasive markers, i.e. nonalcoholic fatty liver disease (NAFLD) fibrosis score (NFS); Aspartate-aminotransferase (AST)/platelet ratio (APRI); and AST/Alanine-aminotransferase (AAR) as a screening tool in NAFLD patients with high risk of liver fibrosis. Methods This is a single-center study carried out in patients attending the outpatient department for dyspepsia and diagnosed with fatty liver on ultrasound. Liver biopsy was advised in diabetics, metabolic syndrome, body mass index &gt;30 kg/m2, raised transaminases and hypothyroidism. Fibroscan, APRI, AAR and NFS were calculated. Area under the curve (AUROC), negative (NPV) and positive predictive values (PPV) were calculated for each diagnostic test. Results Of the 1500 patients screened, 110 with the above-described risk factors underwent liver biopsy (stage 3/4 fibrosis = 38). Diabetes predicted severe fibrosis (stage 3/4). Sensitivity, specificity, PPV, NPV and AUROC for Fibroscan at value 12 kPa were 0.9, 0.8, 0.70, 0.93 and 0.91 respectively for predicting stage 3/4 fibrosis. With increase in severity of liver fibrosis there was stepwise increase in Fibroscan values (P=0.000038, Kruskal-Wallis test). Sensitivity, specificity, PPV and NPV for AAR and NFS at cutoff of 1.5 and 0.676 were 0.8, 1.0, 1.0 and 0.92 and 0.8, 1.0, 1.0 and 0.92 respectively. Conclusion Fibroscan, NFS and AAR are simple noninvasive markers of fibrosis that can be utilized as screening tools in patients with high risk for fibrosis to determine the need for biopsy. The cutoff of Fibroscan for stage 3/4 fibrosis was 12 kPa.","author":[{"dropping-particle":"","family":"Pathik","given":"Parikh","non-dropping-particle":"","parse-names":false,"suffix":""},{"dropping-particle":"","family":"Ravindra","given":"Surude","non-dropping-particle":"","parse-names":false,"suffix":""},{"dropping-particle":"","family":"Ajay","given":"Choksey","non-dropping-particle":"","parse-names":false,"suffix":""},{"dropping-particle":"","family":"Prasad","given":"Bhate","non-dropping-particle":"","parse-names":false,"suffix":""},{"dropping-particle":"","family":"Jatin","given":"Patel","non-dropping-particle":"","parse-names":false,"suffix":""},{"dropping-particle":"","family":"Prabha","given":"Sawant","non-dropping-particle":"","parse-names":false,"suffix":""}],"container-title":"Annals of Gastroenterology","id":"ITEM-1","issue":"2","issued":{"date-parts":[["2015"]]},"page":"281-286","title":"Fibroscan versus simple noninvasive screening tools in predicting fibrosis in high-risk nonalcoholic fatty liver disease patients from western India","type":"article-journal","volume":"28"},"uris":["http://www.mendeley.com/documents/?uuid=bc762ba1-89e3-4ef7-bb6b-d15be1e66668"]}],"mendeley":{"formattedCitation":"(14)","plainTextFormattedCitation":"(14)","previouslyFormattedCitation":"[14]"},"properties":{"noteIndex":0},"schema":"https://github.com/citation-style-language/schema/raw/master/csl-citation.json"}</w:instrText>
      </w:r>
      <w:r w:rsidRPr="00B80F09">
        <w:rPr>
          <w:rFonts w:asciiTheme="majorBidi" w:hAnsiTheme="majorBidi" w:cstheme="majorBidi"/>
          <w:color w:val="000000"/>
          <w:sz w:val="24"/>
          <w:szCs w:val="24"/>
          <w:shd w:val="clear" w:color="auto" w:fill="FFFFFF"/>
        </w:rPr>
        <w:fldChar w:fldCharType="separate"/>
      </w:r>
      <w:r w:rsidR="0063099F" w:rsidRPr="00B80F09">
        <w:rPr>
          <w:rFonts w:asciiTheme="majorBidi" w:hAnsiTheme="majorBidi" w:cstheme="majorBidi"/>
          <w:noProof/>
          <w:color w:val="000000"/>
          <w:sz w:val="24"/>
          <w:szCs w:val="24"/>
          <w:shd w:val="clear" w:color="auto" w:fill="FFFFFF"/>
        </w:rPr>
        <w:t>(14)</w:t>
      </w:r>
      <w:r w:rsidRPr="00B80F09">
        <w:rPr>
          <w:rFonts w:asciiTheme="majorBidi" w:hAnsiTheme="majorBidi" w:cstheme="majorBidi"/>
          <w:color w:val="000000"/>
          <w:sz w:val="24"/>
          <w:szCs w:val="24"/>
          <w:shd w:val="clear" w:color="auto" w:fill="FFFFFF"/>
        </w:rPr>
        <w:fldChar w:fldCharType="end"/>
      </w:r>
      <w:r w:rsidRPr="00B80F09">
        <w:rPr>
          <w:rFonts w:asciiTheme="majorBidi" w:hAnsiTheme="majorBidi" w:cstheme="majorBidi"/>
          <w:color w:val="000000"/>
          <w:sz w:val="24"/>
          <w:szCs w:val="24"/>
          <w:shd w:val="clear" w:color="auto" w:fill="FFFFFF"/>
        </w:rPr>
        <w:t xml:space="preserve">. According to the median value, the grades of fibrosis were classified into F0 (0-5.4), F1 (5.5-6.9), F2 (7-7.9), F2-3(8-8.9), F3 (9-10.4), F3-4(10.5-11.4) and F4 (11.5-75). </w:t>
      </w:r>
      <w:r w:rsidR="003E62F3" w:rsidRPr="00B80F09">
        <w:rPr>
          <w:rFonts w:asciiTheme="majorBidi" w:hAnsiTheme="majorBidi" w:cstheme="majorBidi"/>
          <w:color w:val="000000"/>
          <w:sz w:val="24"/>
          <w:szCs w:val="24"/>
          <w:shd w:val="clear" w:color="auto" w:fill="FFFFFF"/>
        </w:rPr>
        <w:t>In contrast,</w:t>
      </w:r>
      <w:r w:rsidRPr="00B80F09">
        <w:rPr>
          <w:rFonts w:asciiTheme="majorBidi" w:hAnsiTheme="majorBidi" w:cstheme="majorBidi"/>
          <w:color w:val="000000"/>
          <w:sz w:val="24"/>
          <w:szCs w:val="24"/>
          <w:shd w:val="clear" w:color="auto" w:fill="FFFFFF"/>
        </w:rPr>
        <w:t xml:space="preserve"> steatosis grades were classified into </w:t>
      </w:r>
      <w:r w:rsidRPr="00B80F09">
        <w:rPr>
          <w:rFonts w:asciiTheme="majorBidi" w:eastAsia="Calibri" w:hAnsiTheme="majorBidi" w:cstheme="majorBidi"/>
          <w:sz w:val="24"/>
          <w:szCs w:val="24"/>
        </w:rPr>
        <w:t xml:space="preserve">S1 (222-242), S1-2 (243-258), S2 (259-300), S2-3 (301-310), </w:t>
      </w:r>
      <w:r w:rsidR="00253991" w:rsidRPr="00B80F09">
        <w:rPr>
          <w:rFonts w:asciiTheme="majorBidi" w:eastAsia="Calibri" w:hAnsiTheme="majorBidi" w:cstheme="majorBidi"/>
          <w:sz w:val="24"/>
          <w:szCs w:val="24"/>
        </w:rPr>
        <w:t xml:space="preserve">and </w:t>
      </w:r>
      <w:r w:rsidRPr="00B80F09">
        <w:rPr>
          <w:rFonts w:asciiTheme="majorBidi" w:eastAsia="Calibri" w:hAnsiTheme="majorBidi" w:cstheme="majorBidi"/>
          <w:sz w:val="24"/>
          <w:szCs w:val="24"/>
        </w:rPr>
        <w:t>S3 (311-350)</w:t>
      </w:r>
      <w:r w:rsidRPr="00B80F09">
        <w:rPr>
          <w:rFonts w:asciiTheme="majorBidi" w:eastAsia="Calibri" w:hAnsiTheme="majorBidi" w:cstheme="majorBidi"/>
          <w:sz w:val="24"/>
          <w:szCs w:val="24"/>
        </w:rPr>
        <w:fldChar w:fldCharType="begin" w:fldLock="1"/>
      </w:r>
      <w:r w:rsidR="0063099F" w:rsidRPr="00B80F09">
        <w:rPr>
          <w:rFonts w:asciiTheme="majorBidi" w:eastAsia="Calibri" w:hAnsiTheme="majorBidi" w:cstheme="majorBidi"/>
          <w:sz w:val="24"/>
          <w:szCs w:val="24"/>
        </w:rPr>
        <w:instrText>ADDIN CSL_CITATION {"citationItems":[{"id":"ITEM-1","itemData":{"DOI":"10.3350/cmh.2019.0001n","ISSN":"2287285X","PMID":"31696690","abstract":"Nonalcoholic fatty liver disease (NAFLD) is currently the most common chronic liver disease worldwide. Although it has become one of the leading causes of cirrhosis and hepatocellular carcinoma in the Western world, the proportion of NAFLD patients developing these complications is rather small. Therefore, current guidelines recommend noninvasive tests for the initial assessment of NAFLD. Among the available non-invasive tests, transient elastography by FibroScan® (Echosens, Paris, France) is commonly used by hepatologists in Europe and Asia, and the machine has been introduced to the United States in 2013 with rapid adoption. Transient elastography measures liver stiffness and the controlled attenuation parameter simultaneously and can serve as a one-stop examination for both liver steatosis and fibrosis. Liver stiffness measurement also correlates with clinical outcomes and can be used to select patients for varices screening. Although obesity is a common reason for measurement failures, the development of the XL probe allows successful measurements in the majority of obese patients. This article reviews the performance and limitations of transient elastography in NAFLD and highlights its clinical applications. We also discuss the reliability criteria for transient elastography examination and factors associated with false-positive liver stiffness measurements.","author":[{"dropping-particle":"","family":"Zhang","given":"Xinrong","non-dropping-particle":"","parse-names":false,"suffix":""},{"dropping-particle":"","family":"Wong","given":"Grace Lai Hung","non-dropping-particle":"","parse-names":false,"suffix":""},{"dropping-particle":"","family":"Wong","given":"Vincent Wai Sun","non-dropping-particle":"","parse-names":false,"suffix":""}],"container-title":"Clinical and Molecular Hepatology","id":"ITEM-1","issue":"2","issued":{"date-parts":[["2020"]]},"page":"128-141","title":"Application of transient elastography in nonalcoholic fatty liver disease","type":"article-journal","volume":"26"},"uris":["http://www.mendeley.com/documents/?uuid=20431122-46e3-4f63-ba94-a4e138adfcf7"]}],"mendeley":{"formattedCitation":"(15)","plainTextFormattedCitation":"(15)","previouslyFormattedCitation":"[15]"},"properties":{"noteIndex":0},"schema":"https://github.com/citation-style-language/schema/raw/master/csl-citation.json"}</w:instrText>
      </w:r>
      <w:r w:rsidRPr="00B80F09">
        <w:rPr>
          <w:rFonts w:asciiTheme="majorBidi" w:eastAsia="Calibri" w:hAnsiTheme="majorBidi" w:cstheme="majorBidi"/>
          <w:sz w:val="24"/>
          <w:szCs w:val="24"/>
        </w:rPr>
        <w:fldChar w:fldCharType="separate"/>
      </w:r>
      <w:r w:rsidR="0063099F" w:rsidRPr="00B80F09">
        <w:rPr>
          <w:rFonts w:asciiTheme="majorBidi" w:eastAsia="Calibri" w:hAnsiTheme="majorBidi" w:cstheme="majorBidi"/>
          <w:noProof/>
          <w:sz w:val="24"/>
          <w:szCs w:val="24"/>
        </w:rPr>
        <w:t>(15)</w:t>
      </w:r>
      <w:r w:rsidRPr="00B80F09">
        <w:rPr>
          <w:rFonts w:asciiTheme="majorBidi" w:eastAsia="Calibri" w:hAnsiTheme="majorBidi" w:cstheme="majorBidi"/>
          <w:sz w:val="24"/>
          <w:szCs w:val="24"/>
        </w:rPr>
        <w:fldChar w:fldCharType="end"/>
      </w:r>
      <w:r w:rsidRPr="00B80F09">
        <w:rPr>
          <w:rFonts w:asciiTheme="majorBidi" w:eastAsia="Calibri" w:hAnsiTheme="majorBidi" w:cstheme="majorBidi"/>
          <w:sz w:val="24"/>
          <w:szCs w:val="24"/>
        </w:rPr>
        <w:t>.</w:t>
      </w:r>
    </w:p>
    <w:p w14:paraId="441993D3" w14:textId="751CCDE3" w:rsidR="00BA1477" w:rsidRPr="00B80F09" w:rsidRDefault="00BA1477" w:rsidP="004D799D">
      <w:pPr>
        <w:tabs>
          <w:tab w:val="left" w:pos="4690"/>
        </w:tabs>
        <w:autoSpaceDE w:val="0"/>
        <w:autoSpaceDN w:val="0"/>
        <w:adjustRightInd w:val="0"/>
        <w:rPr>
          <w:rFonts w:asciiTheme="majorBidi" w:hAnsiTheme="majorBidi" w:cstheme="majorBidi"/>
          <w:b/>
          <w:bCs/>
        </w:rPr>
      </w:pPr>
      <w:r w:rsidRPr="00B80F09">
        <w:rPr>
          <w:rFonts w:asciiTheme="majorBidi" w:hAnsiTheme="majorBidi" w:cstheme="majorBidi"/>
          <w:b/>
          <w:bCs/>
        </w:rPr>
        <w:t>Statistical Analysis:</w:t>
      </w:r>
    </w:p>
    <w:p w14:paraId="6D136EE7" w14:textId="76D090D2" w:rsidR="00BA1477" w:rsidRPr="00B80F09" w:rsidRDefault="00BA1477" w:rsidP="004D799D">
      <w:pPr>
        <w:jc w:val="both"/>
        <w:rPr>
          <w:rFonts w:asciiTheme="majorBidi" w:hAnsiTheme="majorBidi" w:cstheme="majorBidi"/>
          <w:b/>
          <w:bCs/>
          <w:i/>
          <w:iCs/>
        </w:rPr>
      </w:pPr>
      <w:r w:rsidRPr="00B80F09">
        <w:rPr>
          <w:rFonts w:asciiTheme="majorBidi" w:hAnsiTheme="majorBidi" w:cstheme="majorBidi"/>
        </w:rPr>
        <w:t>Data were analyzed using SPSS version 16 (</w:t>
      </w:r>
      <w:r w:rsidR="005B4EA4" w:rsidRPr="00B80F09">
        <w:rPr>
          <w:rFonts w:asciiTheme="majorBidi" w:hAnsiTheme="majorBidi" w:cstheme="majorBidi"/>
          <w:b/>
          <w:bCs/>
          <w:color w:val="202124"/>
          <w:shd w:val="clear" w:color="auto" w:fill="FFFFFF"/>
        </w:rPr>
        <w:t>SPSS Inc., Chicago, USA</w:t>
      </w:r>
      <w:r w:rsidRPr="00B80F09">
        <w:rPr>
          <w:rFonts w:asciiTheme="majorBidi" w:hAnsiTheme="majorBidi" w:cstheme="majorBidi"/>
        </w:rPr>
        <w:t>). Quantitative data were represented as mean, standard deviation, median</w:t>
      </w:r>
      <w:r w:rsidR="00AC1237" w:rsidRPr="00B80F09">
        <w:rPr>
          <w:rFonts w:asciiTheme="majorBidi" w:hAnsiTheme="majorBidi" w:cstheme="majorBidi"/>
        </w:rPr>
        <w:t xml:space="preserve">, </w:t>
      </w:r>
      <w:r w:rsidRPr="00B80F09">
        <w:rPr>
          <w:rFonts w:asciiTheme="majorBidi" w:hAnsiTheme="majorBidi" w:cstheme="majorBidi"/>
        </w:rPr>
        <w:t>and range. When the data were not normally distributed</w:t>
      </w:r>
      <w:r w:rsidRPr="00B80F09">
        <w:rPr>
          <w:rFonts w:asciiTheme="majorBidi" w:hAnsiTheme="majorBidi" w:cstheme="majorBidi"/>
          <w:b/>
          <w:bCs/>
          <w:i/>
          <w:iCs/>
        </w:rPr>
        <w:t>, Kruskal Wallis</w:t>
      </w:r>
      <w:r w:rsidRPr="00B80F09">
        <w:rPr>
          <w:rFonts w:asciiTheme="majorBidi" w:hAnsiTheme="majorBidi" w:cstheme="majorBidi"/>
        </w:rPr>
        <w:t xml:space="preserve"> test for comparison of three or more groups. Qualitative data were presented as numbers and percentages. </w:t>
      </w:r>
      <w:r w:rsidR="00253991" w:rsidRPr="00B80F09">
        <w:rPr>
          <w:rFonts w:asciiTheme="majorBidi" w:hAnsiTheme="majorBidi" w:cstheme="majorBidi"/>
        </w:rPr>
        <w:t xml:space="preserve">The </w:t>
      </w:r>
      <w:r w:rsidRPr="00B80F09">
        <w:rPr>
          <w:rFonts w:asciiTheme="majorBidi" w:hAnsiTheme="majorBidi" w:cstheme="majorBidi"/>
          <w:b/>
          <w:bCs/>
          <w:i/>
          <w:iCs/>
        </w:rPr>
        <w:t>Chi</w:t>
      </w:r>
      <w:r w:rsidR="00253991" w:rsidRPr="00B80F09">
        <w:rPr>
          <w:rFonts w:asciiTheme="majorBidi" w:hAnsiTheme="majorBidi" w:cstheme="majorBidi"/>
          <w:b/>
          <w:bCs/>
          <w:i/>
          <w:iCs/>
        </w:rPr>
        <w:t>-</w:t>
      </w:r>
      <w:r w:rsidRPr="00B80F09">
        <w:rPr>
          <w:rFonts w:asciiTheme="majorBidi" w:hAnsiTheme="majorBidi" w:cstheme="majorBidi"/>
          <w:b/>
          <w:bCs/>
          <w:i/>
          <w:iCs/>
        </w:rPr>
        <w:t>square</w:t>
      </w:r>
      <w:r w:rsidRPr="00B80F09">
        <w:rPr>
          <w:rFonts w:asciiTheme="majorBidi" w:hAnsiTheme="majorBidi" w:cstheme="majorBidi"/>
        </w:rPr>
        <w:t xml:space="preserve"> test was used for </w:t>
      </w:r>
      <w:r w:rsidR="00253991" w:rsidRPr="00B80F09">
        <w:rPr>
          <w:rFonts w:asciiTheme="majorBidi" w:hAnsiTheme="majorBidi" w:cstheme="majorBidi"/>
        </w:rPr>
        <w:t xml:space="preserve">the </w:t>
      </w:r>
      <w:r w:rsidRPr="00B80F09">
        <w:rPr>
          <w:rFonts w:asciiTheme="majorBidi" w:hAnsiTheme="majorBidi" w:cstheme="majorBidi"/>
        </w:rPr>
        <w:t xml:space="preserve">comparison </w:t>
      </w:r>
      <w:r w:rsidR="002F5EE5" w:rsidRPr="00B80F09">
        <w:rPr>
          <w:rFonts w:asciiTheme="majorBidi" w:hAnsiTheme="majorBidi" w:cstheme="majorBidi"/>
        </w:rPr>
        <w:t xml:space="preserve">of </w:t>
      </w:r>
      <w:r w:rsidR="00154861" w:rsidRPr="00B80F09">
        <w:rPr>
          <w:rFonts w:asciiTheme="majorBidi" w:hAnsiTheme="majorBidi" w:cstheme="majorBidi"/>
        </w:rPr>
        <w:t>rates</w:t>
      </w:r>
      <w:r w:rsidRPr="00B80F09">
        <w:rPr>
          <w:rFonts w:asciiTheme="majorBidi" w:hAnsiTheme="majorBidi" w:cstheme="majorBidi"/>
        </w:rPr>
        <w:t xml:space="preserve"> in different groups. </w:t>
      </w:r>
      <w:r w:rsidRPr="00B80F09">
        <w:rPr>
          <w:rFonts w:asciiTheme="majorBidi" w:hAnsiTheme="majorBidi" w:cstheme="majorBidi"/>
          <w:b/>
          <w:bCs/>
          <w:i/>
          <w:iCs/>
        </w:rPr>
        <w:t>Spearman's correlation</w:t>
      </w:r>
      <w:r w:rsidRPr="00B80F09">
        <w:rPr>
          <w:rFonts w:asciiTheme="majorBidi" w:hAnsiTheme="majorBidi" w:cstheme="majorBidi"/>
        </w:rPr>
        <w:t xml:space="preserve"> test was used to find a correlation between data. </w:t>
      </w:r>
      <w:r w:rsidRPr="00B80F09">
        <w:rPr>
          <w:rFonts w:asciiTheme="majorBidi" w:hAnsiTheme="majorBidi" w:cstheme="majorBidi"/>
          <w:b/>
          <w:bCs/>
          <w:i/>
          <w:iCs/>
        </w:rPr>
        <w:t xml:space="preserve">Graphs </w:t>
      </w:r>
      <w:r w:rsidRPr="00B80F09">
        <w:rPr>
          <w:rFonts w:asciiTheme="majorBidi" w:hAnsiTheme="majorBidi" w:cstheme="majorBidi"/>
        </w:rPr>
        <w:t xml:space="preserve">were produced by using </w:t>
      </w:r>
      <w:r w:rsidR="00253991" w:rsidRPr="00B80F09">
        <w:rPr>
          <w:rFonts w:asciiTheme="majorBidi" w:hAnsiTheme="majorBidi" w:cstheme="majorBidi"/>
        </w:rPr>
        <w:t xml:space="preserve">the </w:t>
      </w:r>
      <w:r w:rsidRPr="00B80F09">
        <w:rPr>
          <w:rFonts w:asciiTheme="majorBidi" w:hAnsiTheme="majorBidi" w:cstheme="majorBidi"/>
        </w:rPr>
        <w:t>Excel program</w:t>
      </w:r>
      <w:r w:rsidR="00C30633" w:rsidRPr="00B80F09">
        <w:rPr>
          <w:rFonts w:asciiTheme="majorBidi" w:hAnsiTheme="majorBidi" w:cstheme="majorBidi"/>
        </w:rPr>
        <w:t xml:space="preserve"> and SPSS program</w:t>
      </w:r>
      <w:r w:rsidRPr="00B80F09">
        <w:rPr>
          <w:rFonts w:asciiTheme="majorBidi" w:hAnsiTheme="majorBidi" w:cstheme="majorBidi"/>
        </w:rPr>
        <w:t>.</w:t>
      </w:r>
    </w:p>
    <w:p w14:paraId="4AB60D8E" w14:textId="620710BA" w:rsidR="00F83FA6" w:rsidRPr="00B80F09" w:rsidRDefault="00F83FA6" w:rsidP="004D799D">
      <w:pPr>
        <w:tabs>
          <w:tab w:val="left" w:pos="4690"/>
        </w:tabs>
        <w:autoSpaceDE w:val="0"/>
        <w:autoSpaceDN w:val="0"/>
        <w:adjustRightInd w:val="0"/>
        <w:rPr>
          <w:rFonts w:asciiTheme="majorBidi" w:hAnsiTheme="majorBidi" w:cstheme="majorBidi"/>
          <w:b/>
          <w:bCs/>
        </w:rPr>
      </w:pPr>
      <w:r w:rsidRPr="00B80F09">
        <w:rPr>
          <w:rFonts w:asciiTheme="majorBidi" w:hAnsiTheme="majorBidi" w:cstheme="majorBidi"/>
          <w:b/>
          <w:bCs/>
        </w:rPr>
        <w:t>Results:</w:t>
      </w:r>
    </w:p>
    <w:p w14:paraId="4A6E1F38" w14:textId="6F10AB22" w:rsidR="00F83FA6" w:rsidRPr="00B80F09" w:rsidRDefault="00F83FA6" w:rsidP="004D799D">
      <w:pPr>
        <w:jc w:val="both"/>
        <w:rPr>
          <w:rFonts w:asciiTheme="majorBidi" w:hAnsiTheme="majorBidi" w:cstheme="majorBidi"/>
        </w:rPr>
      </w:pPr>
      <w:r w:rsidRPr="00B80F09">
        <w:rPr>
          <w:rFonts w:asciiTheme="majorBidi" w:hAnsiTheme="majorBidi" w:cstheme="majorBidi"/>
        </w:rPr>
        <w:t xml:space="preserve">The authors conducted a case-control study on </w:t>
      </w:r>
      <w:bookmarkStart w:id="5" w:name="_Hlk85356575"/>
      <w:r w:rsidRPr="00B80F09">
        <w:rPr>
          <w:rFonts w:asciiTheme="majorBidi" w:hAnsiTheme="majorBidi" w:cstheme="majorBidi"/>
        </w:rPr>
        <w:t xml:space="preserve">62 non-alcoholic fatty liver disease patients (23 men,39 women). </w:t>
      </w:r>
      <w:bookmarkEnd w:id="5"/>
      <w:r w:rsidRPr="00B80F09">
        <w:rPr>
          <w:rFonts w:asciiTheme="majorBidi" w:hAnsiTheme="majorBidi" w:cstheme="majorBidi"/>
        </w:rPr>
        <w:t>They had a mean age of 44.7 and ranged from 26 to 65 years. The control group included 38 volunteers (11 men, 27 women) with apparently healthy livers (</w:t>
      </w:r>
      <w:r w:rsidR="008C3FB7" w:rsidRPr="00B80F09">
        <w:rPr>
          <w:rFonts w:asciiTheme="majorBidi" w:hAnsiTheme="majorBidi" w:cstheme="majorBidi"/>
        </w:rPr>
        <w:t>normal</w:t>
      </w:r>
      <w:r w:rsidRPr="00B80F09">
        <w:rPr>
          <w:rFonts w:asciiTheme="majorBidi" w:hAnsiTheme="majorBidi" w:cstheme="majorBidi"/>
        </w:rPr>
        <w:t xml:space="preserve"> echo</w:t>
      </w:r>
      <w:r w:rsidR="00401005" w:rsidRPr="00B80F09">
        <w:rPr>
          <w:rFonts w:asciiTheme="majorBidi" w:hAnsiTheme="majorBidi" w:cstheme="majorBidi"/>
        </w:rPr>
        <w:t xml:space="preserve"> </w:t>
      </w:r>
      <w:r w:rsidRPr="00B80F09">
        <w:rPr>
          <w:rFonts w:asciiTheme="majorBidi" w:hAnsiTheme="majorBidi" w:cstheme="majorBidi"/>
        </w:rPr>
        <w:t>pattern by ultrasound). Their mean age was 44.4 years</w:t>
      </w:r>
      <w:r w:rsidR="003E62F3" w:rsidRPr="00B80F09">
        <w:rPr>
          <w:rFonts w:asciiTheme="majorBidi" w:hAnsiTheme="majorBidi" w:cstheme="majorBidi"/>
        </w:rPr>
        <w:t>,</w:t>
      </w:r>
      <w:r w:rsidRPr="00B80F09">
        <w:rPr>
          <w:rFonts w:asciiTheme="majorBidi" w:hAnsiTheme="majorBidi" w:cstheme="majorBidi"/>
        </w:rPr>
        <w:t xml:space="preserve"> ranging from 22 to 70 years. There was no significant difference between NAFLD cases and healthy control as regards age and sex (P-value=0.9, 0.4 respectively).</w:t>
      </w:r>
    </w:p>
    <w:p w14:paraId="7DB07E7B" w14:textId="65F91D02" w:rsidR="00F83FA6" w:rsidRPr="00B80F09" w:rsidRDefault="00F83FA6" w:rsidP="004D799D">
      <w:pPr>
        <w:spacing w:before="240"/>
        <w:jc w:val="both"/>
        <w:rPr>
          <w:rFonts w:asciiTheme="majorBidi" w:hAnsiTheme="majorBidi" w:cstheme="majorBidi"/>
        </w:rPr>
      </w:pPr>
      <w:r w:rsidRPr="00B80F09">
        <w:rPr>
          <w:rFonts w:asciiTheme="majorBidi" w:hAnsiTheme="majorBidi" w:cstheme="majorBidi"/>
        </w:rPr>
        <w:t xml:space="preserve">After fibro-scan examination, we detected </w:t>
      </w:r>
      <w:r w:rsidR="00ED79D2" w:rsidRPr="00B80F09">
        <w:rPr>
          <w:rFonts w:asciiTheme="majorBidi" w:hAnsiTheme="majorBidi" w:cstheme="majorBidi"/>
        </w:rPr>
        <w:t>those 35 patients (56%)</w:t>
      </w:r>
      <w:r w:rsidRPr="00B80F09">
        <w:rPr>
          <w:rFonts w:asciiTheme="majorBidi" w:hAnsiTheme="majorBidi" w:cstheme="majorBidi"/>
        </w:rPr>
        <w:t xml:space="preserve"> had no hepatic fibrosis (F0), while 14 patients (23%) had mild to moderate degree of fibrosis (F1-2), and 13 patients (21%) had advanced liver fibrosis (F3-4) </w:t>
      </w:r>
      <w:bookmarkStart w:id="6" w:name="_Hlk78657822"/>
      <w:r w:rsidRPr="00B80F09">
        <w:rPr>
          <w:rFonts w:asciiTheme="majorBidi" w:hAnsiTheme="majorBidi" w:cstheme="majorBidi"/>
          <w:b/>
          <w:bCs/>
        </w:rPr>
        <w:t>(Fig 1)</w:t>
      </w:r>
      <w:bookmarkEnd w:id="6"/>
      <w:r w:rsidRPr="00B80F09">
        <w:rPr>
          <w:rFonts w:asciiTheme="majorBidi" w:hAnsiTheme="majorBidi" w:cstheme="majorBidi"/>
        </w:rPr>
        <w:t>.</w:t>
      </w:r>
    </w:p>
    <w:p w14:paraId="76F13E66" w14:textId="1C3F2725" w:rsidR="00F83FA6" w:rsidRPr="00B80F09" w:rsidRDefault="00154861" w:rsidP="004D799D">
      <w:pPr>
        <w:spacing w:before="240"/>
        <w:jc w:val="both"/>
        <w:rPr>
          <w:rFonts w:asciiTheme="majorBidi" w:hAnsiTheme="majorBidi" w:cstheme="majorBidi"/>
        </w:rPr>
      </w:pPr>
      <w:r w:rsidRPr="00B80F09">
        <w:rPr>
          <w:rFonts w:asciiTheme="majorBidi" w:hAnsiTheme="majorBidi" w:cstheme="majorBidi"/>
        </w:rPr>
        <w:t>Regarding</w:t>
      </w:r>
      <w:r w:rsidR="00F83FA6" w:rsidRPr="00B80F09">
        <w:rPr>
          <w:rFonts w:asciiTheme="majorBidi" w:hAnsiTheme="majorBidi" w:cstheme="majorBidi"/>
        </w:rPr>
        <w:t xml:space="preserve"> steatosis, 28 patients (45%) had a marked degree of steatosis (S3), 25 patients (40%) had a moderate degree of steatosis (S2)</w:t>
      </w:r>
      <w:r w:rsidR="003E62F3" w:rsidRPr="00B80F09">
        <w:rPr>
          <w:rFonts w:asciiTheme="majorBidi" w:hAnsiTheme="majorBidi" w:cstheme="majorBidi"/>
        </w:rPr>
        <w:t>,</w:t>
      </w:r>
      <w:r w:rsidR="00F83FA6" w:rsidRPr="00B80F09">
        <w:rPr>
          <w:rFonts w:asciiTheme="majorBidi" w:hAnsiTheme="majorBidi" w:cstheme="majorBidi"/>
        </w:rPr>
        <w:t xml:space="preserve"> and </w:t>
      </w:r>
      <w:r w:rsidR="003E62F3" w:rsidRPr="00B80F09">
        <w:rPr>
          <w:rFonts w:asciiTheme="majorBidi" w:hAnsiTheme="majorBidi" w:cstheme="majorBidi"/>
        </w:rPr>
        <w:t>nine</w:t>
      </w:r>
      <w:r w:rsidR="00F83FA6" w:rsidRPr="00B80F09">
        <w:rPr>
          <w:rFonts w:asciiTheme="majorBidi" w:hAnsiTheme="majorBidi" w:cstheme="majorBidi"/>
        </w:rPr>
        <w:t xml:space="preserve"> patients (15%) had a mild degree of steatosis (S1) </w:t>
      </w:r>
      <w:r w:rsidR="00F83FA6" w:rsidRPr="00B80F09">
        <w:rPr>
          <w:rFonts w:asciiTheme="majorBidi" w:hAnsiTheme="majorBidi" w:cstheme="majorBidi"/>
          <w:b/>
          <w:bCs/>
        </w:rPr>
        <w:t>(Fig 2)</w:t>
      </w:r>
      <w:r w:rsidR="00F83FA6" w:rsidRPr="00B80F09">
        <w:rPr>
          <w:rFonts w:asciiTheme="majorBidi" w:hAnsiTheme="majorBidi" w:cstheme="majorBidi"/>
        </w:rPr>
        <w:t>.</w:t>
      </w:r>
    </w:p>
    <w:p w14:paraId="67A44142" w14:textId="77A4F754" w:rsidR="000100E3" w:rsidRPr="00B80F09" w:rsidRDefault="00F83FA6" w:rsidP="004D51FE">
      <w:pPr>
        <w:spacing w:before="240"/>
        <w:jc w:val="both"/>
        <w:rPr>
          <w:rFonts w:asciiTheme="majorBidi" w:hAnsiTheme="majorBidi" w:cstheme="majorBidi"/>
          <w:b/>
          <w:bCs/>
        </w:rPr>
      </w:pPr>
      <w:r w:rsidRPr="00B80F09">
        <w:rPr>
          <w:rFonts w:asciiTheme="majorBidi" w:hAnsiTheme="majorBidi" w:cstheme="majorBidi"/>
        </w:rPr>
        <w:t xml:space="preserve">By abdominal ultrasound examination, we found that the size of the liver and spleen and the thickness of subcutaneous and preperitoneal fat were significantly </w:t>
      </w:r>
      <w:r w:rsidR="003E62F3" w:rsidRPr="00B80F09">
        <w:rPr>
          <w:rFonts w:asciiTheme="majorBidi" w:hAnsiTheme="majorBidi" w:cstheme="majorBidi"/>
        </w:rPr>
        <w:t>larg</w:t>
      </w:r>
      <w:r w:rsidR="00341B43" w:rsidRPr="00B80F09">
        <w:rPr>
          <w:rFonts w:asciiTheme="majorBidi" w:hAnsiTheme="majorBidi" w:cstheme="majorBidi"/>
        </w:rPr>
        <w:t>er</w:t>
      </w:r>
      <w:r w:rsidRPr="00B80F09">
        <w:rPr>
          <w:rFonts w:asciiTheme="majorBidi" w:hAnsiTheme="majorBidi" w:cstheme="majorBidi"/>
        </w:rPr>
        <w:t xml:space="preserve"> among </w:t>
      </w:r>
      <w:bookmarkStart w:id="7" w:name="_Hlk78808679"/>
      <w:r w:rsidRPr="00B80F09">
        <w:rPr>
          <w:rFonts w:asciiTheme="majorBidi" w:hAnsiTheme="majorBidi" w:cstheme="majorBidi"/>
        </w:rPr>
        <w:t xml:space="preserve">NAFLD patients </w:t>
      </w:r>
      <w:r w:rsidR="00341B43" w:rsidRPr="00B80F09">
        <w:rPr>
          <w:rFonts w:asciiTheme="majorBidi" w:hAnsiTheme="majorBidi" w:cstheme="majorBidi"/>
        </w:rPr>
        <w:t>than</w:t>
      </w:r>
      <w:r w:rsidRPr="00B80F09">
        <w:rPr>
          <w:rFonts w:asciiTheme="majorBidi" w:hAnsiTheme="majorBidi" w:cstheme="majorBidi"/>
        </w:rPr>
        <w:t xml:space="preserve"> </w:t>
      </w:r>
      <w:r w:rsidR="003E62F3" w:rsidRPr="00B80F09">
        <w:rPr>
          <w:rFonts w:asciiTheme="majorBidi" w:hAnsiTheme="majorBidi" w:cstheme="majorBidi"/>
        </w:rPr>
        <w:t xml:space="preserve">in </w:t>
      </w:r>
      <w:r w:rsidRPr="00B80F09">
        <w:rPr>
          <w:rFonts w:asciiTheme="majorBidi" w:hAnsiTheme="majorBidi" w:cstheme="majorBidi"/>
        </w:rPr>
        <w:t>the control group</w:t>
      </w:r>
      <w:bookmarkEnd w:id="7"/>
      <w:r w:rsidRPr="00B80F09">
        <w:rPr>
          <w:rFonts w:asciiTheme="majorBidi" w:hAnsiTheme="majorBidi" w:cstheme="majorBidi"/>
        </w:rPr>
        <w:t xml:space="preserve">. Also, there was a significant </w:t>
      </w:r>
      <w:r w:rsidR="006069C5" w:rsidRPr="00B80F09">
        <w:rPr>
          <w:rFonts w:asciiTheme="majorBidi" w:hAnsiTheme="majorBidi" w:cstheme="majorBidi"/>
        </w:rPr>
        <w:t xml:space="preserve">increase in serum triglycerides, serum HDL, serum VLDL, fasting blood sugar, and serum creatinine </w:t>
      </w:r>
      <w:r w:rsidRPr="00B80F09">
        <w:rPr>
          <w:rFonts w:asciiTheme="majorBidi" w:hAnsiTheme="majorBidi" w:cstheme="majorBidi"/>
        </w:rPr>
        <w:t xml:space="preserve">among groups of NAFLD patients </w:t>
      </w:r>
      <w:r w:rsidR="006069C5" w:rsidRPr="00B80F09">
        <w:rPr>
          <w:rFonts w:asciiTheme="majorBidi" w:hAnsiTheme="majorBidi" w:cstheme="majorBidi"/>
        </w:rPr>
        <w:t>than</w:t>
      </w:r>
      <w:r w:rsidRPr="00B80F09">
        <w:rPr>
          <w:rFonts w:asciiTheme="majorBidi" w:hAnsiTheme="majorBidi" w:cstheme="majorBidi"/>
        </w:rPr>
        <w:t xml:space="preserve"> the control group</w:t>
      </w:r>
      <w:bookmarkStart w:id="8" w:name="_Hlk78840751"/>
      <w:r w:rsidR="006069C5" w:rsidRPr="00B80F09">
        <w:rPr>
          <w:rFonts w:asciiTheme="majorBidi" w:hAnsiTheme="majorBidi" w:cstheme="majorBidi"/>
        </w:rPr>
        <w:t xml:space="preserve">. The glomerular filtration rate was significantly lower in patients with NAFLD than in healthy </w:t>
      </w:r>
      <w:r w:rsidR="003E6DE3" w:rsidRPr="00B80F09">
        <w:rPr>
          <w:rFonts w:asciiTheme="majorBidi" w:hAnsiTheme="majorBidi" w:cstheme="majorBidi"/>
        </w:rPr>
        <w:t>control</w:t>
      </w:r>
      <w:r w:rsidR="003E6DE3" w:rsidRPr="00B80F09">
        <w:rPr>
          <w:rFonts w:asciiTheme="majorBidi" w:hAnsiTheme="majorBidi" w:cstheme="majorBidi"/>
          <w:b/>
          <w:bCs/>
        </w:rPr>
        <w:t xml:space="preserve"> (</w:t>
      </w:r>
      <w:r w:rsidRPr="00B80F09">
        <w:rPr>
          <w:rFonts w:asciiTheme="majorBidi" w:hAnsiTheme="majorBidi" w:cstheme="majorBidi"/>
          <w:b/>
          <w:bCs/>
        </w:rPr>
        <w:t>Tab 1</w:t>
      </w:r>
      <w:r w:rsidR="003E6DE3" w:rsidRPr="00B80F09">
        <w:rPr>
          <w:rFonts w:asciiTheme="majorBidi" w:hAnsiTheme="majorBidi" w:cstheme="majorBidi"/>
          <w:b/>
          <w:bCs/>
        </w:rPr>
        <w:t>,2</w:t>
      </w:r>
      <w:r w:rsidRPr="00B80F09">
        <w:rPr>
          <w:rFonts w:asciiTheme="majorBidi" w:hAnsiTheme="majorBidi" w:cstheme="majorBidi"/>
          <w:b/>
          <w:bCs/>
        </w:rPr>
        <w:t>)</w:t>
      </w:r>
      <w:bookmarkEnd w:id="8"/>
      <w:r w:rsidRPr="00B80F09">
        <w:rPr>
          <w:rFonts w:asciiTheme="majorBidi" w:hAnsiTheme="majorBidi" w:cstheme="majorBidi"/>
          <w:b/>
          <w:bCs/>
        </w:rPr>
        <w:t>.</w:t>
      </w:r>
      <w:r w:rsidR="003E6DE3" w:rsidRPr="00B80F09">
        <w:rPr>
          <w:rFonts w:asciiTheme="majorBidi" w:hAnsiTheme="majorBidi" w:cstheme="majorBidi"/>
        </w:rPr>
        <w:t xml:space="preserve"> The </w:t>
      </w:r>
      <w:r w:rsidR="000100E3" w:rsidRPr="00B80F09">
        <w:rPr>
          <w:rFonts w:asciiTheme="majorBidi" w:hAnsiTheme="majorBidi" w:cstheme="majorBidi"/>
        </w:rPr>
        <w:t>occurrence</w:t>
      </w:r>
      <w:r w:rsidR="003E6DE3" w:rsidRPr="00B80F09">
        <w:rPr>
          <w:rFonts w:asciiTheme="majorBidi" w:hAnsiTheme="majorBidi" w:cstheme="majorBidi"/>
        </w:rPr>
        <w:t xml:space="preserve"> of microalbuminuria was </w:t>
      </w:r>
      <w:r w:rsidR="00154861" w:rsidRPr="00B80F09">
        <w:rPr>
          <w:rFonts w:asciiTheme="majorBidi" w:hAnsiTheme="majorBidi" w:cstheme="majorBidi"/>
        </w:rPr>
        <w:t>considerably</w:t>
      </w:r>
      <w:r w:rsidR="003E6DE3" w:rsidRPr="00B80F09">
        <w:rPr>
          <w:rFonts w:asciiTheme="majorBidi" w:hAnsiTheme="majorBidi" w:cstheme="majorBidi"/>
        </w:rPr>
        <w:t xml:space="preserve"> higher in NAFLD patients than </w:t>
      </w:r>
      <w:r w:rsidR="00401005" w:rsidRPr="00B80F09">
        <w:rPr>
          <w:rFonts w:asciiTheme="majorBidi" w:hAnsiTheme="majorBidi" w:cstheme="majorBidi"/>
        </w:rPr>
        <w:t xml:space="preserve">in </w:t>
      </w:r>
      <w:r w:rsidR="003E6DE3" w:rsidRPr="00B80F09">
        <w:rPr>
          <w:rFonts w:asciiTheme="majorBidi" w:hAnsiTheme="majorBidi" w:cstheme="majorBidi"/>
        </w:rPr>
        <w:t xml:space="preserve">healthy control </w:t>
      </w:r>
      <w:r w:rsidR="003E6DE3" w:rsidRPr="00B80F09">
        <w:rPr>
          <w:rFonts w:asciiTheme="majorBidi" w:hAnsiTheme="majorBidi" w:cstheme="majorBidi"/>
          <w:b/>
          <w:bCs/>
        </w:rPr>
        <w:t>(Tab 1)</w:t>
      </w:r>
      <w:r w:rsidR="00ED79D2" w:rsidRPr="00B80F09">
        <w:rPr>
          <w:rFonts w:asciiTheme="majorBidi" w:hAnsiTheme="majorBidi" w:cstheme="majorBidi"/>
          <w:b/>
          <w:bCs/>
        </w:rPr>
        <w:t>.</w:t>
      </w:r>
    </w:p>
    <w:p w14:paraId="33B1EB27" w14:textId="026F4FD2" w:rsidR="000100E3" w:rsidRPr="00B80F09" w:rsidRDefault="000100E3" w:rsidP="000100E3">
      <w:pPr>
        <w:jc w:val="both"/>
        <w:rPr>
          <w:rFonts w:asciiTheme="majorBidi" w:hAnsiTheme="majorBidi" w:cstheme="majorBidi"/>
        </w:rPr>
      </w:pPr>
      <w:r w:rsidRPr="00B80F09">
        <w:rPr>
          <w:rFonts w:asciiTheme="majorBidi" w:hAnsiTheme="majorBidi" w:cstheme="majorBidi"/>
        </w:rPr>
        <w:t>When evaluating stages of CKD according to e GFR</w:t>
      </w:r>
      <w:r w:rsidR="003E62F3" w:rsidRPr="00B80F09">
        <w:rPr>
          <w:rFonts w:asciiTheme="majorBidi" w:hAnsiTheme="majorBidi" w:cstheme="majorBidi"/>
        </w:rPr>
        <w:t>,</w:t>
      </w:r>
      <w:r w:rsidRPr="00B80F09">
        <w:rPr>
          <w:rFonts w:asciiTheme="majorBidi" w:hAnsiTheme="majorBidi" w:cstheme="majorBidi"/>
        </w:rPr>
        <w:t xml:space="preserve"> stage 1 (patients with GFR more than 90 mL/min/1.73 m2) included 44 patients (65.7%), stage 2(patients with GFR from 60:89 mL/min/1.73 m2) included 20 patients (29.3%), and stage 3a (patients with GFR 45:59 mL/min/1.73 m2) </w:t>
      </w:r>
      <w:r w:rsidR="008C3FB7" w:rsidRPr="00B80F09">
        <w:rPr>
          <w:rFonts w:asciiTheme="majorBidi" w:hAnsiTheme="majorBidi" w:cstheme="majorBidi"/>
        </w:rPr>
        <w:t>included</w:t>
      </w:r>
      <w:r w:rsidRPr="00B80F09">
        <w:rPr>
          <w:rFonts w:asciiTheme="majorBidi" w:hAnsiTheme="majorBidi" w:cstheme="majorBidi"/>
        </w:rPr>
        <w:t xml:space="preserve"> </w:t>
      </w:r>
      <w:r w:rsidR="003E62F3" w:rsidRPr="00B80F09">
        <w:rPr>
          <w:rFonts w:asciiTheme="majorBidi" w:hAnsiTheme="majorBidi" w:cstheme="majorBidi"/>
        </w:rPr>
        <w:t>three</w:t>
      </w:r>
      <w:r w:rsidRPr="00B80F09">
        <w:rPr>
          <w:rFonts w:asciiTheme="majorBidi" w:hAnsiTheme="majorBidi" w:cstheme="majorBidi"/>
        </w:rPr>
        <w:t xml:space="preserve"> patients (4.5%). </w:t>
      </w:r>
    </w:p>
    <w:p w14:paraId="6693F208" w14:textId="7CDFFB08" w:rsidR="00F83FA6" w:rsidRPr="00B80F09" w:rsidRDefault="00F83FA6" w:rsidP="000100E3">
      <w:pPr>
        <w:jc w:val="both"/>
        <w:rPr>
          <w:rFonts w:asciiTheme="majorBidi" w:hAnsiTheme="majorBidi" w:cstheme="majorBidi"/>
        </w:rPr>
      </w:pPr>
      <w:r w:rsidRPr="00B80F09">
        <w:rPr>
          <w:rFonts w:asciiTheme="majorBidi" w:hAnsiTheme="majorBidi" w:cstheme="majorBidi"/>
        </w:rPr>
        <w:t>The percentage of patients with chronic kidney diseases (patients with GFR less than 60 ml or micro-albuminuria) were significantly higher among NAFLD groups than in healthy controls</w:t>
      </w:r>
      <w:r w:rsidRPr="00B80F09">
        <w:rPr>
          <w:rFonts w:asciiTheme="majorBidi" w:hAnsiTheme="majorBidi" w:cstheme="majorBidi"/>
          <w:b/>
          <w:bCs/>
        </w:rPr>
        <w:t xml:space="preserve"> (Tab </w:t>
      </w:r>
      <w:r w:rsidR="003E6DE3" w:rsidRPr="00B80F09">
        <w:rPr>
          <w:rFonts w:asciiTheme="majorBidi" w:hAnsiTheme="majorBidi" w:cstheme="majorBidi"/>
          <w:b/>
          <w:bCs/>
        </w:rPr>
        <w:t>3</w:t>
      </w:r>
      <w:r w:rsidRPr="00B80F09">
        <w:rPr>
          <w:rFonts w:asciiTheme="majorBidi" w:hAnsiTheme="majorBidi" w:cstheme="majorBidi"/>
          <w:b/>
          <w:bCs/>
        </w:rPr>
        <w:t>).</w:t>
      </w:r>
    </w:p>
    <w:p w14:paraId="71C737AB" w14:textId="280D8A2A" w:rsidR="005014FA" w:rsidRPr="00B80F09" w:rsidRDefault="00A82D15" w:rsidP="008B6AEE">
      <w:pPr>
        <w:spacing w:before="240"/>
        <w:jc w:val="both"/>
        <w:rPr>
          <w:rFonts w:asciiTheme="majorBidi" w:hAnsiTheme="majorBidi" w:cstheme="majorBidi"/>
        </w:rPr>
      </w:pPr>
      <w:r w:rsidRPr="00B80F09">
        <w:rPr>
          <w:rFonts w:asciiTheme="majorBidi" w:hAnsiTheme="majorBidi" w:cstheme="majorBidi"/>
        </w:rPr>
        <w:t>A</w:t>
      </w:r>
      <w:r w:rsidR="00F83FA6" w:rsidRPr="00B80F09">
        <w:rPr>
          <w:rFonts w:asciiTheme="majorBidi" w:hAnsiTheme="majorBidi" w:cstheme="majorBidi"/>
        </w:rPr>
        <w:t xml:space="preserve">lbumin creatinine ratio </w:t>
      </w:r>
      <w:r w:rsidRPr="00B80F09">
        <w:rPr>
          <w:rFonts w:asciiTheme="majorBidi" w:hAnsiTheme="majorBidi" w:cstheme="majorBidi"/>
        </w:rPr>
        <w:t xml:space="preserve">had </w:t>
      </w:r>
      <w:r w:rsidR="00253991" w:rsidRPr="00B80F09">
        <w:rPr>
          <w:rFonts w:asciiTheme="majorBidi" w:hAnsiTheme="majorBidi" w:cstheme="majorBidi"/>
        </w:rPr>
        <w:t xml:space="preserve">a </w:t>
      </w:r>
      <w:r w:rsidRPr="00B80F09">
        <w:rPr>
          <w:rFonts w:asciiTheme="majorBidi" w:hAnsiTheme="majorBidi" w:cstheme="majorBidi"/>
        </w:rPr>
        <w:t xml:space="preserve">significant positive </w:t>
      </w:r>
      <w:r w:rsidR="00CD69DE" w:rsidRPr="00B80F09">
        <w:rPr>
          <w:rFonts w:asciiTheme="majorBidi" w:hAnsiTheme="majorBidi" w:cstheme="majorBidi"/>
        </w:rPr>
        <w:t>correlation with</w:t>
      </w:r>
      <w:r w:rsidRPr="00B80F09">
        <w:rPr>
          <w:rFonts w:asciiTheme="majorBidi" w:hAnsiTheme="majorBidi" w:cstheme="majorBidi"/>
        </w:rPr>
        <w:t xml:space="preserve"> </w:t>
      </w:r>
      <w:r w:rsidR="00253991" w:rsidRPr="00B80F09">
        <w:rPr>
          <w:rFonts w:asciiTheme="majorBidi" w:hAnsiTheme="majorBidi" w:cstheme="majorBidi"/>
        </w:rPr>
        <w:t xml:space="preserve">the </w:t>
      </w:r>
      <w:r w:rsidR="00F83FA6" w:rsidRPr="00B80F09">
        <w:rPr>
          <w:rFonts w:asciiTheme="majorBidi" w:hAnsiTheme="majorBidi" w:cstheme="majorBidi"/>
        </w:rPr>
        <w:t>subcutaneous fat thickness (r= 0.3, P = 0.03)</w:t>
      </w:r>
      <w:r w:rsidR="00F83FA6" w:rsidRPr="00B80F09">
        <w:rPr>
          <w:rFonts w:asciiTheme="majorBidi" w:hAnsiTheme="majorBidi" w:cstheme="majorBidi"/>
          <w:b/>
          <w:bCs/>
        </w:rPr>
        <w:t xml:space="preserve"> (Fig 3)</w:t>
      </w:r>
      <w:r w:rsidR="00CD69DE" w:rsidRPr="00B80F09">
        <w:rPr>
          <w:rFonts w:asciiTheme="majorBidi" w:hAnsiTheme="majorBidi" w:cstheme="majorBidi"/>
        </w:rPr>
        <w:t>,</w:t>
      </w:r>
      <w:r w:rsidR="00F83FA6" w:rsidRPr="00B80F09">
        <w:rPr>
          <w:rFonts w:asciiTheme="majorBidi" w:hAnsiTheme="majorBidi" w:cstheme="majorBidi"/>
        </w:rPr>
        <w:t xml:space="preserve"> BMI (r= 0.3, P = 0.03)</w:t>
      </w:r>
      <w:r w:rsidR="00CD69DE" w:rsidRPr="00B80F09">
        <w:rPr>
          <w:rFonts w:asciiTheme="majorBidi" w:hAnsiTheme="majorBidi" w:cstheme="majorBidi"/>
          <w:b/>
          <w:bCs/>
        </w:rPr>
        <w:t xml:space="preserve"> </w:t>
      </w:r>
      <w:r w:rsidR="00F83FA6" w:rsidRPr="00B80F09">
        <w:rPr>
          <w:rFonts w:asciiTheme="majorBidi" w:hAnsiTheme="majorBidi" w:cstheme="majorBidi"/>
          <w:b/>
          <w:bCs/>
        </w:rPr>
        <w:t>(Fig 4)</w:t>
      </w:r>
      <w:r w:rsidR="00CD69DE" w:rsidRPr="00B80F09">
        <w:rPr>
          <w:rFonts w:asciiTheme="majorBidi" w:hAnsiTheme="majorBidi" w:cstheme="majorBidi"/>
          <w:b/>
          <w:bCs/>
        </w:rPr>
        <w:t xml:space="preserve">, </w:t>
      </w:r>
      <w:r w:rsidR="00CD69DE" w:rsidRPr="00B80F09">
        <w:rPr>
          <w:rFonts w:asciiTheme="majorBidi" w:hAnsiTheme="majorBidi" w:cstheme="majorBidi"/>
        </w:rPr>
        <w:t>and</w:t>
      </w:r>
      <w:r w:rsidR="00F83FA6" w:rsidRPr="00B80F09">
        <w:rPr>
          <w:rFonts w:asciiTheme="majorBidi" w:hAnsiTheme="majorBidi" w:cstheme="majorBidi"/>
        </w:rPr>
        <w:t xml:space="preserve"> steatosis degrees (r= 0.3, P = 0.007)</w:t>
      </w:r>
      <w:r w:rsidR="00F83FA6" w:rsidRPr="00B80F09">
        <w:rPr>
          <w:rFonts w:asciiTheme="majorBidi" w:hAnsiTheme="majorBidi" w:cstheme="majorBidi"/>
          <w:b/>
          <w:bCs/>
        </w:rPr>
        <w:t xml:space="preserve"> (Fig 5)</w:t>
      </w:r>
      <w:r w:rsidR="00F83FA6" w:rsidRPr="00B80F09">
        <w:rPr>
          <w:rFonts w:asciiTheme="majorBidi" w:hAnsiTheme="majorBidi" w:cstheme="majorBidi"/>
        </w:rPr>
        <w:t xml:space="preserve">. </w:t>
      </w:r>
      <w:r w:rsidR="003E62F3" w:rsidRPr="00B80F09">
        <w:rPr>
          <w:rFonts w:asciiTheme="majorBidi" w:hAnsiTheme="majorBidi" w:cstheme="majorBidi"/>
        </w:rPr>
        <w:t>On the other hand, t</w:t>
      </w:r>
      <w:r w:rsidR="00F83FA6" w:rsidRPr="00B80F09">
        <w:rPr>
          <w:rFonts w:asciiTheme="majorBidi" w:hAnsiTheme="majorBidi" w:cstheme="majorBidi"/>
        </w:rPr>
        <w:t>he estimated glomerular filtration rate and the age of the patients</w:t>
      </w:r>
      <w:r w:rsidR="00524C54" w:rsidRPr="00B80F09">
        <w:rPr>
          <w:rFonts w:asciiTheme="majorBidi" w:hAnsiTheme="majorBidi" w:cstheme="majorBidi"/>
        </w:rPr>
        <w:t xml:space="preserve"> had </w:t>
      </w:r>
      <w:r w:rsidR="00253991" w:rsidRPr="00B80F09">
        <w:rPr>
          <w:rFonts w:asciiTheme="majorBidi" w:hAnsiTheme="majorBidi" w:cstheme="majorBidi"/>
        </w:rPr>
        <w:t xml:space="preserve">a </w:t>
      </w:r>
      <w:r w:rsidR="00524C54" w:rsidRPr="00B80F09">
        <w:rPr>
          <w:rFonts w:asciiTheme="majorBidi" w:hAnsiTheme="majorBidi" w:cstheme="majorBidi"/>
        </w:rPr>
        <w:t>significant negative correlation</w:t>
      </w:r>
      <w:r w:rsidR="00F83FA6" w:rsidRPr="00B80F09">
        <w:rPr>
          <w:rFonts w:asciiTheme="majorBidi" w:hAnsiTheme="majorBidi" w:cstheme="majorBidi"/>
        </w:rPr>
        <w:t xml:space="preserve"> (r= - 0.3, P = 0.04)</w:t>
      </w:r>
      <w:r w:rsidR="00F83FA6" w:rsidRPr="00B80F09">
        <w:rPr>
          <w:rFonts w:asciiTheme="majorBidi" w:hAnsiTheme="majorBidi" w:cstheme="majorBidi"/>
          <w:b/>
          <w:bCs/>
        </w:rPr>
        <w:t xml:space="preserve"> (Fig 6). </w:t>
      </w:r>
      <w:r w:rsidR="003E62F3" w:rsidRPr="00B80F09">
        <w:rPr>
          <w:rFonts w:asciiTheme="majorBidi" w:hAnsiTheme="majorBidi" w:cstheme="majorBidi"/>
        </w:rPr>
        <w:t>Conversely, t</w:t>
      </w:r>
      <w:r w:rsidR="00A36839" w:rsidRPr="00B80F09">
        <w:rPr>
          <w:rFonts w:asciiTheme="majorBidi" w:hAnsiTheme="majorBidi" w:cstheme="majorBidi"/>
        </w:rPr>
        <w:t xml:space="preserve">he estimated glomerular filtration rate and the AST level had a significant positive correlation </w:t>
      </w:r>
      <w:r w:rsidR="00F83FA6" w:rsidRPr="00B80F09">
        <w:rPr>
          <w:rFonts w:asciiTheme="majorBidi" w:hAnsiTheme="majorBidi" w:cstheme="majorBidi"/>
        </w:rPr>
        <w:t>(r= 0.4, P = 0.000)</w:t>
      </w:r>
      <w:r w:rsidR="00F83FA6" w:rsidRPr="00B80F09">
        <w:rPr>
          <w:rFonts w:asciiTheme="majorBidi" w:hAnsiTheme="majorBidi" w:cstheme="majorBidi"/>
          <w:b/>
          <w:bCs/>
        </w:rPr>
        <w:t xml:space="preserve"> (Fig </w:t>
      </w:r>
      <w:r w:rsidR="008B6AEE" w:rsidRPr="00B80F09">
        <w:rPr>
          <w:rFonts w:asciiTheme="majorBidi" w:hAnsiTheme="majorBidi" w:cstheme="majorBidi"/>
          <w:b/>
          <w:bCs/>
        </w:rPr>
        <w:t>7)</w:t>
      </w:r>
      <w:r w:rsidR="00181C94" w:rsidRPr="00B80F09">
        <w:rPr>
          <w:rFonts w:asciiTheme="majorBidi" w:hAnsiTheme="majorBidi" w:cstheme="majorBidi"/>
          <w:b/>
          <w:bCs/>
        </w:rPr>
        <w:t>.</w:t>
      </w:r>
    </w:p>
    <w:p w14:paraId="395CFA16" w14:textId="42E10936" w:rsidR="00ED79D2" w:rsidRPr="00ED79D2" w:rsidRDefault="00ED79D2" w:rsidP="00ED79D2">
      <w:pPr>
        <w:pStyle w:val="Caption"/>
        <w:keepNext/>
        <w:rPr>
          <w:b/>
          <w:bCs/>
        </w:rPr>
      </w:pPr>
      <w:r>
        <w:t xml:space="preserve">Table </w:t>
      </w:r>
      <w:fldSimple w:instr=" SEQ Table \* ARABIC ">
        <w:r w:rsidR="0045764C">
          <w:rPr>
            <w:noProof/>
          </w:rPr>
          <w:t>1</w:t>
        </w:r>
      </w:fldSimple>
      <w:r>
        <w:t>.</w:t>
      </w:r>
      <w:r w:rsidRPr="00ED79D2">
        <w:rPr>
          <w:rFonts w:asciiTheme="majorBidi" w:hAnsiTheme="majorBidi" w:cstheme="majorBidi"/>
          <w:b/>
          <w:bCs/>
          <w:lang w:bidi="ar-EG"/>
        </w:rPr>
        <w:t xml:space="preserve"> </w:t>
      </w:r>
      <w:r w:rsidRPr="00ED79D2">
        <w:rPr>
          <w:b/>
          <w:bCs/>
        </w:rPr>
        <w:t>Clinical and laboratory characteristics of all NAFLD patients and healthy control.</w:t>
      </w:r>
    </w:p>
    <w:tbl>
      <w:tblPr>
        <w:tblStyle w:val="TableGrid"/>
        <w:tblW w:w="102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700"/>
        <w:gridCol w:w="3060"/>
        <w:gridCol w:w="1530"/>
      </w:tblGrid>
      <w:tr w:rsidR="005014FA" w:rsidRPr="00ED79D2" w14:paraId="74381825" w14:textId="77777777" w:rsidTr="005A5F5C">
        <w:trPr>
          <w:trHeight w:val="179"/>
        </w:trPr>
        <w:tc>
          <w:tcPr>
            <w:tcW w:w="2970" w:type="dxa"/>
            <w:tcBorders>
              <w:top w:val="single" w:sz="4" w:space="0" w:color="auto"/>
            </w:tcBorders>
          </w:tcPr>
          <w:p w14:paraId="484F78D6" w14:textId="23964F77" w:rsidR="005014FA" w:rsidRPr="00ED79D2" w:rsidRDefault="005014FA" w:rsidP="006A783E">
            <w:pPr>
              <w:spacing w:line="480" w:lineRule="auto"/>
              <w:jc w:val="both"/>
              <w:rPr>
                <w:rFonts w:asciiTheme="majorBidi" w:hAnsiTheme="majorBidi" w:cstheme="majorBidi"/>
                <w:b/>
                <w:bCs/>
                <w:sz w:val="16"/>
                <w:szCs w:val="16"/>
              </w:rPr>
            </w:pPr>
            <w:r w:rsidRPr="00ED79D2">
              <w:rPr>
                <w:b/>
                <w:bCs/>
                <w:sz w:val="16"/>
                <w:szCs w:val="16"/>
                <w:lang w:bidi="ar-EG"/>
              </w:rPr>
              <w:t>Clinical</w:t>
            </w:r>
            <w:r w:rsidR="00ED79D2" w:rsidRPr="00ED79D2">
              <w:rPr>
                <w:b/>
                <w:bCs/>
                <w:sz w:val="16"/>
                <w:szCs w:val="16"/>
                <w:lang w:bidi="ar-EG"/>
              </w:rPr>
              <w:t xml:space="preserve"> &amp;</w:t>
            </w:r>
            <w:r w:rsidRPr="00ED79D2">
              <w:rPr>
                <w:b/>
                <w:bCs/>
                <w:sz w:val="16"/>
                <w:szCs w:val="16"/>
                <w:lang w:bidi="ar-EG"/>
              </w:rPr>
              <w:t>d laboratory variables</w:t>
            </w:r>
          </w:p>
        </w:tc>
        <w:tc>
          <w:tcPr>
            <w:tcW w:w="2700" w:type="dxa"/>
            <w:tcBorders>
              <w:top w:val="single" w:sz="4" w:space="0" w:color="auto"/>
            </w:tcBorders>
          </w:tcPr>
          <w:p w14:paraId="5A4B042C" w14:textId="79B1B2FC" w:rsidR="005014FA" w:rsidRPr="00ED79D2" w:rsidRDefault="005014FA" w:rsidP="00ED79D2">
            <w:pPr>
              <w:rPr>
                <w:b/>
                <w:bCs/>
                <w:sz w:val="16"/>
                <w:szCs w:val="16"/>
                <w:lang w:bidi="ar-EG"/>
              </w:rPr>
            </w:pPr>
            <w:r w:rsidRPr="00ED79D2">
              <w:rPr>
                <w:b/>
                <w:bCs/>
                <w:sz w:val="16"/>
                <w:szCs w:val="16"/>
                <w:lang w:bidi="ar-EG"/>
              </w:rPr>
              <w:t>NAFLD Patients</w:t>
            </w:r>
            <w:r w:rsidR="00ED79D2" w:rsidRPr="00ED79D2">
              <w:rPr>
                <w:b/>
                <w:bCs/>
                <w:sz w:val="16"/>
                <w:szCs w:val="16"/>
                <w:lang w:bidi="ar-EG"/>
              </w:rPr>
              <w:t xml:space="preserve"> </w:t>
            </w:r>
            <w:r w:rsidRPr="00ED79D2">
              <w:rPr>
                <w:b/>
                <w:bCs/>
                <w:sz w:val="16"/>
                <w:szCs w:val="16"/>
                <w:lang w:bidi="ar-EG"/>
              </w:rPr>
              <w:t>N=62</w:t>
            </w:r>
          </w:p>
        </w:tc>
        <w:tc>
          <w:tcPr>
            <w:tcW w:w="3060" w:type="dxa"/>
            <w:tcBorders>
              <w:top w:val="single" w:sz="4" w:space="0" w:color="auto"/>
            </w:tcBorders>
          </w:tcPr>
          <w:p w14:paraId="03A27EAF" w14:textId="49B0D5B4" w:rsidR="005014FA" w:rsidRPr="00ED79D2" w:rsidRDefault="005014FA" w:rsidP="00ED79D2">
            <w:pPr>
              <w:rPr>
                <w:rFonts w:asciiTheme="majorBidi" w:hAnsiTheme="majorBidi" w:cstheme="majorBidi"/>
                <w:b/>
                <w:bCs/>
                <w:sz w:val="16"/>
                <w:szCs w:val="16"/>
              </w:rPr>
            </w:pPr>
            <w:r w:rsidRPr="00ED79D2">
              <w:rPr>
                <w:b/>
                <w:bCs/>
                <w:sz w:val="16"/>
                <w:szCs w:val="16"/>
                <w:lang w:bidi="ar-EG"/>
              </w:rPr>
              <w:t>Control</w:t>
            </w:r>
            <w:r w:rsidR="00ED79D2" w:rsidRPr="00ED79D2">
              <w:rPr>
                <w:b/>
                <w:bCs/>
                <w:sz w:val="16"/>
                <w:szCs w:val="16"/>
                <w:lang w:bidi="ar-EG"/>
              </w:rPr>
              <w:t xml:space="preserve"> </w:t>
            </w:r>
            <w:r w:rsidRPr="00ED79D2">
              <w:rPr>
                <w:b/>
                <w:bCs/>
                <w:sz w:val="16"/>
                <w:szCs w:val="16"/>
                <w:lang w:bidi="ar-EG"/>
              </w:rPr>
              <w:t>Grou</w:t>
            </w:r>
            <w:r w:rsidR="00113F9B" w:rsidRPr="00ED79D2">
              <w:rPr>
                <w:b/>
                <w:bCs/>
                <w:sz w:val="16"/>
                <w:szCs w:val="16"/>
                <w:lang w:bidi="ar-EG"/>
              </w:rPr>
              <w:t>p</w:t>
            </w:r>
            <w:r w:rsidR="00ED79D2" w:rsidRPr="00ED79D2">
              <w:rPr>
                <w:b/>
                <w:bCs/>
                <w:sz w:val="16"/>
                <w:szCs w:val="16"/>
                <w:lang w:bidi="ar-EG"/>
              </w:rPr>
              <w:t xml:space="preserve"> </w:t>
            </w:r>
            <w:r w:rsidRPr="00ED79D2">
              <w:rPr>
                <w:b/>
                <w:bCs/>
                <w:sz w:val="16"/>
                <w:szCs w:val="16"/>
                <w:lang w:bidi="ar-EG"/>
              </w:rPr>
              <w:t>N=38</w:t>
            </w:r>
          </w:p>
        </w:tc>
        <w:tc>
          <w:tcPr>
            <w:tcW w:w="1530" w:type="dxa"/>
            <w:tcBorders>
              <w:top w:val="single" w:sz="4" w:space="0" w:color="auto"/>
            </w:tcBorders>
          </w:tcPr>
          <w:p w14:paraId="141B3E77" w14:textId="77777777" w:rsidR="005014FA" w:rsidRPr="00ED79D2" w:rsidRDefault="005014FA" w:rsidP="00ED79D2">
            <w:pPr>
              <w:spacing w:line="480" w:lineRule="auto"/>
              <w:rPr>
                <w:rFonts w:asciiTheme="majorBidi" w:hAnsiTheme="majorBidi" w:cstheme="majorBidi"/>
                <w:b/>
                <w:bCs/>
                <w:sz w:val="16"/>
                <w:szCs w:val="16"/>
              </w:rPr>
            </w:pPr>
            <w:r w:rsidRPr="00ED79D2">
              <w:rPr>
                <w:b/>
                <w:bCs/>
                <w:sz w:val="16"/>
                <w:szCs w:val="16"/>
                <w:lang w:bidi="ar-EG"/>
              </w:rPr>
              <w:t>P-value</w:t>
            </w:r>
          </w:p>
        </w:tc>
      </w:tr>
      <w:tr w:rsidR="005014FA" w:rsidRPr="00ED79D2" w14:paraId="0E6DB414" w14:textId="77777777" w:rsidTr="005A5F5C">
        <w:trPr>
          <w:trHeight w:val="170"/>
        </w:trPr>
        <w:tc>
          <w:tcPr>
            <w:tcW w:w="2970" w:type="dxa"/>
            <w:tcBorders>
              <w:top w:val="single" w:sz="4" w:space="0" w:color="auto"/>
            </w:tcBorders>
            <w:shd w:val="clear" w:color="auto" w:fill="auto"/>
          </w:tcPr>
          <w:p w14:paraId="292B722C" w14:textId="77777777" w:rsidR="005014FA" w:rsidRPr="005A5F5C" w:rsidRDefault="005014FA" w:rsidP="006A783E">
            <w:pPr>
              <w:spacing w:line="480" w:lineRule="auto"/>
              <w:jc w:val="both"/>
              <w:rPr>
                <w:rFonts w:asciiTheme="majorBidi" w:hAnsiTheme="majorBidi" w:cstheme="majorBidi"/>
                <w:sz w:val="16"/>
                <w:szCs w:val="16"/>
              </w:rPr>
            </w:pPr>
            <w:r w:rsidRPr="005A5F5C">
              <w:rPr>
                <w:sz w:val="16"/>
                <w:szCs w:val="16"/>
                <w:lang w:bidi="ar-EG"/>
              </w:rPr>
              <w:t xml:space="preserve">Age (years), </w:t>
            </w:r>
            <w:proofErr w:type="spellStart"/>
            <w:r w:rsidRPr="005A5F5C">
              <w:rPr>
                <w:sz w:val="16"/>
                <w:szCs w:val="16"/>
                <w:lang w:bidi="ar-EG"/>
              </w:rPr>
              <w:t>mean±SD</w:t>
            </w:r>
            <w:proofErr w:type="spellEnd"/>
          </w:p>
        </w:tc>
        <w:tc>
          <w:tcPr>
            <w:tcW w:w="2700" w:type="dxa"/>
            <w:tcBorders>
              <w:top w:val="single" w:sz="4" w:space="0" w:color="auto"/>
            </w:tcBorders>
          </w:tcPr>
          <w:p w14:paraId="17F654A7" w14:textId="187FFBC6" w:rsidR="005014FA" w:rsidRPr="00ED79D2" w:rsidRDefault="00113F9B" w:rsidP="005A5F5C">
            <w:pPr>
              <w:spacing w:line="480" w:lineRule="auto"/>
              <w:jc w:val="center"/>
              <w:rPr>
                <w:sz w:val="16"/>
                <w:szCs w:val="16"/>
                <w:lang w:bidi="ar-EG"/>
              </w:rPr>
            </w:pPr>
            <w:r w:rsidRPr="00ED79D2">
              <w:rPr>
                <w:sz w:val="16"/>
                <w:szCs w:val="16"/>
                <w:lang w:bidi="ar-EG"/>
              </w:rPr>
              <w:t>45±10.5</w:t>
            </w:r>
          </w:p>
        </w:tc>
        <w:tc>
          <w:tcPr>
            <w:tcW w:w="3060" w:type="dxa"/>
            <w:tcBorders>
              <w:top w:val="single" w:sz="4" w:space="0" w:color="auto"/>
            </w:tcBorders>
          </w:tcPr>
          <w:p w14:paraId="6B78DBBB" w14:textId="0AEBED2C" w:rsidR="005014FA" w:rsidRPr="00ED79D2" w:rsidRDefault="005014FA" w:rsidP="00DA136F">
            <w:pPr>
              <w:spacing w:line="480" w:lineRule="auto"/>
              <w:jc w:val="center"/>
              <w:rPr>
                <w:rFonts w:asciiTheme="majorBidi" w:hAnsiTheme="majorBidi" w:cstheme="majorBidi"/>
                <w:b/>
                <w:bCs/>
                <w:sz w:val="16"/>
                <w:szCs w:val="16"/>
              </w:rPr>
            </w:pPr>
            <w:r w:rsidRPr="00ED79D2">
              <w:rPr>
                <w:sz w:val="16"/>
                <w:szCs w:val="16"/>
                <w:lang w:bidi="ar-EG"/>
              </w:rPr>
              <w:t>44.4±14.7</w:t>
            </w:r>
          </w:p>
        </w:tc>
        <w:tc>
          <w:tcPr>
            <w:tcW w:w="1530" w:type="dxa"/>
            <w:tcBorders>
              <w:top w:val="single" w:sz="4" w:space="0" w:color="auto"/>
            </w:tcBorders>
            <w:shd w:val="clear" w:color="auto" w:fill="auto"/>
          </w:tcPr>
          <w:p w14:paraId="169287BA" w14:textId="38BECFFF"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0.9</w:t>
            </w:r>
          </w:p>
        </w:tc>
      </w:tr>
      <w:tr w:rsidR="005014FA" w:rsidRPr="00ED79D2" w14:paraId="34B322C3" w14:textId="77777777" w:rsidTr="00ED79D2">
        <w:trPr>
          <w:trHeight w:val="323"/>
        </w:trPr>
        <w:tc>
          <w:tcPr>
            <w:tcW w:w="2970" w:type="dxa"/>
            <w:shd w:val="clear" w:color="auto" w:fill="auto"/>
          </w:tcPr>
          <w:p w14:paraId="63661C26" w14:textId="345DD5E8" w:rsidR="005014FA" w:rsidRPr="005A5F5C" w:rsidRDefault="005014FA" w:rsidP="00ED79D2">
            <w:pPr>
              <w:rPr>
                <w:rFonts w:asciiTheme="majorBidi" w:hAnsiTheme="majorBidi" w:cstheme="majorBidi"/>
                <w:sz w:val="16"/>
                <w:szCs w:val="16"/>
              </w:rPr>
            </w:pPr>
            <w:r w:rsidRPr="005A5F5C">
              <w:rPr>
                <w:sz w:val="16"/>
                <w:szCs w:val="16"/>
                <w:lang w:bidi="ar-EG"/>
              </w:rPr>
              <w:t>Male,</w:t>
            </w:r>
            <w:r w:rsidR="00ED79D2" w:rsidRPr="005A5F5C">
              <w:rPr>
                <w:sz w:val="16"/>
                <w:szCs w:val="16"/>
                <w:lang w:bidi="ar-EG"/>
              </w:rPr>
              <w:t xml:space="preserve"> </w:t>
            </w:r>
            <w:r w:rsidRPr="005A5F5C">
              <w:rPr>
                <w:sz w:val="16"/>
                <w:szCs w:val="16"/>
                <w:lang w:bidi="ar-EG"/>
              </w:rPr>
              <w:t>n%</w:t>
            </w:r>
            <w:r w:rsidR="00ED79D2" w:rsidRPr="005A5F5C">
              <w:rPr>
                <w:sz w:val="16"/>
                <w:szCs w:val="16"/>
                <w:lang w:bidi="ar-EG"/>
              </w:rPr>
              <w:t xml:space="preserve"> </w:t>
            </w:r>
            <w:r w:rsidRPr="005A5F5C">
              <w:rPr>
                <w:sz w:val="16"/>
                <w:szCs w:val="16"/>
                <w:lang w:bidi="ar-EG"/>
              </w:rPr>
              <w:t>Female, n%</w:t>
            </w:r>
          </w:p>
        </w:tc>
        <w:tc>
          <w:tcPr>
            <w:tcW w:w="2700" w:type="dxa"/>
          </w:tcPr>
          <w:p w14:paraId="6C754497" w14:textId="024DE90A" w:rsidR="005014FA" w:rsidRPr="00ED79D2" w:rsidRDefault="006827BD" w:rsidP="005A5F5C">
            <w:pPr>
              <w:jc w:val="center"/>
              <w:rPr>
                <w:sz w:val="16"/>
                <w:szCs w:val="16"/>
                <w:lang w:bidi="ar-EG"/>
              </w:rPr>
            </w:pPr>
            <w:r w:rsidRPr="00ED79D2">
              <w:rPr>
                <w:sz w:val="16"/>
                <w:szCs w:val="16"/>
                <w:lang w:bidi="ar-EG"/>
              </w:rPr>
              <w:t>23</w:t>
            </w:r>
            <w:r w:rsidR="00DA136F" w:rsidRPr="00ED79D2">
              <w:rPr>
                <w:sz w:val="16"/>
                <w:szCs w:val="16"/>
                <w:lang w:bidi="ar-EG"/>
              </w:rPr>
              <w:t xml:space="preserve"> (37%)</w:t>
            </w:r>
            <w:r w:rsidRPr="00ED79D2">
              <w:rPr>
                <w:sz w:val="16"/>
                <w:szCs w:val="16"/>
                <w:lang w:bidi="ar-EG"/>
              </w:rPr>
              <w:t>/39</w:t>
            </w:r>
            <w:r w:rsidR="00DA136F" w:rsidRPr="00ED79D2">
              <w:rPr>
                <w:sz w:val="16"/>
                <w:szCs w:val="16"/>
                <w:lang w:bidi="ar-EG"/>
              </w:rPr>
              <w:t>(63%)</w:t>
            </w:r>
          </w:p>
        </w:tc>
        <w:tc>
          <w:tcPr>
            <w:tcW w:w="3060" w:type="dxa"/>
          </w:tcPr>
          <w:p w14:paraId="44B6D091" w14:textId="37A028F7" w:rsidR="005014FA" w:rsidRPr="00ED79D2" w:rsidRDefault="005014FA" w:rsidP="00DA136F">
            <w:pPr>
              <w:jc w:val="center"/>
              <w:rPr>
                <w:sz w:val="16"/>
                <w:szCs w:val="16"/>
                <w:lang w:bidi="ar-EG"/>
              </w:rPr>
            </w:pPr>
            <w:r w:rsidRPr="00ED79D2">
              <w:rPr>
                <w:sz w:val="16"/>
                <w:szCs w:val="16"/>
                <w:lang w:bidi="ar-EG"/>
              </w:rPr>
              <w:t>11 (29%)</w:t>
            </w:r>
            <w:r w:rsidR="00DA136F" w:rsidRPr="00ED79D2">
              <w:rPr>
                <w:sz w:val="16"/>
                <w:szCs w:val="16"/>
                <w:lang w:bidi="ar-EG"/>
              </w:rPr>
              <w:t>/</w:t>
            </w:r>
            <w:r w:rsidRPr="00ED79D2">
              <w:rPr>
                <w:sz w:val="16"/>
                <w:szCs w:val="16"/>
                <w:lang w:bidi="ar-EG"/>
              </w:rPr>
              <w:t>17(71%)</w:t>
            </w:r>
          </w:p>
        </w:tc>
        <w:tc>
          <w:tcPr>
            <w:tcW w:w="1530" w:type="dxa"/>
            <w:shd w:val="clear" w:color="auto" w:fill="auto"/>
          </w:tcPr>
          <w:p w14:paraId="346C2ACF" w14:textId="1F0F00CC"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w:t>
            </w:r>
            <w:r w:rsidR="006827BD" w:rsidRPr="00ED79D2">
              <w:rPr>
                <w:sz w:val="16"/>
                <w:szCs w:val="16"/>
                <w:lang w:bidi="ar-EG"/>
              </w:rPr>
              <w:t>4</w:t>
            </w:r>
          </w:p>
        </w:tc>
      </w:tr>
      <w:tr w:rsidR="005014FA" w:rsidRPr="00ED79D2" w14:paraId="513C8275" w14:textId="77777777" w:rsidTr="00ED79D2">
        <w:trPr>
          <w:trHeight w:val="296"/>
        </w:trPr>
        <w:tc>
          <w:tcPr>
            <w:tcW w:w="2970" w:type="dxa"/>
            <w:shd w:val="clear" w:color="auto" w:fill="auto"/>
          </w:tcPr>
          <w:p w14:paraId="57496B54" w14:textId="77777777" w:rsidR="005014FA" w:rsidRPr="005A5F5C" w:rsidRDefault="005014FA" w:rsidP="006A783E">
            <w:pPr>
              <w:spacing w:line="480" w:lineRule="auto"/>
              <w:jc w:val="both"/>
              <w:rPr>
                <w:rFonts w:asciiTheme="majorBidi" w:hAnsiTheme="majorBidi" w:cstheme="majorBidi"/>
                <w:sz w:val="16"/>
                <w:szCs w:val="16"/>
              </w:rPr>
            </w:pPr>
            <w:r w:rsidRPr="005A5F5C">
              <w:rPr>
                <w:sz w:val="16"/>
                <w:szCs w:val="16"/>
                <w:lang w:bidi="ar-EG"/>
              </w:rPr>
              <w:t xml:space="preserve">BMI (Kg/m2), </w:t>
            </w:r>
            <w:proofErr w:type="spellStart"/>
            <w:r w:rsidRPr="005A5F5C">
              <w:rPr>
                <w:sz w:val="16"/>
                <w:szCs w:val="16"/>
                <w:lang w:bidi="ar-EG"/>
              </w:rPr>
              <w:t>mean±SD</w:t>
            </w:r>
            <w:proofErr w:type="spellEnd"/>
          </w:p>
        </w:tc>
        <w:tc>
          <w:tcPr>
            <w:tcW w:w="2700" w:type="dxa"/>
          </w:tcPr>
          <w:p w14:paraId="36164A40" w14:textId="73CDB838" w:rsidR="005014FA" w:rsidRPr="00ED79D2" w:rsidRDefault="006827BD" w:rsidP="005A5F5C">
            <w:pPr>
              <w:spacing w:line="480" w:lineRule="auto"/>
              <w:jc w:val="center"/>
              <w:rPr>
                <w:sz w:val="16"/>
                <w:szCs w:val="16"/>
                <w:lang w:bidi="ar-EG"/>
              </w:rPr>
            </w:pPr>
            <w:r w:rsidRPr="00ED79D2">
              <w:rPr>
                <w:sz w:val="16"/>
                <w:szCs w:val="16"/>
                <w:lang w:bidi="ar-EG"/>
              </w:rPr>
              <w:t>33.7±6.2</w:t>
            </w:r>
          </w:p>
        </w:tc>
        <w:tc>
          <w:tcPr>
            <w:tcW w:w="3060" w:type="dxa"/>
          </w:tcPr>
          <w:p w14:paraId="3370E61D" w14:textId="69D5471E" w:rsidR="005014FA" w:rsidRPr="00ED79D2" w:rsidRDefault="005014FA" w:rsidP="00DA136F">
            <w:pPr>
              <w:spacing w:line="480" w:lineRule="auto"/>
              <w:jc w:val="center"/>
              <w:rPr>
                <w:rFonts w:asciiTheme="majorBidi" w:hAnsiTheme="majorBidi" w:cstheme="majorBidi"/>
                <w:b/>
                <w:bCs/>
                <w:sz w:val="16"/>
                <w:szCs w:val="16"/>
              </w:rPr>
            </w:pPr>
            <w:r w:rsidRPr="00ED79D2">
              <w:rPr>
                <w:sz w:val="16"/>
                <w:szCs w:val="16"/>
                <w:lang w:bidi="ar-EG"/>
              </w:rPr>
              <w:t>31.5±5.8</w:t>
            </w:r>
          </w:p>
        </w:tc>
        <w:tc>
          <w:tcPr>
            <w:tcW w:w="1530" w:type="dxa"/>
            <w:shd w:val="clear" w:color="auto" w:fill="auto"/>
          </w:tcPr>
          <w:p w14:paraId="0D38A5C7" w14:textId="6EB8109A"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0.06</w:t>
            </w:r>
          </w:p>
        </w:tc>
      </w:tr>
      <w:tr w:rsidR="005014FA" w:rsidRPr="00ED79D2" w14:paraId="076A9861" w14:textId="77777777" w:rsidTr="00ED79D2">
        <w:trPr>
          <w:trHeight w:val="287"/>
        </w:trPr>
        <w:tc>
          <w:tcPr>
            <w:tcW w:w="2970" w:type="dxa"/>
            <w:shd w:val="clear" w:color="auto" w:fill="auto"/>
          </w:tcPr>
          <w:p w14:paraId="6BEA8E41" w14:textId="2AA84DB3" w:rsidR="005014FA" w:rsidRPr="00DB133F" w:rsidRDefault="005014FA" w:rsidP="00ED79D2">
            <w:pPr>
              <w:autoSpaceDE w:val="0"/>
              <w:autoSpaceDN w:val="0"/>
              <w:adjustRightInd w:val="0"/>
              <w:rPr>
                <w:sz w:val="16"/>
                <w:szCs w:val="16"/>
                <w:lang w:bidi="ar-EG"/>
              </w:rPr>
            </w:pPr>
            <w:r w:rsidRPr="005A5F5C">
              <w:rPr>
                <w:sz w:val="16"/>
                <w:szCs w:val="16"/>
                <w:lang w:bidi="ar-EG"/>
              </w:rPr>
              <w:t xml:space="preserve">ALT (IU/L), </w:t>
            </w:r>
            <w:proofErr w:type="gramStart"/>
            <w:r w:rsidRPr="005A5F5C">
              <w:rPr>
                <w:sz w:val="16"/>
                <w:szCs w:val="16"/>
                <w:lang w:bidi="ar-EG"/>
              </w:rPr>
              <w:t>median</w:t>
            </w:r>
            <w:r w:rsidR="007C3303" w:rsidRPr="005A5F5C">
              <w:rPr>
                <w:sz w:val="16"/>
                <w:szCs w:val="16"/>
                <w:lang w:bidi="ar-EG"/>
              </w:rPr>
              <w:t>(</w:t>
            </w:r>
            <w:proofErr w:type="gramEnd"/>
            <w:r w:rsidR="007C3303" w:rsidRPr="00DB133F">
              <w:rPr>
                <w:sz w:val="16"/>
                <w:szCs w:val="16"/>
                <w:lang w:bidi="ar-EG"/>
              </w:rPr>
              <w:t>IQR)</w:t>
            </w:r>
            <w:r w:rsidRPr="005A5F5C">
              <w:rPr>
                <w:sz w:val="16"/>
                <w:szCs w:val="16"/>
                <w:lang w:bidi="ar-EG"/>
              </w:rPr>
              <w:t>)</w:t>
            </w:r>
          </w:p>
        </w:tc>
        <w:tc>
          <w:tcPr>
            <w:tcW w:w="2700" w:type="dxa"/>
          </w:tcPr>
          <w:p w14:paraId="5A591A5F" w14:textId="2BED9944" w:rsidR="005014FA" w:rsidRPr="00ED79D2" w:rsidRDefault="006827BD" w:rsidP="005A5F5C">
            <w:pPr>
              <w:jc w:val="center"/>
              <w:rPr>
                <w:sz w:val="16"/>
                <w:szCs w:val="16"/>
                <w:lang w:bidi="ar-EG"/>
              </w:rPr>
            </w:pPr>
            <w:r w:rsidRPr="00ED79D2">
              <w:rPr>
                <w:sz w:val="16"/>
                <w:szCs w:val="16"/>
                <w:lang w:bidi="ar-EG"/>
              </w:rPr>
              <w:t>20 (17-28)</w:t>
            </w:r>
          </w:p>
        </w:tc>
        <w:tc>
          <w:tcPr>
            <w:tcW w:w="3060" w:type="dxa"/>
          </w:tcPr>
          <w:p w14:paraId="152EF1A1" w14:textId="3AADC17A" w:rsidR="005014FA" w:rsidRPr="00ED79D2" w:rsidRDefault="006827BD" w:rsidP="00DA136F">
            <w:pPr>
              <w:jc w:val="center"/>
              <w:rPr>
                <w:sz w:val="16"/>
                <w:szCs w:val="16"/>
                <w:lang w:bidi="ar-EG"/>
              </w:rPr>
            </w:pPr>
            <w:r w:rsidRPr="00ED79D2">
              <w:rPr>
                <w:sz w:val="16"/>
                <w:szCs w:val="16"/>
                <w:lang w:bidi="ar-EG"/>
              </w:rPr>
              <w:t>17.5</w:t>
            </w:r>
            <w:r w:rsidR="005014FA" w:rsidRPr="00ED79D2">
              <w:rPr>
                <w:sz w:val="16"/>
                <w:szCs w:val="16"/>
                <w:lang w:bidi="ar-EG"/>
              </w:rPr>
              <w:t>(</w:t>
            </w:r>
            <w:r w:rsidRPr="00ED79D2">
              <w:rPr>
                <w:sz w:val="16"/>
                <w:szCs w:val="16"/>
                <w:lang w:bidi="ar-EG"/>
              </w:rPr>
              <w:t>10.7</w:t>
            </w:r>
            <w:r w:rsidR="005014FA" w:rsidRPr="00ED79D2">
              <w:rPr>
                <w:sz w:val="16"/>
                <w:szCs w:val="16"/>
                <w:lang w:bidi="ar-EG"/>
              </w:rPr>
              <w:t>-</w:t>
            </w:r>
            <w:r w:rsidRPr="00ED79D2">
              <w:rPr>
                <w:sz w:val="16"/>
                <w:szCs w:val="16"/>
                <w:lang w:bidi="ar-EG"/>
              </w:rPr>
              <w:t>21.2</w:t>
            </w:r>
            <w:r w:rsidR="005014FA" w:rsidRPr="00ED79D2">
              <w:rPr>
                <w:sz w:val="16"/>
                <w:szCs w:val="16"/>
                <w:lang w:bidi="ar-EG"/>
              </w:rPr>
              <w:t>)</w:t>
            </w:r>
          </w:p>
        </w:tc>
        <w:tc>
          <w:tcPr>
            <w:tcW w:w="1530" w:type="dxa"/>
            <w:shd w:val="clear" w:color="auto" w:fill="auto"/>
          </w:tcPr>
          <w:p w14:paraId="44F85F3E" w14:textId="55BE499C"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w:t>
            </w:r>
            <w:r w:rsidR="006827BD" w:rsidRPr="00ED79D2">
              <w:rPr>
                <w:sz w:val="16"/>
                <w:szCs w:val="16"/>
                <w:lang w:bidi="ar-EG"/>
              </w:rPr>
              <w:t>07</w:t>
            </w:r>
          </w:p>
        </w:tc>
      </w:tr>
      <w:tr w:rsidR="005014FA" w:rsidRPr="00ED79D2" w14:paraId="638D1023" w14:textId="77777777" w:rsidTr="00ED79D2">
        <w:trPr>
          <w:trHeight w:val="269"/>
        </w:trPr>
        <w:tc>
          <w:tcPr>
            <w:tcW w:w="2970" w:type="dxa"/>
            <w:shd w:val="clear" w:color="auto" w:fill="auto"/>
          </w:tcPr>
          <w:p w14:paraId="6E81E3C2" w14:textId="7C81A68C" w:rsidR="005014FA" w:rsidRPr="00DB133F" w:rsidRDefault="005014FA" w:rsidP="00ED79D2">
            <w:pPr>
              <w:autoSpaceDE w:val="0"/>
              <w:autoSpaceDN w:val="0"/>
              <w:adjustRightInd w:val="0"/>
              <w:rPr>
                <w:sz w:val="16"/>
                <w:szCs w:val="16"/>
                <w:lang w:bidi="ar-EG"/>
              </w:rPr>
            </w:pPr>
            <w:r w:rsidRPr="005A5F5C">
              <w:rPr>
                <w:sz w:val="16"/>
                <w:szCs w:val="16"/>
                <w:lang w:bidi="ar-EG"/>
              </w:rPr>
              <w:t xml:space="preserve">AST(IU/L), </w:t>
            </w:r>
            <w:proofErr w:type="gramStart"/>
            <w:r w:rsidRPr="005A5F5C">
              <w:rPr>
                <w:sz w:val="16"/>
                <w:szCs w:val="16"/>
                <w:lang w:bidi="ar-EG"/>
              </w:rPr>
              <w:t>median</w:t>
            </w:r>
            <w:r w:rsidR="007C3303" w:rsidRPr="005A5F5C">
              <w:rPr>
                <w:sz w:val="16"/>
                <w:szCs w:val="16"/>
                <w:lang w:bidi="ar-EG"/>
              </w:rPr>
              <w:t>(</w:t>
            </w:r>
            <w:proofErr w:type="gramEnd"/>
            <w:r w:rsidR="007C3303" w:rsidRPr="00DB133F">
              <w:rPr>
                <w:sz w:val="16"/>
                <w:szCs w:val="16"/>
                <w:lang w:bidi="ar-EG"/>
              </w:rPr>
              <w:t>IQR)</w:t>
            </w:r>
          </w:p>
        </w:tc>
        <w:tc>
          <w:tcPr>
            <w:tcW w:w="2700" w:type="dxa"/>
          </w:tcPr>
          <w:p w14:paraId="17F7EF63" w14:textId="560F2BA4" w:rsidR="005014FA" w:rsidRPr="00ED79D2" w:rsidRDefault="006827BD" w:rsidP="005A5F5C">
            <w:pPr>
              <w:jc w:val="center"/>
              <w:rPr>
                <w:sz w:val="16"/>
                <w:szCs w:val="16"/>
                <w:lang w:bidi="ar-EG"/>
              </w:rPr>
            </w:pPr>
            <w:r w:rsidRPr="00ED79D2">
              <w:rPr>
                <w:sz w:val="16"/>
                <w:szCs w:val="16"/>
                <w:lang w:bidi="ar-EG"/>
              </w:rPr>
              <w:t>22(17.8-30.5)</w:t>
            </w:r>
          </w:p>
        </w:tc>
        <w:tc>
          <w:tcPr>
            <w:tcW w:w="3060" w:type="dxa"/>
          </w:tcPr>
          <w:p w14:paraId="5E59ADE7" w14:textId="72633F26" w:rsidR="005014FA" w:rsidRPr="00ED79D2" w:rsidRDefault="005014FA" w:rsidP="00DA136F">
            <w:pPr>
              <w:jc w:val="center"/>
              <w:rPr>
                <w:sz w:val="16"/>
                <w:szCs w:val="16"/>
                <w:lang w:bidi="ar-EG"/>
              </w:rPr>
            </w:pPr>
            <w:r w:rsidRPr="00ED79D2">
              <w:rPr>
                <w:sz w:val="16"/>
                <w:szCs w:val="16"/>
                <w:lang w:bidi="ar-EG"/>
              </w:rPr>
              <w:t>17</w:t>
            </w:r>
            <w:r w:rsidR="006827BD" w:rsidRPr="00ED79D2">
              <w:rPr>
                <w:sz w:val="16"/>
                <w:szCs w:val="16"/>
                <w:lang w:bidi="ar-EG"/>
              </w:rPr>
              <w:t xml:space="preserve"> </w:t>
            </w:r>
            <w:r w:rsidRPr="00ED79D2">
              <w:rPr>
                <w:sz w:val="16"/>
                <w:szCs w:val="16"/>
                <w:lang w:bidi="ar-EG"/>
              </w:rPr>
              <w:t>(</w:t>
            </w:r>
            <w:r w:rsidR="006827BD" w:rsidRPr="00ED79D2">
              <w:rPr>
                <w:sz w:val="16"/>
                <w:szCs w:val="16"/>
                <w:lang w:bidi="ar-EG"/>
              </w:rPr>
              <w:t>13</w:t>
            </w:r>
            <w:r w:rsidRPr="00ED79D2">
              <w:rPr>
                <w:sz w:val="16"/>
                <w:szCs w:val="16"/>
                <w:lang w:bidi="ar-EG"/>
              </w:rPr>
              <w:t>-2</w:t>
            </w:r>
            <w:r w:rsidR="006827BD" w:rsidRPr="00ED79D2">
              <w:rPr>
                <w:sz w:val="16"/>
                <w:szCs w:val="16"/>
                <w:lang w:bidi="ar-EG"/>
              </w:rPr>
              <w:t>0</w:t>
            </w:r>
            <w:r w:rsidRPr="00ED79D2">
              <w:rPr>
                <w:sz w:val="16"/>
                <w:szCs w:val="16"/>
                <w:lang w:bidi="ar-EG"/>
              </w:rPr>
              <w:t>)</w:t>
            </w:r>
          </w:p>
        </w:tc>
        <w:tc>
          <w:tcPr>
            <w:tcW w:w="1530" w:type="dxa"/>
            <w:shd w:val="clear" w:color="auto" w:fill="auto"/>
          </w:tcPr>
          <w:p w14:paraId="31715315" w14:textId="77777777"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0.000</w:t>
            </w:r>
          </w:p>
        </w:tc>
      </w:tr>
      <w:tr w:rsidR="005014FA" w:rsidRPr="00ED79D2" w14:paraId="2724122B" w14:textId="77777777" w:rsidTr="00ED79D2">
        <w:trPr>
          <w:trHeight w:val="242"/>
        </w:trPr>
        <w:tc>
          <w:tcPr>
            <w:tcW w:w="2970" w:type="dxa"/>
            <w:shd w:val="clear" w:color="auto" w:fill="auto"/>
          </w:tcPr>
          <w:p w14:paraId="35B101CE" w14:textId="77777777" w:rsidR="005014FA" w:rsidRPr="005A5F5C" w:rsidRDefault="005014FA" w:rsidP="006A783E">
            <w:pPr>
              <w:spacing w:line="480" w:lineRule="auto"/>
              <w:jc w:val="both"/>
              <w:rPr>
                <w:rFonts w:asciiTheme="majorBidi" w:hAnsiTheme="majorBidi" w:cstheme="majorBidi"/>
                <w:sz w:val="16"/>
                <w:szCs w:val="16"/>
              </w:rPr>
            </w:pPr>
            <w:r w:rsidRPr="005A5F5C">
              <w:rPr>
                <w:sz w:val="16"/>
                <w:szCs w:val="16"/>
                <w:lang w:bidi="ar-EG"/>
              </w:rPr>
              <w:t>Albumin</w:t>
            </w:r>
            <w:r w:rsidRPr="005A5F5C">
              <w:rPr>
                <w:rFonts w:asciiTheme="majorBidi" w:hAnsiTheme="majorBidi" w:cstheme="majorBidi"/>
                <w:sz w:val="16"/>
                <w:szCs w:val="16"/>
              </w:rPr>
              <w:t>(g/dl),</w:t>
            </w:r>
            <w:r w:rsidRPr="005A5F5C">
              <w:rPr>
                <w:sz w:val="16"/>
                <w:szCs w:val="16"/>
                <w:lang w:bidi="ar-EG"/>
              </w:rPr>
              <w:t xml:space="preserve"> </w:t>
            </w:r>
            <w:proofErr w:type="spellStart"/>
            <w:r w:rsidRPr="005A5F5C">
              <w:rPr>
                <w:sz w:val="16"/>
                <w:szCs w:val="16"/>
                <w:lang w:bidi="ar-EG"/>
              </w:rPr>
              <w:t>mean±SD</w:t>
            </w:r>
            <w:proofErr w:type="spellEnd"/>
          </w:p>
        </w:tc>
        <w:tc>
          <w:tcPr>
            <w:tcW w:w="2700" w:type="dxa"/>
          </w:tcPr>
          <w:p w14:paraId="39A6204F" w14:textId="48711FEE" w:rsidR="005014FA" w:rsidRPr="00ED79D2" w:rsidRDefault="006E6DC1" w:rsidP="005A5F5C">
            <w:pPr>
              <w:spacing w:line="480" w:lineRule="auto"/>
              <w:jc w:val="center"/>
              <w:rPr>
                <w:sz w:val="16"/>
                <w:szCs w:val="16"/>
                <w:lang w:bidi="ar-EG"/>
              </w:rPr>
            </w:pPr>
            <w:r w:rsidRPr="00ED79D2">
              <w:rPr>
                <w:sz w:val="16"/>
                <w:szCs w:val="16"/>
                <w:lang w:bidi="ar-EG"/>
              </w:rPr>
              <w:t>4.2±0.4</w:t>
            </w:r>
          </w:p>
        </w:tc>
        <w:tc>
          <w:tcPr>
            <w:tcW w:w="3060" w:type="dxa"/>
          </w:tcPr>
          <w:p w14:paraId="05CECFFC" w14:textId="1DA763A3" w:rsidR="005014FA" w:rsidRPr="00ED79D2" w:rsidRDefault="005014FA" w:rsidP="00DA136F">
            <w:pPr>
              <w:spacing w:line="480" w:lineRule="auto"/>
              <w:jc w:val="center"/>
              <w:rPr>
                <w:rFonts w:asciiTheme="majorBidi" w:hAnsiTheme="majorBidi" w:cstheme="majorBidi"/>
                <w:b/>
                <w:bCs/>
                <w:sz w:val="16"/>
                <w:szCs w:val="16"/>
              </w:rPr>
            </w:pPr>
            <w:r w:rsidRPr="00ED79D2">
              <w:rPr>
                <w:sz w:val="16"/>
                <w:szCs w:val="16"/>
                <w:lang w:bidi="ar-EG"/>
              </w:rPr>
              <w:t>4.3±0.4</w:t>
            </w:r>
          </w:p>
        </w:tc>
        <w:tc>
          <w:tcPr>
            <w:tcW w:w="1530" w:type="dxa"/>
            <w:shd w:val="clear" w:color="auto" w:fill="auto"/>
          </w:tcPr>
          <w:p w14:paraId="6A0D9BEF" w14:textId="23A53541"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w:t>
            </w:r>
            <w:r w:rsidR="00113F9B" w:rsidRPr="00ED79D2">
              <w:rPr>
                <w:sz w:val="16"/>
                <w:szCs w:val="16"/>
                <w:lang w:bidi="ar-EG"/>
              </w:rPr>
              <w:t>4</w:t>
            </w:r>
          </w:p>
        </w:tc>
      </w:tr>
      <w:tr w:rsidR="005014FA" w:rsidRPr="00ED79D2" w14:paraId="4F39C893" w14:textId="77777777" w:rsidTr="00ED79D2">
        <w:trPr>
          <w:trHeight w:val="314"/>
        </w:trPr>
        <w:tc>
          <w:tcPr>
            <w:tcW w:w="2970" w:type="dxa"/>
            <w:shd w:val="clear" w:color="auto" w:fill="auto"/>
          </w:tcPr>
          <w:p w14:paraId="2DD9B624" w14:textId="5115AB66" w:rsidR="005014FA" w:rsidRPr="00DB133F" w:rsidRDefault="005014FA" w:rsidP="00DB133F">
            <w:pPr>
              <w:autoSpaceDE w:val="0"/>
              <w:autoSpaceDN w:val="0"/>
              <w:adjustRightInd w:val="0"/>
              <w:rPr>
                <w:sz w:val="16"/>
                <w:szCs w:val="16"/>
                <w:lang w:bidi="ar-EG"/>
              </w:rPr>
            </w:pPr>
            <w:r w:rsidRPr="005A5F5C">
              <w:rPr>
                <w:sz w:val="16"/>
                <w:szCs w:val="16"/>
                <w:lang w:bidi="ar-EG"/>
              </w:rPr>
              <w:t>Total bilirubin (mg/dl),</w:t>
            </w:r>
            <w:r w:rsidRPr="00DB133F">
              <w:rPr>
                <w:sz w:val="16"/>
                <w:szCs w:val="16"/>
                <w:lang w:bidi="ar-EG"/>
              </w:rPr>
              <w:t xml:space="preserve"> </w:t>
            </w:r>
            <w:r w:rsidRPr="005A5F5C">
              <w:rPr>
                <w:sz w:val="16"/>
                <w:szCs w:val="16"/>
                <w:lang w:bidi="ar-EG"/>
              </w:rPr>
              <w:t>median(</w:t>
            </w:r>
            <w:r w:rsidR="007C3303" w:rsidRPr="005A5F5C">
              <w:rPr>
                <w:sz w:val="16"/>
                <w:szCs w:val="16"/>
                <w:lang w:bidi="ar-EG"/>
              </w:rPr>
              <w:t>(</w:t>
            </w:r>
            <w:r w:rsidR="007C3303" w:rsidRPr="00DB133F">
              <w:rPr>
                <w:sz w:val="16"/>
                <w:szCs w:val="16"/>
                <w:lang w:bidi="ar-EG"/>
              </w:rPr>
              <w:t>IQR</w:t>
            </w:r>
            <w:r w:rsidRPr="005A5F5C">
              <w:rPr>
                <w:sz w:val="16"/>
                <w:szCs w:val="16"/>
                <w:lang w:bidi="ar-EG"/>
              </w:rPr>
              <w:t>)</w:t>
            </w:r>
          </w:p>
        </w:tc>
        <w:tc>
          <w:tcPr>
            <w:tcW w:w="2700" w:type="dxa"/>
          </w:tcPr>
          <w:p w14:paraId="646B6545" w14:textId="4C03A74A" w:rsidR="005014FA" w:rsidRPr="00ED79D2" w:rsidRDefault="006E6DC1" w:rsidP="005A5F5C">
            <w:pPr>
              <w:jc w:val="center"/>
              <w:rPr>
                <w:sz w:val="16"/>
                <w:szCs w:val="16"/>
                <w:lang w:bidi="ar-EG"/>
              </w:rPr>
            </w:pPr>
            <w:r w:rsidRPr="00ED79D2">
              <w:rPr>
                <w:sz w:val="16"/>
                <w:szCs w:val="16"/>
                <w:lang w:bidi="ar-EG"/>
              </w:rPr>
              <w:t>0.7±0.3</w:t>
            </w:r>
          </w:p>
        </w:tc>
        <w:tc>
          <w:tcPr>
            <w:tcW w:w="3060" w:type="dxa"/>
          </w:tcPr>
          <w:p w14:paraId="4BC8AC58" w14:textId="6C60B2CF" w:rsidR="005014FA" w:rsidRPr="00ED79D2" w:rsidRDefault="006E6DC1" w:rsidP="00ED79D2">
            <w:pPr>
              <w:jc w:val="center"/>
              <w:rPr>
                <w:rFonts w:asciiTheme="majorBidi" w:hAnsiTheme="majorBidi" w:cstheme="majorBidi"/>
                <w:b/>
                <w:bCs/>
                <w:sz w:val="16"/>
                <w:szCs w:val="16"/>
              </w:rPr>
            </w:pPr>
            <w:r w:rsidRPr="00ED79D2">
              <w:rPr>
                <w:sz w:val="16"/>
                <w:szCs w:val="16"/>
                <w:lang w:bidi="ar-EG"/>
              </w:rPr>
              <w:t>0.6±0.2</w:t>
            </w:r>
          </w:p>
        </w:tc>
        <w:tc>
          <w:tcPr>
            <w:tcW w:w="1530" w:type="dxa"/>
            <w:shd w:val="clear" w:color="auto" w:fill="auto"/>
          </w:tcPr>
          <w:p w14:paraId="6C8897F0" w14:textId="6D530245"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w:t>
            </w:r>
            <w:r w:rsidR="00113F9B" w:rsidRPr="00ED79D2">
              <w:rPr>
                <w:sz w:val="16"/>
                <w:szCs w:val="16"/>
                <w:lang w:bidi="ar-EG"/>
              </w:rPr>
              <w:t>03</w:t>
            </w:r>
          </w:p>
        </w:tc>
      </w:tr>
      <w:tr w:rsidR="005014FA" w:rsidRPr="00ED79D2" w14:paraId="2F5AC815" w14:textId="77777777" w:rsidTr="00ED79D2">
        <w:trPr>
          <w:trHeight w:val="287"/>
        </w:trPr>
        <w:tc>
          <w:tcPr>
            <w:tcW w:w="2970" w:type="dxa"/>
          </w:tcPr>
          <w:p w14:paraId="392261B7" w14:textId="6270406F" w:rsidR="005014FA" w:rsidRPr="00DB133F" w:rsidRDefault="005014FA" w:rsidP="00ED79D2">
            <w:pPr>
              <w:autoSpaceDE w:val="0"/>
              <w:autoSpaceDN w:val="0"/>
              <w:adjustRightInd w:val="0"/>
              <w:rPr>
                <w:sz w:val="16"/>
                <w:szCs w:val="16"/>
                <w:lang w:bidi="ar-EG"/>
              </w:rPr>
            </w:pPr>
            <w:r w:rsidRPr="005A5F5C">
              <w:rPr>
                <w:sz w:val="16"/>
                <w:szCs w:val="16"/>
                <w:lang w:bidi="ar-EG"/>
              </w:rPr>
              <w:t xml:space="preserve">Triglycerides (mg/dl), </w:t>
            </w:r>
            <w:proofErr w:type="gramStart"/>
            <w:r w:rsidRPr="005A5F5C">
              <w:rPr>
                <w:sz w:val="16"/>
                <w:szCs w:val="16"/>
                <w:lang w:bidi="ar-EG"/>
              </w:rPr>
              <w:t>median</w:t>
            </w:r>
            <w:r w:rsidR="007C3303" w:rsidRPr="005A5F5C">
              <w:rPr>
                <w:sz w:val="16"/>
                <w:szCs w:val="16"/>
                <w:lang w:bidi="ar-EG"/>
              </w:rPr>
              <w:t>(</w:t>
            </w:r>
            <w:proofErr w:type="gramEnd"/>
            <w:r w:rsidR="007C3303" w:rsidRPr="00DB133F">
              <w:rPr>
                <w:sz w:val="16"/>
                <w:szCs w:val="16"/>
                <w:lang w:bidi="ar-EG"/>
              </w:rPr>
              <w:t>IQR)</w:t>
            </w:r>
          </w:p>
        </w:tc>
        <w:tc>
          <w:tcPr>
            <w:tcW w:w="2700" w:type="dxa"/>
          </w:tcPr>
          <w:p w14:paraId="65569CA2" w14:textId="0F2EA2A4" w:rsidR="005014FA" w:rsidRPr="00ED79D2" w:rsidRDefault="00DA136F" w:rsidP="005A5F5C">
            <w:pPr>
              <w:jc w:val="center"/>
              <w:rPr>
                <w:sz w:val="16"/>
                <w:szCs w:val="16"/>
                <w:lang w:bidi="ar-EG"/>
              </w:rPr>
            </w:pPr>
            <w:r w:rsidRPr="00ED79D2">
              <w:rPr>
                <w:sz w:val="16"/>
                <w:szCs w:val="16"/>
                <w:lang w:bidi="ar-EG"/>
              </w:rPr>
              <w:t>145(115-205)</w:t>
            </w:r>
          </w:p>
        </w:tc>
        <w:tc>
          <w:tcPr>
            <w:tcW w:w="3060" w:type="dxa"/>
          </w:tcPr>
          <w:p w14:paraId="2B5B3F99" w14:textId="0B22373C" w:rsidR="005014FA" w:rsidRPr="00ED79D2" w:rsidRDefault="005014FA" w:rsidP="005A5F5C">
            <w:pPr>
              <w:jc w:val="center"/>
              <w:rPr>
                <w:sz w:val="16"/>
                <w:szCs w:val="16"/>
                <w:lang w:bidi="ar-EG"/>
              </w:rPr>
            </w:pPr>
            <w:r w:rsidRPr="00ED79D2">
              <w:rPr>
                <w:sz w:val="16"/>
                <w:szCs w:val="16"/>
                <w:lang w:bidi="ar-EG"/>
              </w:rPr>
              <w:t>111(71-165)</w:t>
            </w:r>
          </w:p>
        </w:tc>
        <w:tc>
          <w:tcPr>
            <w:tcW w:w="1530" w:type="dxa"/>
          </w:tcPr>
          <w:p w14:paraId="66A3A76C" w14:textId="77777777"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0.000</w:t>
            </w:r>
          </w:p>
        </w:tc>
      </w:tr>
      <w:tr w:rsidR="005014FA" w:rsidRPr="00ED79D2" w14:paraId="17CC2A70" w14:textId="77777777" w:rsidTr="00ED79D2">
        <w:tc>
          <w:tcPr>
            <w:tcW w:w="2970" w:type="dxa"/>
          </w:tcPr>
          <w:p w14:paraId="48BA8C0B" w14:textId="77777777" w:rsidR="005014FA" w:rsidRPr="005A5F5C" w:rsidRDefault="005014FA" w:rsidP="006A783E">
            <w:pPr>
              <w:spacing w:line="480" w:lineRule="auto"/>
              <w:jc w:val="both"/>
              <w:rPr>
                <w:rFonts w:asciiTheme="majorBidi" w:hAnsiTheme="majorBidi" w:cstheme="majorBidi"/>
                <w:sz w:val="16"/>
                <w:szCs w:val="16"/>
              </w:rPr>
            </w:pPr>
            <w:r w:rsidRPr="005A5F5C">
              <w:rPr>
                <w:sz w:val="16"/>
                <w:szCs w:val="16"/>
              </w:rPr>
              <w:t xml:space="preserve">Total cholesterol (mg/dl), </w:t>
            </w:r>
            <w:proofErr w:type="spellStart"/>
            <w:r w:rsidRPr="005A5F5C">
              <w:rPr>
                <w:sz w:val="16"/>
                <w:szCs w:val="16"/>
              </w:rPr>
              <w:t>mean±SD</w:t>
            </w:r>
            <w:proofErr w:type="spellEnd"/>
          </w:p>
        </w:tc>
        <w:tc>
          <w:tcPr>
            <w:tcW w:w="2700" w:type="dxa"/>
          </w:tcPr>
          <w:p w14:paraId="65927A4B" w14:textId="7292B2DF" w:rsidR="005014FA" w:rsidRPr="00ED79D2" w:rsidRDefault="008B5FF7" w:rsidP="005A5F5C">
            <w:pPr>
              <w:spacing w:line="480" w:lineRule="auto"/>
              <w:jc w:val="center"/>
              <w:rPr>
                <w:sz w:val="16"/>
                <w:szCs w:val="16"/>
                <w:lang w:bidi="ar-EG"/>
              </w:rPr>
            </w:pPr>
            <w:r w:rsidRPr="00ED79D2">
              <w:rPr>
                <w:sz w:val="16"/>
                <w:szCs w:val="16"/>
                <w:lang w:bidi="ar-EG"/>
              </w:rPr>
              <w:t>203</w:t>
            </w:r>
            <w:r w:rsidR="006E6DC1" w:rsidRPr="00ED79D2">
              <w:rPr>
                <w:sz w:val="16"/>
                <w:szCs w:val="16"/>
                <w:lang w:bidi="ar-EG"/>
              </w:rPr>
              <w:t>±</w:t>
            </w:r>
            <w:r w:rsidRPr="00ED79D2">
              <w:rPr>
                <w:sz w:val="16"/>
                <w:szCs w:val="16"/>
                <w:lang w:bidi="ar-EG"/>
              </w:rPr>
              <w:t>45</w:t>
            </w:r>
          </w:p>
        </w:tc>
        <w:tc>
          <w:tcPr>
            <w:tcW w:w="3060" w:type="dxa"/>
          </w:tcPr>
          <w:p w14:paraId="0B24669E" w14:textId="46C3EE1C" w:rsidR="005014FA" w:rsidRPr="00ED79D2" w:rsidRDefault="005014FA" w:rsidP="005A5F5C">
            <w:pPr>
              <w:spacing w:line="480" w:lineRule="auto"/>
              <w:jc w:val="center"/>
              <w:rPr>
                <w:rFonts w:asciiTheme="majorBidi" w:hAnsiTheme="majorBidi" w:cstheme="majorBidi"/>
                <w:b/>
                <w:bCs/>
                <w:sz w:val="16"/>
                <w:szCs w:val="16"/>
              </w:rPr>
            </w:pPr>
            <w:r w:rsidRPr="00ED79D2">
              <w:rPr>
                <w:sz w:val="16"/>
                <w:szCs w:val="16"/>
                <w:lang w:bidi="ar-EG"/>
              </w:rPr>
              <w:t>193±48.8</w:t>
            </w:r>
          </w:p>
        </w:tc>
        <w:tc>
          <w:tcPr>
            <w:tcW w:w="1530" w:type="dxa"/>
          </w:tcPr>
          <w:p w14:paraId="0E817758" w14:textId="58E51B79" w:rsidR="005014FA" w:rsidRPr="00ED79D2" w:rsidRDefault="005014FA" w:rsidP="005A5F5C">
            <w:pPr>
              <w:tabs>
                <w:tab w:val="left" w:pos="803"/>
              </w:tabs>
              <w:spacing w:line="480" w:lineRule="auto"/>
              <w:jc w:val="both"/>
              <w:rPr>
                <w:rFonts w:asciiTheme="majorBidi" w:hAnsiTheme="majorBidi" w:cstheme="majorBidi"/>
                <w:b/>
                <w:bCs/>
                <w:sz w:val="16"/>
                <w:szCs w:val="16"/>
              </w:rPr>
            </w:pPr>
            <w:r w:rsidRPr="00ED79D2">
              <w:rPr>
                <w:sz w:val="16"/>
                <w:szCs w:val="16"/>
                <w:lang w:bidi="ar-EG"/>
              </w:rPr>
              <w:t>0.0</w:t>
            </w:r>
            <w:r w:rsidR="00113F9B" w:rsidRPr="00ED79D2">
              <w:rPr>
                <w:sz w:val="16"/>
                <w:szCs w:val="16"/>
                <w:lang w:bidi="ar-EG"/>
              </w:rPr>
              <w:t>3</w:t>
            </w:r>
          </w:p>
        </w:tc>
      </w:tr>
      <w:tr w:rsidR="005014FA" w:rsidRPr="00ED79D2" w14:paraId="2FDFEE75" w14:textId="77777777" w:rsidTr="00ED79D2">
        <w:tc>
          <w:tcPr>
            <w:tcW w:w="2970" w:type="dxa"/>
          </w:tcPr>
          <w:p w14:paraId="0E84B866" w14:textId="77777777" w:rsidR="005014FA" w:rsidRPr="005A5F5C" w:rsidRDefault="005014FA" w:rsidP="006A783E">
            <w:pPr>
              <w:spacing w:line="480" w:lineRule="auto"/>
              <w:jc w:val="both"/>
              <w:rPr>
                <w:rFonts w:asciiTheme="majorBidi" w:hAnsiTheme="majorBidi" w:cstheme="majorBidi"/>
                <w:sz w:val="16"/>
                <w:szCs w:val="16"/>
              </w:rPr>
            </w:pPr>
            <w:r w:rsidRPr="005A5F5C">
              <w:rPr>
                <w:sz w:val="16"/>
                <w:szCs w:val="16"/>
                <w:lang w:bidi="ar-EG"/>
              </w:rPr>
              <w:t xml:space="preserve">LDL </w:t>
            </w:r>
            <w:r w:rsidRPr="005A5F5C">
              <w:rPr>
                <w:sz w:val="16"/>
                <w:szCs w:val="16"/>
              </w:rPr>
              <w:t>(mg/dl),</w:t>
            </w:r>
            <w:r w:rsidRPr="005A5F5C">
              <w:rPr>
                <w:sz w:val="16"/>
                <w:szCs w:val="16"/>
                <w:lang w:bidi="ar-EG"/>
              </w:rPr>
              <w:t xml:space="preserve"> </w:t>
            </w:r>
            <w:proofErr w:type="spellStart"/>
            <w:r w:rsidRPr="005A5F5C">
              <w:rPr>
                <w:sz w:val="16"/>
                <w:szCs w:val="16"/>
                <w:lang w:bidi="ar-EG"/>
              </w:rPr>
              <w:t>mean±SD</w:t>
            </w:r>
            <w:proofErr w:type="spellEnd"/>
          </w:p>
        </w:tc>
        <w:tc>
          <w:tcPr>
            <w:tcW w:w="2700" w:type="dxa"/>
          </w:tcPr>
          <w:p w14:paraId="70C13D7D" w14:textId="4297E421" w:rsidR="005014FA" w:rsidRPr="00ED79D2" w:rsidRDefault="008B5FF7" w:rsidP="005A5F5C">
            <w:pPr>
              <w:spacing w:line="480" w:lineRule="auto"/>
              <w:jc w:val="center"/>
              <w:rPr>
                <w:sz w:val="16"/>
                <w:szCs w:val="16"/>
                <w:lang w:bidi="ar-EG"/>
              </w:rPr>
            </w:pPr>
            <w:r w:rsidRPr="00ED79D2">
              <w:rPr>
                <w:sz w:val="16"/>
                <w:szCs w:val="16"/>
                <w:lang w:bidi="ar-EG"/>
              </w:rPr>
              <w:t>128±49.9</w:t>
            </w:r>
          </w:p>
        </w:tc>
        <w:tc>
          <w:tcPr>
            <w:tcW w:w="3060" w:type="dxa"/>
          </w:tcPr>
          <w:p w14:paraId="2F15AD93" w14:textId="3F6A6C15" w:rsidR="005014FA" w:rsidRPr="00ED79D2" w:rsidRDefault="005014FA" w:rsidP="005A5F5C">
            <w:pPr>
              <w:spacing w:line="480" w:lineRule="auto"/>
              <w:jc w:val="center"/>
              <w:rPr>
                <w:rFonts w:asciiTheme="majorBidi" w:hAnsiTheme="majorBidi" w:cstheme="majorBidi"/>
                <w:b/>
                <w:bCs/>
                <w:sz w:val="16"/>
                <w:szCs w:val="16"/>
              </w:rPr>
            </w:pPr>
            <w:r w:rsidRPr="00ED79D2">
              <w:rPr>
                <w:sz w:val="16"/>
                <w:szCs w:val="16"/>
                <w:lang w:bidi="ar-EG"/>
              </w:rPr>
              <w:t>119.8±39.8</w:t>
            </w:r>
          </w:p>
        </w:tc>
        <w:tc>
          <w:tcPr>
            <w:tcW w:w="1530" w:type="dxa"/>
          </w:tcPr>
          <w:p w14:paraId="6DB0BA17" w14:textId="5FEB8636"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w:t>
            </w:r>
            <w:r w:rsidR="00113F9B" w:rsidRPr="00ED79D2">
              <w:rPr>
                <w:sz w:val="16"/>
                <w:szCs w:val="16"/>
                <w:lang w:bidi="ar-EG"/>
              </w:rPr>
              <w:t>6</w:t>
            </w:r>
          </w:p>
        </w:tc>
      </w:tr>
      <w:tr w:rsidR="005014FA" w:rsidRPr="00ED79D2" w14:paraId="09BE03CA" w14:textId="77777777" w:rsidTr="00ED79D2">
        <w:tc>
          <w:tcPr>
            <w:tcW w:w="2970" w:type="dxa"/>
          </w:tcPr>
          <w:p w14:paraId="3CCBB9C6" w14:textId="77777777" w:rsidR="005014FA" w:rsidRPr="005A5F5C" w:rsidRDefault="005014FA" w:rsidP="006A783E">
            <w:pPr>
              <w:spacing w:line="480" w:lineRule="auto"/>
              <w:jc w:val="both"/>
              <w:rPr>
                <w:rFonts w:asciiTheme="majorBidi" w:hAnsiTheme="majorBidi" w:cstheme="majorBidi"/>
                <w:sz w:val="16"/>
                <w:szCs w:val="16"/>
              </w:rPr>
            </w:pPr>
            <w:r w:rsidRPr="005A5F5C">
              <w:rPr>
                <w:sz w:val="16"/>
                <w:szCs w:val="16"/>
                <w:lang w:bidi="ar-EG"/>
              </w:rPr>
              <w:t xml:space="preserve">HDL </w:t>
            </w:r>
            <w:r w:rsidRPr="005A5F5C">
              <w:rPr>
                <w:sz w:val="16"/>
                <w:szCs w:val="16"/>
              </w:rPr>
              <w:t>(mg/dl)</w:t>
            </w:r>
            <w:r w:rsidRPr="005A5F5C">
              <w:rPr>
                <w:sz w:val="16"/>
                <w:szCs w:val="16"/>
                <w:lang w:bidi="ar-EG"/>
              </w:rPr>
              <w:t xml:space="preserve">, </w:t>
            </w:r>
            <w:proofErr w:type="spellStart"/>
            <w:r w:rsidRPr="005A5F5C">
              <w:rPr>
                <w:sz w:val="16"/>
                <w:szCs w:val="16"/>
                <w:lang w:bidi="ar-EG"/>
              </w:rPr>
              <w:t>mean±SD</w:t>
            </w:r>
            <w:proofErr w:type="spellEnd"/>
          </w:p>
        </w:tc>
        <w:tc>
          <w:tcPr>
            <w:tcW w:w="2700" w:type="dxa"/>
          </w:tcPr>
          <w:p w14:paraId="5E690137" w14:textId="43AEA7F4" w:rsidR="005014FA" w:rsidRPr="00ED79D2" w:rsidRDefault="004B23AD" w:rsidP="005A5F5C">
            <w:pPr>
              <w:spacing w:line="480" w:lineRule="auto"/>
              <w:jc w:val="center"/>
              <w:rPr>
                <w:sz w:val="16"/>
                <w:szCs w:val="16"/>
                <w:lang w:bidi="ar-EG"/>
              </w:rPr>
            </w:pPr>
            <w:r w:rsidRPr="00ED79D2">
              <w:rPr>
                <w:sz w:val="16"/>
                <w:szCs w:val="16"/>
                <w:lang w:bidi="ar-EG"/>
              </w:rPr>
              <w:t>39±6</w:t>
            </w:r>
          </w:p>
        </w:tc>
        <w:tc>
          <w:tcPr>
            <w:tcW w:w="3060" w:type="dxa"/>
          </w:tcPr>
          <w:p w14:paraId="2D76F7F0" w14:textId="4060D8C6" w:rsidR="005014FA" w:rsidRPr="00ED79D2" w:rsidRDefault="005014FA" w:rsidP="005A5F5C">
            <w:pPr>
              <w:spacing w:line="480" w:lineRule="auto"/>
              <w:jc w:val="center"/>
              <w:rPr>
                <w:rFonts w:asciiTheme="majorBidi" w:hAnsiTheme="majorBidi" w:cstheme="majorBidi"/>
                <w:b/>
                <w:bCs/>
                <w:sz w:val="16"/>
                <w:szCs w:val="16"/>
              </w:rPr>
            </w:pPr>
            <w:r w:rsidRPr="00ED79D2">
              <w:rPr>
                <w:sz w:val="16"/>
                <w:szCs w:val="16"/>
                <w:lang w:bidi="ar-EG"/>
              </w:rPr>
              <w:t>41±3.4</w:t>
            </w:r>
          </w:p>
        </w:tc>
        <w:tc>
          <w:tcPr>
            <w:tcW w:w="1530" w:type="dxa"/>
          </w:tcPr>
          <w:p w14:paraId="4812867B" w14:textId="6988A0E1"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0.06</w:t>
            </w:r>
          </w:p>
        </w:tc>
      </w:tr>
      <w:tr w:rsidR="005014FA" w:rsidRPr="00ED79D2" w14:paraId="7A475F5C" w14:textId="77777777" w:rsidTr="005A5F5C">
        <w:tc>
          <w:tcPr>
            <w:tcW w:w="2970" w:type="dxa"/>
          </w:tcPr>
          <w:p w14:paraId="05A540BC" w14:textId="39A77309" w:rsidR="005014FA" w:rsidRPr="005A5F5C" w:rsidRDefault="005014FA" w:rsidP="00ED79D2">
            <w:pPr>
              <w:autoSpaceDE w:val="0"/>
              <w:autoSpaceDN w:val="0"/>
              <w:adjustRightInd w:val="0"/>
              <w:rPr>
                <w:rFonts w:asciiTheme="majorBidi" w:hAnsiTheme="majorBidi" w:cstheme="majorBidi"/>
                <w:sz w:val="16"/>
                <w:szCs w:val="16"/>
              </w:rPr>
            </w:pPr>
            <w:r w:rsidRPr="005A5F5C">
              <w:rPr>
                <w:sz w:val="16"/>
                <w:szCs w:val="16"/>
                <w:lang w:bidi="ar-EG"/>
              </w:rPr>
              <w:t xml:space="preserve">VLDL </w:t>
            </w:r>
            <w:r w:rsidRPr="005A5F5C">
              <w:rPr>
                <w:sz w:val="16"/>
                <w:szCs w:val="16"/>
              </w:rPr>
              <w:t>(mg/dl)</w:t>
            </w:r>
            <w:r w:rsidRPr="005A5F5C">
              <w:rPr>
                <w:sz w:val="16"/>
                <w:szCs w:val="16"/>
                <w:lang w:bidi="ar-EG"/>
              </w:rPr>
              <w:t xml:space="preserve">, </w:t>
            </w:r>
            <w:proofErr w:type="gramStart"/>
            <w:r w:rsidRPr="005A5F5C">
              <w:rPr>
                <w:sz w:val="16"/>
                <w:szCs w:val="16"/>
                <w:lang w:bidi="ar-EG"/>
              </w:rPr>
              <w:t>median(</w:t>
            </w:r>
            <w:proofErr w:type="gramEnd"/>
            <w:r w:rsidR="007C3303" w:rsidRPr="00DB133F">
              <w:rPr>
                <w:sz w:val="16"/>
                <w:szCs w:val="16"/>
                <w:lang w:bidi="ar-EG"/>
              </w:rPr>
              <w:t>IQR</w:t>
            </w:r>
            <w:r w:rsidRPr="00DB133F">
              <w:rPr>
                <w:sz w:val="16"/>
                <w:szCs w:val="16"/>
                <w:lang w:bidi="ar-EG"/>
              </w:rPr>
              <w:t>)</w:t>
            </w:r>
          </w:p>
        </w:tc>
        <w:tc>
          <w:tcPr>
            <w:tcW w:w="2700" w:type="dxa"/>
          </w:tcPr>
          <w:p w14:paraId="79404484" w14:textId="0438552D" w:rsidR="005014FA" w:rsidRPr="00ED79D2" w:rsidRDefault="00B036D7" w:rsidP="005A5F5C">
            <w:pPr>
              <w:jc w:val="center"/>
              <w:rPr>
                <w:sz w:val="16"/>
                <w:szCs w:val="16"/>
                <w:lang w:bidi="ar-EG"/>
              </w:rPr>
            </w:pPr>
            <w:r w:rsidRPr="00ED79D2">
              <w:rPr>
                <w:sz w:val="16"/>
                <w:szCs w:val="16"/>
                <w:lang w:bidi="ar-EG"/>
              </w:rPr>
              <w:t>30(23.8-40.5)</w:t>
            </w:r>
          </w:p>
        </w:tc>
        <w:tc>
          <w:tcPr>
            <w:tcW w:w="3060" w:type="dxa"/>
          </w:tcPr>
          <w:p w14:paraId="5EE58DC6" w14:textId="00EA9BBF" w:rsidR="005014FA" w:rsidRPr="00ED79D2" w:rsidRDefault="005014FA" w:rsidP="005A5F5C">
            <w:pPr>
              <w:jc w:val="center"/>
              <w:rPr>
                <w:sz w:val="16"/>
                <w:szCs w:val="16"/>
                <w:lang w:bidi="ar-EG"/>
              </w:rPr>
            </w:pPr>
            <w:r w:rsidRPr="00ED79D2">
              <w:rPr>
                <w:sz w:val="16"/>
                <w:szCs w:val="16"/>
                <w:lang w:bidi="ar-EG"/>
              </w:rPr>
              <w:t>22(12-33)</w:t>
            </w:r>
          </w:p>
        </w:tc>
        <w:tc>
          <w:tcPr>
            <w:tcW w:w="1530" w:type="dxa"/>
          </w:tcPr>
          <w:p w14:paraId="277CD014" w14:textId="77777777"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0.000</w:t>
            </w:r>
          </w:p>
        </w:tc>
      </w:tr>
      <w:tr w:rsidR="005014FA" w:rsidRPr="00ED79D2" w14:paraId="6C364E0C" w14:textId="77777777" w:rsidTr="00ED79D2">
        <w:tc>
          <w:tcPr>
            <w:tcW w:w="2970" w:type="dxa"/>
          </w:tcPr>
          <w:p w14:paraId="1F22534C" w14:textId="77777777" w:rsidR="005014FA" w:rsidRPr="005A5F5C" w:rsidRDefault="005014FA" w:rsidP="00ED79D2">
            <w:pPr>
              <w:rPr>
                <w:rFonts w:asciiTheme="majorBidi" w:hAnsiTheme="majorBidi" w:cstheme="majorBidi"/>
                <w:sz w:val="16"/>
                <w:szCs w:val="16"/>
              </w:rPr>
            </w:pPr>
            <w:r w:rsidRPr="005A5F5C">
              <w:rPr>
                <w:sz w:val="16"/>
                <w:szCs w:val="16"/>
                <w:lang w:bidi="ar-EG"/>
              </w:rPr>
              <w:t xml:space="preserve">Fasting blood sugar (mg/dl), </w:t>
            </w:r>
            <w:proofErr w:type="spellStart"/>
            <w:r w:rsidRPr="005A5F5C">
              <w:rPr>
                <w:sz w:val="16"/>
                <w:szCs w:val="16"/>
                <w:lang w:bidi="ar-EG"/>
              </w:rPr>
              <w:t>mean±SD</w:t>
            </w:r>
            <w:proofErr w:type="spellEnd"/>
          </w:p>
        </w:tc>
        <w:tc>
          <w:tcPr>
            <w:tcW w:w="2700" w:type="dxa"/>
          </w:tcPr>
          <w:p w14:paraId="362F5273" w14:textId="30F5965F" w:rsidR="005014FA" w:rsidRPr="00ED79D2" w:rsidRDefault="006827BD" w:rsidP="005A5F5C">
            <w:pPr>
              <w:spacing w:line="480" w:lineRule="auto"/>
              <w:jc w:val="center"/>
              <w:rPr>
                <w:sz w:val="16"/>
                <w:szCs w:val="16"/>
                <w:lang w:bidi="ar-EG"/>
              </w:rPr>
            </w:pPr>
            <w:r w:rsidRPr="00ED79D2">
              <w:rPr>
                <w:sz w:val="16"/>
                <w:szCs w:val="16"/>
                <w:lang w:bidi="ar-EG"/>
              </w:rPr>
              <w:t>93.6±14.7</w:t>
            </w:r>
          </w:p>
        </w:tc>
        <w:tc>
          <w:tcPr>
            <w:tcW w:w="3060" w:type="dxa"/>
          </w:tcPr>
          <w:p w14:paraId="0A14342C" w14:textId="319181DA" w:rsidR="005014FA" w:rsidRPr="00ED79D2" w:rsidRDefault="005014FA" w:rsidP="005A5F5C">
            <w:pPr>
              <w:spacing w:line="480" w:lineRule="auto"/>
              <w:jc w:val="center"/>
              <w:rPr>
                <w:rFonts w:asciiTheme="majorBidi" w:hAnsiTheme="majorBidi" w:cstheme="majorBidi"/>
                <w:b/>
                <w:bCs/>
                <w:sz w:val="16"/>
                <w:szCs w:val="16"/>
              </w:rPr>
            </w:pPr>
            <w:r w:rsidRPr="00ED79D2">
              <w:rPr>
                <w:sz w:val="16"/>
                <w:szCs w:val="16"/>
                <w:lang w:bidi="ar-EG"/>
              </w:rPr>
              <w:t>78.5±8.8</w:t>
            </w:r>
          </w:p>
        </w:tc>
        <w:tc>
          <w:tcPr>
            <w:tcW w:w="1530" w:type="dxa"/>
          </w:tcPr>
          <w:p w14:paraId="4422201A" w14:textId="77777777"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0.000</w:t>
            </w:r>
          </w:p>
        </w:tc>
      </w:tr>
      <w:tr w:rsidR="005014FA" w:rsidRPr="00ED79D2" w14:paraId="4A65D43B" w14:textId="77777777" w:rsidTr="00ED79D2">
        <w:tc>
          <w:tcPr>
            <w:tcW w:w="2970" w:type="dxa"/>
          </w:tcPr>
          <w:p w14:paraId="7A5D22EF" w14:textId="77777777" w:rsidR="005014FA" w:rsidRPr="005A5F5C" w:rsidRDefault="005014FA" w:rsidP="006A783E">
            <w:pPr>
              <w:spacing w:line="480" w:lineRule="auto"/>
              <w:jc w:val="both"/>
              <w:rPr>
                <w:rFonts w:asciiTheme="majorBidi" w:hAnsiTheme="majorBidi" w:cstheme="majorBidi"/>
                <w:sz w:val="16"/>
                <w:szCs w:val="16"/>
              </w:rPr>
            </w:pPr>
            <w:r w:rsidRPr="005A5F5C">
              <w:rPr>
                <w:sz w:val="16"/>
                <w:szCs w:val="16"/>
                <w:lang w:bidi="ar-EG"/>
              </w:rPr>
              <w:t>Creatinine</w:t>
            </w:r>
            <w:r w:rsidRPr="005A5F5C">
              <w:rPr>
                <w:sz w:val="16"/>
                <w:szCs w:val="16"/>
              </w:rPr>
              <w:t xml:space="preserve">(mg/dl), </w:t>
            </w:r>
            <w:proofErr w:type="spellStart"/>
            <w:r w:rsidRPr="005A5F5C">
              <w:rPr>
                <w:sz w:val="16"/>
                <w:szCs w:val="16"/>
                <w:lang w:bidi="ar-EG"/>
              </w:rPr>
              <w:t>mean±SD</w:t>
            </w:r>
            <w:proofErr w:type="spellEnd"/>
          </w:p>
        </w:tc>
        <w:tc>
          <w:tcPr>
            <w:tcW w:w="2700" w:type="dxa"/>
          </w:tcPr>
          <w:p w14:paraId="14EA21AF" w14:textId="4BB6FCE8" w:rsidR="005014FA" w:rsidRPr="00ED79D2" w:rsidRDefault="004B23AD" w:rsidP="005A5F5C">
            <w:pPr>
              <w:spacing w:line="480" w:lineRule="auto"/>
              <w:jc w:val="center"/>
              <w:rPr>
                <w:sz w:val="16"/>
                <w:szCs w:val="16"/>
                <w:lang w:bidi="ar-EG"/>
              </w:rPr>
            </w:pPr>
            <w:r w:rsidRPr="00ED79D2">
              <w:rPr>
                <w:sz w:val="16"/>
                <w:szCs w:val="16"/>
                <w:lang w:bidi="ar-EG"/>
              </w:rPr>
              <w:t>0.84±0.18</w:t>
            </w:r>
          </w:p>
        </w:tc>
        <w:tc>
          <w:tcPr>
            <w:tcW w:w="3060" w:type="dxa"/>
          </w:tcPr>
          <w:p w14:paraId="28B01526" w14:textId="507ADFD7" w:rsidR="005014FA" w:rsidRPr="00ED79D2" w:rsidRDefault="005014FA" w:rsidP="005A5F5C">
            <w:pPr>
              <w:spacing w:line="480" w:lineRule="auto"/>
              <w:jc w:val="center"/>
              <w:rPr>
                <w:rFonts w:asciiTheme="majorBidi" w:hAnsiTheme="majorBidi" w:cstheme="majorBidi"/>
                <w:b/>
                <w:bCs/>
                <w:sz w:val="16"/>
                <w:szCs w:val="16"/>
              </w:rPr>
            </w:pPr>
            <w:r w:rsidRPr="00ED79D2">
              <w:rPr>
                <w:sz w:val="16"/>
                <w:szCs w:val="16"/>
                <w:lang w:bidi="ar-EG"/>
              </w:rPr>
              <w:t>0.72±0.17</w:t>
            </w:r>
          </w:p>
        </w:tc>
        <w:tc>
          <w:tcPr>
            <w:tcW w:w="1530" w:type="dxa"/>
          </w:tcPr>
          <w:p w14:paraId="062812CC" w14:textId="289623A8"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0.00</w:t>
            </w:r>
            <w:r w:rsidR="00113F9B" w:rsidRPr="00ED79D2">
              <w:rPr>
                <w:sz w:val="16"/>
                <w:szCs w:val="16"/>
                <w:lang w:bidi="ar-EG"/>
              </w:rPr>
              <w:t>0</w:t>
            </w:r>
          </w:p>
        </w:tc>
      </w:tr>
      <w:tr w:rsidR="005014FA" w:rsidRPr="00ED79D2" w14:paraId="64BE0059" w14:textId="77777777" w:rsidTr="00ED79D2">
        <w:trPr>
          <w:trHeight w:val="341"/>
        </w:trPr>
        <w:tc>
          <w:tcPr>
            <w:tcW w:w="2970" w:type="dxa"/>
          </w:tcPr>
          <w:p w14:paraId="3F8BB725" w14:textId="77777777" w:rsidR="005014FA" w:rsidRPr="005A5F5C" w:rsidRDefault="005014FA" w:rsidP="006A783E">
            <w:pPr>
              <w:spacing w:line="480" w:lineRule="auto"/>
              <w:jc w:val="both"/>
              <w:rPr>
                <w:rFonts w:asciiTheme="majorBidi" w:hAnsiTheme="majorBidi" w:cstheme="majorBidi"/>
                <w:sz w:val="16"/>
                <w:szCs w:val="16"/>
              </w:rPr>
            </w:pPr>
            <w:r w:rsidRPr="005A5F5C">
              <w:rPr>
                <w:sz w:val="16"/>
                <w:szCs w:val="16"/>
                <w:lang w:bidi="ar-EG"/>
              </w:rPr>
              <w:t>eGFR</w:t>
            </w:r>
            <w:r w:rsidRPr="005A5F5C">
              <w:rPr>
                <w:rFonts w:ascii="HelveticaNeueLTStd-Roman" w:eastAsia="HelveticaNeueLTStd-Roman" w:cs="HelveticaNeueLTStd-Roman"/>
                <w:sz w:val="16"/>
                <w:szCs w:val="16"/>
              </w:rPr>
              <w:t xml:space="preserve"> (mL/min/1.73 m2)</w:t>
            </w:r>
            <w:r w:rsidRPr="005A5F5C">
              <w:rPr>
                <w:sz w:val="16"/>
                <w:szCs w:val="16"/>
                <w:lang w:bidi="ar-EG"/>
              </w:rPr>
              <w:t xml:space="preserve">, </w:t>
            </w:r>
            <w:proofErr w:type="spellStart"/>
            <w:r w:rsidRPr="005A5F5C">
              <w:rPr>
                <w:sz w:val="16"/>
                <w:szCs w:val="16"/>
                <w:lang w:bidi="ar-EG"/>
              </w:rPr>
              <w:t>mean±SD</w:t>
            </w:r>
            <w:proofErr w:type="spellEnd"/>
          </w:p>
        </w:tc>
        <w:tc>
          <w:tcPr>
            <w:tcW w:w="2700" w:type="dxa"/>
          </w:tcPr>
          <w:p w14:paraId="2865FA4C" w14:textId="4382AC50" w:rsidR="005014FA" w:rsidRPr="00ED79D2" w:rsidRDefault="004B23AD" w:rsidP="005A5F5C">
            <w:pPr>
              <w:spacing w:line="480" w:lineRule="auto"/>
              <w:jc w:val="center"/>
              <w:rPr>
                <w:sz w:val="16"/>
                <w:szCs w:val="16"/>
                <w:lang w:bidi="ar-EG"/>
              </w:rPr>
            </w:pPr>
            <w:r w:rsidRPr="00ED79D2">
              <w:rPr>
                <w:sz w:val="16"/>
                <w:szCs w:val="16"/>
                <w:lang w:bidi="ar-EG"/>
              </w:rPr>
              <w:t>119.7±36.6</w:t>
            </w:r>
          </w:p>
        </w:tc>
        <w:tc>
          <w:tcPr>
            <w:tcW w:w="3060" w:type="dxa"/>
          </w:tcPr>
          <w:p w14:paraId="38CD3ED0" w14:textId="751B0399" w:rsidR="005014FA" w:rsidRPr="00ED79D2" w:rsidRDefault="005014FA" w:rsidP="005A5F5C">
            <w:pPr>
              <w:spacing w:line="480" w:lineRule="auto"/>
              <w:jc w:val="center"/>
              <w:rPr>
                <w:rFonts w:asciiTheme="majorBidi" w:hAnsiTheme="majorBidi" w:cstheme="majorBidi"/>
                <w:b/>
                <w:bCs/>
                <w:sz w:val="16"/>
                <w:szCs w:val="16"/>
              </w:rPr>
            </w:pPr>
            <w:r w:rsidRPr="00ED79D2">
              <w:rPr>
                <w:sz w:val="16"/>
                <w:szCs w:val="16"/>
                <w:lang w:bidi="ar-EG"/>
              </w:rPr>
              <w:t>117.7±37</w:t>
            </w:r>
          </w:p>
        </w:tc>
        <w:tc>
          <w:tcPr>
            <w:tcW w:w="1530" w:type="dxa"/>
          </w:tcPr>
          <w:p w14:paraId="34EF8B41" w14:textId="248AF15A" w:rsidR="005014FA" w:rsidRPr="00ED79D2" w:rsidRDefault="005014FA" w:rsidP="006A783E">
            <w:pPr>
              <w:spacing w:line="480" w:lineRule="auto"/>
              <w:jc w:val="both"/>
              <w:rPr>
                <w:rFonts w:asciiTheme="majorBidi" w:hAnsiTheme="majorBidi" w:cstheme="majorBidi"/>
                <w:b/>
                <w:bCs/>
                <w:sz w:val="16"/>
                <w:szCs w:val="16"/>
              </w:rPr>
            </w:pPr>
            <w:r w:rsidRPr="00ED79D2">
              <w:rPr>
                <w:sz w:val="16"/>
                <w:szCs w:val="16"/>
                <w:lang w:bidi="ar-EG"/>
              </w:rPr>
              <w:t>0.0</w:t>
            </w:r>
            <w:r w:rsidR="00113F9B" w:rsidRPr="00ED79D2">
              <w:rPr>
                <w:sz w:val="16"/>
                <w:szCs w:val="16"/>
                <w:lang w:bidi="ar-EG"/>
              </w:rPr>
              <w:t>0</w:t>
            </w:r>
            <w:r w:rsidRPr="00ED79D2">
              <w:rPr>
                <w:sz w:val="16"/>
                <w:szCs w:val="16"/>
                <w:lang w:bidi="ar-EG"/>
              </w:rPr>
              <w:t>3</w:t>
            </w:r>
          </w:p>
        </w:tc>
      </w:tr>
      <w:tr w:rsidR="006827BD" w:rsidRPr="00ED79D2" w14:paraId="5D3D78B1" w14:textId="77777777" w:rsidTr="005A5F5C">
        <w:trPr>
          <w:trHeight w:val="251"/>
        </w:trPr>
        <w:tc>
          <w:tcPr>
            <w:tcW w:w="2970" w:type="dxa"/>
            <w:tcBorders>
              <w:bottom w:val="single" w:sz="4" w:space="0" w:color="auto"/>
            </w:tcBorders>
          </w:tcPr>
          <w:p w14:paraId="15C9EC9D" w14:textId="68F00ADD" w:rsidR="006827BD" w:rsidRPr="005A5F5C" w:rsidRDefault="006827BD" w:rsidP="006827BD">
            <w:pPr>
              <w:spacing w:line="360" w:lineRule="auto"/>
              <w:jc w:val="both"/>
              <w:rPr>
                <w:sz w:val="16"/>
                <w:szCs w:val="16"/>
                <w:lang w:bidi="ar-EG"/>
              </w:rPr>
            </w:pPr>
            <w:r w:rsidRPr="005A5F5C">
              <w:rPr>
                <w:sz w:val="16"/>
                <w:szCs w:val="16"/>
                <w:lang w:bidi="ar-EG"/>
              </w:rPr>
              <w:t>Presence of microalbuminuria (N%)</w:t>
            </w:r>
          </w:p>
        </w:tc>
        <w:tc>
          <w:tcPr>
            <w:tcW w:w="2700" w:type="dxa"/>
            <w:tcBorders>
              <w:bottom w:val="single" w:sz="4" w:space="0" w:color="auto"/>
            </w:tcBorders>
          </w:tcPr>
          <w:p w14:paraId="7E86F83B" w14:textId="662B3A23" w:rsidR="006827BD" w:rsidRPr="00ED79D2" w:rsidRDefault="006827BD" w:rsidP="005A5F5C">
            <w:pPr>
              <w:spacing w:line="480" w:lineRule="auto"/>
              <w:jc w:val="center"/>
              <w:rPr>
                <w:sz w:val="16"/>
                <w:szCs w:val="16"/>
                <w:lang w:bidi="ar-EG"/>
              </w:rPr>
            </w:pPr>
            <w:r w:rsidRPr="00ED79D2">
              <w:rPr>
                <w:sz w:val="16"/>
                <w:szCs w:val="16"/>
                <w:lang w:bidi="ar-EG"/>
              </w:rPr>
              <w:t>10</w:t>
            </w:r>
            <w:r w:rsidR="00DA136F" w:rsidRPr="00ED79D2">
              <w:rPr>
                <w:sz w:val="16"/>
                <w:szCs w:val="16"/>
                <w:lang w:bidi="ar-EG"/>
              </w:rPr>
              <w:t xml:space="preserve"> (16%)</w:t>
            </w:r>
          </w:p>
        </w:tc>
        <w:tc>
          <w:tcPr>
            <w:tcW w:w="3060" w:type="dxa"/>
            <w:tcBorders>
              <w:bottom w:val="single" w:sz="4" w:space="0" w:color="auto"/>
            </w:tcBorders>
          </w:tcPr>
          <w:p w14:paraId="1AEDEE4A" w14:textId="3DC41B9E" w:rsidR="00DA136F" w:rsidRPr="00ED79D2" w:rsidRDefault="00DA136F" w:rsidP="005A5F5C">
            <w:pPr>
              <w:spacing w:line="480" w:lineRule="auto"/>
              <w:jc w:val="center"/>
              <w:rPr>
                <w:sz w:val="16"/>
                <w:szCs w:val="16"/>
                <w:lang w:bidi="ar-EG"/>
              </w:rPr>
            </w:pPr>
            <w:r w:rsidRPr="00ED79D2">
              <w:rPr>
                <w:sz w:val="16"/>
                <w:szCs w:val="16"/>
                <w:lang w:bidi="ar-EG"/>
              </w:rPr>
              <w:t>0 (0%)</w:t>
            </w:r>
          </w:p>
        </w:tc>
        <w:tc>
          <w:tcPr>
            <w:tcW w:w="1530" w:type="dxa"/>
            <w:tcBorders>
              <w:bottom w:val="single" w:sz="4" w:space="0" w:color="auto"/>
            </w:tcBorders>
          </w:tcPr>
          <w:p w14:paraId="34DB544A" w14:textId="3161CE92" w:rsidR="006827BD" w:rsidRPr="00ED79D2" w:rsidRDefault="006827BD" w:rsidP="006A783E">
            <w:pPr>
              <w:spacing w:line="480" w:lineRule="auto"/>
              <w:jc w:val="both"/>
              <w:rPr>
                <w:sz w:val="16"/>
                <w:szCs w:val="16"/>
                <w:lang w:bidi="ar-EG"/>
              </w:rPr>
            </w:pPr>
            <w:r w:rsidRPr="00ED79D2">
              <w:rPr>
                <w:sz w:val="16"/>
                <w:szCs w:val="16"/>
                <w:lang w:bidi="ar-EG"/>
              </w:rPr>
              <w:t>0.003</w:t>
            </w:r>
          </w:p>
        </w:tc>
      </w:tr>
    </w:tbl>
    <w:p w14:paraId="685BD73B" w14:textId="69959067" w:rsidR="005A5F5C" w:rsidRPr="00DB133F" w:rsidRDefault="00000904" w:rsidP="00341B43">
      <w:pPr>
        <w:rPr>
          <w:sz w:val="16"/>
          <w:szCs w:val="16"/>
          <w:lang w:bidi="ar-EG"/>
        </w:rPr>
        <w:sectPr w:rsidR="005A5F5C" w:rsidRPr="00DB133F" w:rsidSect="000B2965">
          <w:pgSz w:w="12240" w:h="15840"/>
          <w:pgMar w:top="1440" w:right="1440" w:bottom="1440" w:left="1440" w:header="720" w:footer="720" w:gutter="0"/>
          <w:cols w:space="720"/>
          <w:docGrid w:linePitch="360"/>
        </w:sectPr>
      </w:pPr>
      <w:r w:rsidRPr="00DB133F">
        <w:rPr>
          <w:sz w:val="16"/>
          <w:szCs w:val="16"/>
          <w:lang w:bidi="ar-EG"/>
        </w:rPr>
        <w:t>IQR: interquartile range</w:t>
      </w:r>
    </w:p>
    <w:p w14:paraId="245614C8" w14:textId="4920CA43" w:rsidR="00153006" w:rsidRPr="00153006" w:rsidRDefault="00153006" w:rsidP="00153006">
      <w:pPr>
        <w:pStyle w:val="Caption"/>
        <w:keepNext/>
        <w:rPr>
          <w:b/>
          <w:bCs/>
        </w:rPr>
      </w:pPr>
      <w:r>
        <w:t xml:space="preserve">Table </w:t>
      </w:r>
      <w:fldSimple w:instr=" SEQ Table \* ARABIC ">
        <w:r w:rsidR="0045764C">
          <w:rPr>
            <w:noProof/>
          </w:rPr>
          <w:t>2</w:t>
        </w:r>
      </w:fldSimple>
      <w:r>
        <w:t xml:space="preserve">. </w:t>
      </w:r>
      <w:r w:rsidRPr="00153006">
        <w:rPr>
          <w:b/>
          <w:bCs/>
        </w:rPr>
        <w:t>Clinical and laboratory characteristics of NAFLD and control groups</w:t>
      </w:r>
      <w:r>
        <w:rPr>
          <w:b/>
          <w:bCs/>
        </w:rPr>
        <w:t>.</w:t>
      </w: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1643"/>
        <w:gridCol w:w="1867"/>
        <w:gridCol w:w="2070"/>
        <w:gridCol w:w="1800"/>
        <w:gridCol w:w="743"/>
      </w:tblGrid>
      <w:tr w:rsidR="00341B43" w14:paraId="3083483F" w14:textId="77777777" w:rsidTr="00153006">
        <w:tc>
          <w:tcPr>
            <w:tcW w:w="2857" w:type="dxa"/>
            <w:vMerge w:val="restart"/>
            <w:tcBorders>
              <w:top w:val="single" w:sz="4" w:space="0" w:color="auto"/>
            </w:tcBorders>
          </w:tcPr>
          <w:p w14:paraId="3B3CD7C5"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Clinical and laboratory variables</w:t>
            </w:r>
          </w:p>
        </w:tc>
        <w:tc>
          <w:tcPr>
            <w:tcW w:w="5580" w:type="dxa"/>
            <w:gridSpan w:val="3"/>
            <w:tcBorders>
              <w:top w:val="single" w:sz="4" w:space="0" w:color="auto"/>
            </w:tcBorders>
          </w:tcPr>
          <w:p w14:paraId="1AB032BB" w14:textId="5F965401" w:rsidR="00341B43" w:rsidRPr="005A5F5C" w:rsidRDefault="00341B43" w:rsidP="00153006">
            <w:pPr>
              <w:jc w:val="center"/>
              <w:rPr>
                <w:rFonts w:asciiTheme="majorBidi" w:hAnsiTheme="majorBidi" w:cstheme="majorBidi"/>
                <w:b/>
                <w:bCs/>
                <w:sz w:val="16"/>
                <w:szCs w:val="16"/>
              </w:rPr>
            </w:pPr>
            <w:r w:rsidRPr="005A5F5C">
              <w:rPr>
                <w:b/>
                <w:bCs/>
                <w:sz w:val="16"/>
                <w:szCs w:val="16"/>
                <w:lang w:bidi="ar-EG"/>
              </w:rPr>
              <w:t>NAFLD Patients</w:t>
            </w:r>
            <w:r w:rsidR="00153006">
              <w:rPr>
                <w:b/>
                <w:bCs/>
                <w:sz w:val="16"/>
                <w:szCs w:val="16"/>
                <w:lang w:bidi="ar-EG"/>
              </w:rPr>
              <w:t xml:space="preserve"> </w:t>
            </w:r>
            <w:r w:rsidRPr="005A5F5C">
              <w:rPr>
                <w:b/>
                <w:bCs/>
                <w:sz w:val="16"/>
                <w:szCs w:val="16"/>
                <w:lang w:bidi="ar-EG"/>
              </w:rPr>
              <w:t>N=62</w:t>
            </w:r>
          </w:p>
        </w:tc>
        <w:tc>
          <w:tcPr>
            <w:tcW w:w="1800" w:type="dxa"/>
            <w:vMerge w:val="restart"/>
            <w:tcBorders>
              <w:top w:val="single" w:sz="4" w:space="0" w:color="auto"/>
            </w:tcBorders>
          </w:tcPr>
          <w:p w14:paraId="18B56FF2" w14:textId="2F33390B" w:rsidR="00341B43" w:rsidRPr="005A5F5C" w:rsidRDefault="00341B43" w:rsidP="00153006">
            <w:pPr>
              <w:rPr>
                <w:rFonts w:asciiTheme="majorBidi" w:hAnsiTheme="majorBidi" w:cstheme="majorBidi"/>
                <w:b/>
                <w:bCs/>
                <w:sz w:val="16"/>
                <w:szCs w:val="16"/>
              </w:rPr>
            </w:pPr>
            <w:r w:rsidRPr="005A5F5C">
              <w:rPr>
                <w:b/>
                <w:bCs/>
                <w:sz w:val="16"/>
                <w:szCs w:val="16"/>
                <w:lang w:bidi="ar-EG"/>
              </w:rPr>
              <w:t>Control</w:t>
            </w:r>
            <w:r w:rsidR="00153006">
              <w:rPr>
                <w:b/>
                <w:bCs/>
                <w:sz w:val="16"/>
                <w:szCs w:val="16"/>
                <w:lang w:bidi="ar-EG"/>
              </w:rPr>
              <w:t xml:space="preserve"> </w:t>
            </w:r>
            <w:r w:rsidRPr="005A5F5C">
              <w:rPr>
                <w:b/>
                <w:bCs/>
                <w:sz w:val="16"/>
                <w:szCs w:val="16"/>
                <w:lang w:bidi="ar-EG"/>
              </w:rPr>
              <w:t>Group</w:t>
            </w:r>
            <w:r w:rsidR="00153006">
              <w:rPr>
                <w:b/>
                <w:bCs/>
                <w:sz w:val="16"/>
                <w:szCs w:val="16"/>
                <w:lang w:bidi="ar-EG"/>
              </w:rPr>
              <w:t xml:space="preserve"> </w:t>
            </w:r>
            <w:r w:rsidRPr="005A5F5C">
              <w:rPr>
                <w:b/>
                <w:bCs/>
                <w:sz w:val="16"/>
                <w:szCs w:val="16"/>
                <w:lang w:bidi="ar-EG"/>
              </w:rPr>
              <w:t>N=38</w:t>
            </w:r>
          </w:p>
        </w:tc>
        <w:tc>
          <w:tcPr>
            <w:tcW w:w="743" w:type="dxa"/>
            <w:vMerge w:val="restart"/>
            <w:tcBorders>
              <w:top w:val="single" w:sz="4" w:space="0" w:color="auto"/>
            </w:tcBorders>
          </w:tcPr>
          <w:p w14:paraId="6A0DDA79" w14:textId="77777777" w:rsidR="00341B43" w:rsidRPr="005A5F5C" w:rsidRDefault="00341B43" w:rsidP="00153006">
            <w:pPr>
              <w:spacing w:line="480" w:lineRule="auto"/>
              <w:rPr>
                <w:rFonts w:asciiTheme="majorBidi" w:hAnsiTheme="majorBidi" w:cstheme="majorBidi"/>
                <w:b/>
                <w:bCs/>
                <w:sz w:val="16"/>
                <w:szCs w:val="16"/>
              </w:rPr>
            </w:pPr>
            <w:r w:rsidRPr="005A5F5C">
              <w:rPr>
                <w:b/>
                <w:bCs/>
                <w:sz w:val="16"/>
                <w:szCs w:val="16"/>
                <w:lang w:bidi="ar-EG"/>
              </w:rPr>
              <w:t>P-value</w:t>
            </w:r>
          </w:p>
        </w:tc>
      </w:tr>
      <w:tr w:rsidR="00341B43" w14:paraId="04C1F463" w14:textId="77777777" w:rsidTr="00153006">
        <w:tc>
          <w:tcPr>
            <w:tcW w:w="2857" w:type="dxa"/>
            <w:vMerge/>
            <w:tcBorders>
              <w:bottom w:val="single" w:sz="4" w:space="0" w:color="auto"/>
            </w:tcBorders>
          </w:tcPr>
          <w:p w14:paraId="37776F21" w14:textId="77777777" w:rsidR="00341B43" w:rsidRPr="005A5F5C" w:rsidRDefault="00341B43" w:rsidP="006A783E">
            <w:pPr>
              <w:spacing w:line="480" w:lineRule="auto"/>
              <w:jc w:val="both"/>
              <w:rPr>
                <w:rFonts w:asciiTheme="majorBidi" w:hAnsiTheme="majorBidi" w:cstheme="majorBidi"/>
                <w:b/>
                <w:bCs/>
                <w:sz w:val="16"/>
                <w:szCs w:val="16"/>
              </w:rPr>
            </w:pPr>
          </w:p>
        </w:tc>
        <w:tc>
          <w:tcPr>
            <w:tcW w:w="1643" w:type="dxa"/>
            <w:tcBorders>
              <w:bottom w:val="single" w:sz="4" w:space="0" w:color="auto"/>
            </w:tcBorders>
          </w:tcPr>
          <w:p w14:paraId="6622BF93" w14:textId="49DA57C1" w:rsidR="00341B43" w:rsidRPr="005A5F5C" w:rsidRDefault="00341B43" w:rsidP="00153006">
            <w:pPr>
              <w:rPr>
                <w:rFonts w:asciiTheme="majorBidi" w:hAnsiTheme="majorBidi" w:cstheme="majorBidi"/>
                <w:b/>
                <w:bCs/>
                <w:sz w:val="16"/>
                <w:szCs w:val="16"/>
              </w:rPr>
            </w:pPr>
            <w:r w:rsidRPr="005A5F5C">
              <w:rPr>
                <w:b/>
                <w:bCs/>
                <w:sz w:val="16"/>
                <w:szCs w:val="16"/>
                <w:lang w:bidi="ar-EG"/>
              </w:rPr>
              <w:t>No fibrosis(F0)</w:t>
            </w:r>
            <w:r w:rsidR="00153006">
              <w:rPr>
                <w:b/>
                <w:bCs/>
                <w:sz w:val="16"/>
                <w:szCs w:val="16"/>
                <w:lang w:bidi="ar-EG"/>
              </w:rPr>
              <w:t xml:space="preserve"> </w:t>
            </w:r>
            <w:r w:rsidRPr="005A5F5C">
              <w:rPr>
                <w:b/>
                <w:bCs/>
                <w:sz w:val="16"/>
                <w:szCs w:val="16"/>
                <w:lang w:bidi="ar-EG"/>
              </w:rPr>
              <w:t>N=35</w:t>
            </w:r>
          </w:p>
        </w:tc>
        <w:tc>
          <w:tcPr>
            <w:tcW w:w="1867" w:type="dxa"/>
            <w:tcBorders>
              <w:bottom w:val="single" w:sz="4" w:space="0" w:color="auto"/>
            </w:tcBorders>
          </w:tcPr>
          <w:p w14:paraId="65BEA532" w14:textId="14EA62A6" w:rsidR="00341B43" w:rsidRPr="005A5F5C" w:rsidRDefault="00341B43" w:rsidP="00153006">
            <w:pPr>
              <w:rPr>
                <w:rFonts w:asciiTheme="majorBidi" w:hAnsiTheme="majorBidi" w:cstheme="majorBidi"/>
                <w:b/>
                <w:bCs/>
                <w:sz w:val="16"/>
                <w:szCs w:val="16"/>
              </w:rPr>
            </w:pPr>
            <w:r w:rsidRPr="005A5F5C">
              <w:rPr>
                <w:b/>
                <w:bCs/>
                <w:sz w:val="16"/>
                <w:szCs w:val="16"/>
                <w:lang w:bidi="ar-EG"/>
              </w:rPr>
              <w:t>Mild to moderate fibrosis</w:t>
            </w:r>
            <w:r w:rsidR="00153006">
              <w:rPr>
                <w:b/>
                <w:bCs/>
                <w:sz w:val="16"/>
                <w:szCs w:val="16"/>
                <w:lang w:bidi="ar-EG"/>
              </w:rPr>
              <w:t xml:space="preserve"> </w:t>
            </w:r>
            <w:r w:rsidRPr="005A5F5C">
              <w:rPr>
                <w:b/>
                <w:bCs/>
                <w:sz w:val="16"/>
                <w:szCs w:val="16"/>
                <w:lang w:bidi="ar-EG"/>
              </w:rPr>
              <w:t>(F1-2)</w:t>
            </w:r>
            <w:r w:rsidR="00153006">
              <w:rPr>
                <w:b/>
                <w:bCs/>
                <w:sz w:val="16"/>
                <w:szCs w:val="16"/>
                <w:lang w:bidi="ar-EG"/>
              </w:rPr>
              <w:t xml:space="preserve"> </w:t>
            </w:r>
            <w:r w:rsidRPr="005A5F5C">
              <w:rPr>
                <w:b/>
                <w:bCs/>
                <w:sz w:val="16"/>
                <w:szCs w:val="16"/>
                <w:lang w:bidi="ar-EG"/>
              </w:rPr>
              <w:t>N=14</w:t>
            </w:r>
          </w:p>
        </w:tc>
        <w:tc>
          <w:tcPr>
            <w:tcW w:w="2070" w:type="dxa"/>
            <w:tcBorders>
              <w:bottom w:val="single" w:sz="4" w:space="0" w:color="auto"/>
            </w:tcBorders>
          </w:tcPr>
          <w:p w14:paraId="3179069D" w14:textId="58655530" w:rsidR="00341B43" w:rsidRPr="005A5F5C" w:rsidRDefault="00341B43" w:rsidP="00153006">
            <w:pPr>
              <w:jc w:val="center"/>
              <w:rPr>
                <w:rFonts w:asciiTheme="majorBidi" w:hAnsiTheme="majorBidi" w:cstheme="majorBidi"/>
                <w:b/>
                <w:bCs/>
                <w:sz w:val="16"/>
                <w:szCs w:val="16"/>
              </w:rPr>
            </w:pPr>
            <w:r w:rsidRPr="005A5F5C">
              <w:rPr>
                <w:b/>
                <w:bCs/>
                <w:sz w:val="16"/>
                <w:szCs w:val="16"/>
                <w:lang w:bidi="ar-EG"/>
              </w:rPr>
              <w:t>Advanced fibrosis and cirrhosis</w:t>
            </w:r>
            <w:r w:rsidR="00153006">
              <w:rPr>
                <w:b/>
                <w:bCs/>
                <w:sz w:val="16"/>
                <w:szCs w:val="16"/>
                <w:lang w:bidi="ar-EG"/>
              </w:rPr>
              <w:t xml:space="preserve"> </w:t>
            </w:r>
            <w:r w:rsidRPr="005A5F5C">
              <w:rPr>
                <w:b/>
                <w:bCs/>
                <w:sz w:val="16"/>
                <w:szCs w:val="16"/>
                <w:lang w:bidi="ar-EG"/>
              </w:rPr>
              <w:t>(F3-4) N=13</w:t>
            </w:r>
          </w:p>
        </w:tc>
        <w:tc>
          <w:tcPr>
            <w:tcW w:w="1800" w:type="dxa"/>
            <w:vMerge/>
            <w:tcBorders>
              <w:bottom w:val="single" w:sz="4" w:space="0" w:color="auto"/>
            </w:tcBorders>
          </w:tcPr>
          <w:p w14:paraId="0AFF842A" w14:textId="77777777" w:rsidR="00341B43" w:rsidRPr="005A5F5C" w:rsidRDefault="00341B43" w:rsidP="006A783E">
            <w:pPr>
              <w:spacing w:line="480" w:lineRule="auto"/>
              <w:jc w:val="both"/>
              <w:rPr>
                <w:rFonts w:asciiTheme="majorBidi" w:hAnsiTheme="majorBidi" w:cstheme="majorBidi"/>
                <w:b/>
                <w:bCs/>
                <w:sz w:val="16"/>
                <w:szCs w:val="16"/>
              </w:rPr>
            </w:pPr>
          </w:p>
        </w:tc>
        <w:tc>
          <w:tcPr>
            <w:tcW w:w="743" w:type="dxa"/>
            <w:vMerge/>
            <w:tcBorders>
              <w:bottom w:val="single" w:sz="4" w:space="0" w:color="auto"/>
            </w:tcBorders>
          </w:tcPr>
          <w:p w14:paraId="077DEB8B" w14:textId="77777777" w:rsidR="00341B43" w:rsidRPr="005A5F5C" w:rsidRDefault="00341B43" w:rsidP="006A783E">
            <w:pPr>
              <w:spacing w:line="480" w:lineRule="auto"/>
              <w:jc w:val="both"/>
              <w:rPr>
                <w:rFonts w:asciiTheme="majorBidi" w:hAnsiTheme="majorBidi" w:cstheme="majorBidi"/>
                <w:b/>
                <w:bCs/>
                <w:sz w:val="16"/>
                <w:szCs w:val="16"/>
              </w:rPr>
            </w:pPr>
          </w:p>
        </w:tc>
      </w:tr>
      <w:tr w:rsidR="00341B43" w14:paraId="6D94E011" w14:textId="77777777" w:rsidTr="00153006">
        <w:tc>
          <w:tcPr>
            <w:tcW w:w="2857" w:type="dxa"/>
            <w:tcBorders>
              <w:top w:val="single" w:sz="4" w:space="0" w:color="auto"/>
            </w:tcBorders>
            <w:shd w:val="clear" w:color="auto" w:fill="auto"/>
          </w:tcPr>
          <w:p w14:paraId="1FC938FB"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 xml:space="preserve">Age (years), </w:t>
            </w:r>
            <w:proofErr w:type="spellStart"/>
            <w:r w:rsidRPr="005A5F5C">
              <w:rPr>
                <w:b/>
                <w:bCs/>
                <w:sz w:val="16"/>
                <w:szCs w:val="16"/>
                <w:lang w:bidi="ar-EG"/>
              </w:rPr>
              <w:t>mean±SD</w:t>
            </w:r>
            <w:proofErr w:type="spellEnd"/>
          </w:p>
        </w:tc>
        <w:tc>
          <w:tcPr>
            <w:tcW w:w="1643" w:type="dxa"/>
            <w:tcBorders>
              <w:top w:val="single" w:sz="4" w:space="0" w:color="auto"/>
            </w:tcBorders>
          </w:tcPr>
          <w:p w14:paraId="059BC5CF"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44.7±10</w:t>
            </w:r>
          </w:p>
        </w:tc>
        <w:tc>
          <w:tcPr>
            <w:tcW w:w="1867" w:type="dxa"/>
            <w:tcBorders>
              <w:top w:val="single" w:sz="4" w:space="0" w:color="auto"/>
            </w:tcBorders>
            <w:shd w:val="clear" w:color="auto" w:fill="auto"/>
          </w:tcPr>
          <w:p w14:paraId="44005AC2"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42.4±9.4</w:t>
            </w:r>
          </w:p>
        </w:tc>
        <w:tc>
          <w:tcPr>
            <w:tcW w:w="2070" w:type="dxa"/>
            <w:tcBorders>
              <w:top w:val="single" w:sz="4" w:space="0" w:color="auto"/>
            </w:tcBorders>
            <w:shd w:val="clear" w:color="auto" w:fill="auto"/>
          </w:tcPr>
          <w:p w14:paraId="5CA6A608"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47.2±12.7</w:t>
            </w:r>
          </w:p>
        </w:tc>
        <w:tc>
          <w:tcPr>
            <w:tcW w:w="1800" w:type="dxa"/>
            <w:tcBorders>
              <w:top w:val="single" w:sz="4" w:space="0" w:color="auto"/>
            </w:tcBorders>
          </w:tcPr>
          <w:p w14:paraId="003C6DC8"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44.4±14.7</w:t>
            </w:r>
          </w:p>
        </w:tc>
        <w:tc>
          <w:tcPr>
            <w:tcW w:w="743" w:type="dxa"/>
            <w:tcBorders>
              <w:top w:val="single" w:sz="4" w:space="0" w:color="auto"/>
            </w:tcBorders>
            <w:shd w:val="clear" w:color="auto" w:fill="auto"/>
          </w:tcPr>
          <w:p w14:paraId="294C4236"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0.8</w:t>
            </w:r>
          </w:p>
        </w:tc>
      </w:tr>
      <w:tr w:rsidR="00341B43" w14:paraId="31E217B6" w14:textId="77777777" w:rsidTr="00153006">
        <w:tc>
          <w:tcPr>
            <w:tcW w:w="2857" w:type="dxa"/>
            <w:shd w:val="clear" w:color="auto" w:fill="auto"/>
          </w:tcPr>
          <w:p w14:paraId="4F3AD4AD" w14:textId="69367DA4" w:rsidR="00341B43" w:rsidRPr="005A5F5C" w:rsidRDefault="00341B43" w:rsidP="00153006">
            <w:pPr>
              <w:rPr>
                <w:rFonts w:asciiTheme="majorBidi" w:hAnsiTheme="majorBidi" w:cstheme="majorBidi"/>
                <w:b/>
                <w:bCs/>
                <w:sz w:val="16"/>
                <w:szCs w:val="16"/>
              </w:rPr>
            </w:pPr>
            <w:proofErr w:type="spellStart"/>
            <w:proofErr w:type="gramStart"/>
            <w:r w:rsidRPr="005A5F5C">
              <w:rPr>
                <w:b/>
                <w:bCs/>
                <w:sz w:val="16"/>
                <w:szCs w:val="16"/>
                <w:lang w:bidi="ar-EG"/>
              </w:rPr>
              <w:t>Male,n</w:t>
            </w:r>
            <w:proofErr w:type="spellEnd"/>
            <w:proofErr w:type="gramEnd"/>
            <w:r w:rsidRPr="005A5F5C">
              <w:rPr>
                <w:b/>
                <w:bCs/>
                <w:sz w:val="16"/>
                <w:szCs w:val="16"/>
                <w:lang w:bidi="ar-EG"/>
              </w:rPr>
              <w:t>%</w:t>
            </w:r>
            <w:r w:rsidR="00153006">
              <w:rPr>
                <w:b/>
                <w:bCs/>
                <w:sz w:val="16"/>
                <w:szCs w:val="16"/>
                <w:lang w:bidi="ar-EG"/>
              </w:rPr>
              <w:t xml:space="preserve"> </w:t>
            </w:r>
            <w:r w:rsidRPr="005A5F5C">
              <w:rPr>
                <w:b/>
                <w:bCs/>
                <w:sz w:val="16"/>
                <w:szCs w:val="16"/>
                <w:lang w:bidi="ar-EG"/>
              </w:rPr>
              <w:t>Female, n%</w:t>
            </w:r>
          </w:p>
        </w:tc>
        <w:tc>
          <w:tcPr>
            <w:tcW w:w="1643" w:type="dxa"/>
          </w:tcPr>
          <w:p w14:paraId="090DB6D9" w14:textId="20842692" w:rsidR="00341B43" w:rsidRPr="005A5F5C" w:rsidRDefault="00341B43" w:rsidP="00153006">
            <w:pPr>
              <w:jc w:val="center"/>
              <w:rPr>
                <w:rFonts w:asciiTheme="majorBidi" w:hAnsiTheme="majorBidi" w:cstheme="majorBidi"/>
                <w:b/>
                <w:bCs/>
                <w:sz w:val="16"/>
                <w:szCs w:val="16"/>
              </w:rPr>
            </w:pPr>
            <w:r w:rsidRPr="005A5F5C">
              <w:rPr>
                <w:sz w:val="16"/>
                <w:szCs w:val="16"/>
                <w:lang w:bidi="ar-EG"/>
              </w:rPr>
              <w:t>12 (34.3%)</w:t>
            </w:r>
            <w:r w:rsidR="00153006">
              <w:rPr>
                <w:sz w:val="16"/>
                <w:szCs w:val="16"/>
                <w:lang w:bidi="ar-EG"/>
              </w:rPr>
              <w:t xml:space="preserve"> </w:t>
            </w:r>
            <w:r w:rsidRPr="005A5F5C">
              <w:rPr>
                <w:sz w:val="16"/>
                <w:szCs w:val="16"/>
                <w:lang w:bidi="ar-EG"/>
              </w:rPr>
              <w:t>23 (75.7%)</w:t>
            </w:r>
          </w:p>
        </w:tc>
        <w:tc>
          <w:tcPr>
            <w:tcW w:w="1867" w:type="dxa"/>
            <w:shd w:val="clear" w:color="auto" w:fill="auto"/>
          </w:tcPr>
          <w:p w14:paraId="3417DBF8" w14:textId="5485AD7E" w:rsidR="00341B43" w:rsidRPr="005A5F5C" w:rsidRDefault="00341B43" w:rsidP="00153006">
            <w:pPr>
              <w:jc w:val="center"/>
              <w:rPr>
                <w:rFonts w:asciiTheme="majorBidi" w:hAnsiTheme="majorBidi" w:cstheme="majorBidi"/>
                <w:b/>
                <w:bCs/>
                <w:sz w:val="16"/>
                <w:szCs w:val="16"/>
              </w:rPr>
            </w:pPr>
            <w:r w:rsidRPr="005A5F5C">
              <w:rPr>
                <w:sz w:val="16"/>
                <w:szCs w:val="16"/>
                <w:lang w:bidi="ar-EG"/>
              </w:rPr>
              <w:t>8 (57.2%)</w:t>
            </w:r>
            <w:r w:rsidR="00153006">
              <w:rPr>
                <w:sz w:val="16"/>
                <w:szCs w:val="16"/>
                <w:lang w:bidi="ar-EG"/>
              </w:rPr>
              <w:t xml:space="preserve"> </w:t>
            </w:r>
            <w:r w:rsidRPr="005A5F5C">
              <w:rPr>
                <w:sz w:val="16"/>
                <w:szCs w:val="16"/>
                <w:lang w:bidi="ar-EG"/>
              </w:rPr>
              <w:t>6(42.8%)</w:t>
            </w:r>
          </w:p>
        </w:tc>
        <w:tc>
          <w:tcPr>
            <w:tcW w:w="2070" w:type="dxa"/>
            <w:shd w:val="clear" w:color="auto" w:fill="auto"/>
          </w:tcPr>
          <w:p w14:paraId="50D03127" w14:textId="4F8D9501" w:rsidR="00341B43" w:rsidRPr="005A5F5C" w:rsidRDefault="00341B43" w:rsidP="00153006">
            <w:pPr>
              <w:jc w:val="center"/>
              <w:rPr>
                <w:rFonts w:asciiTheme="majorBidi" w:hAnsiTheme="majorBidi" w:cstheme="majorBidi"/>
                <w:b/>
                <w:bCs/>
                <w:sz w:val="16"/>
                <w:szCs w:val="16"/>
              </w:rPr>
            </w:pPr>
            <w:r w:rsidRPr="005A5F5C">
              <w:rPr>
                <w:sz w:val="16"/>
                <w:szCs w:val="16"/>
                <w:lang w:bidi="ar-EG"/>
              </w:rPr>
              <w:t>3 (23%)</w:t>
            </w:r>
            <w:r w:rsidR="00153006">
              <w:rPr>
                <w:sz w:val="16"/>
                <w:szCs w:val="16"/>
                <w:lang w:bidi="ar-EG"/>
              </w:rPr>
              <w:t xml:space="preserve"> </w:t>
            </w:r>
            <w:r w:rsidRPr="005A5F5C">
              <w:rPr>
                <w:sz w:val="16"/>
                <w:szCs w:val="16"/>
                <w:lang w:bidi="ar-EG"/>
              </w:rPr>
              <w:t>10 (77%)</w:t>
            </w:r>
          </w:p>
        </w:tc>
        <w:tc>
          <w:tcPr>
            <w:tcW w:w="1800" w:type="dxa"/>
          </w:tcPr>
          <w:p w14:paraId="6D128AF7" w14:textId="0506F8EB" w:rsidR="00341B43" w:rsidRPr="005A5F5C" w:rsidRDefault="00341B43" w:rsidP="00153006">
            <w:pPr>
              <w:jc w:val="center"/>
              <w:rPr>
                <w:rFonts w:asciiTheme="majorBidi" w:hAnsiTheme="majorBidi" w:cstheme="majorBidi"/>
                <w:b/>
                <w:bCs/>
                <w:sz w:val="16"/>
                <w:szCs w:val="16"/>
              </w:rPr>
            </w:pPr>
            <w:r w:rsidRPr="005A5F5C">
              <w:rPr>
                <w:sz w:val="16"/>
                <w:szCs w:val="16"/>
                <w:lang w:bidi="ar-EG"/>
              </w:rPr>
              <w:t>11 (29%)</w:t>
            </w:r>
            <w:r w:rsidR="00153006">
              <w:rPr>
                <w:sz w:val="16"/>
                <w:szCs w:val="16"/>
                <w:lang w:bidi="ar-EG"/>
              </w:rPr>
              <w:t xml:space="preserve"> </w:t>
            </w:r>
            <w:r w:rsidRPr="005A5F5C">
              <w:rPr>
                <w:sz w:val="16"/>
                <w:szCs w:val="16"/>
                <w:lang w:bidi="ar-EG"/>
              </w:rPr>
              <w:t>17(71%)</w:t>
            </w:r>
          </w:p>
        </w:tc>
        <w:tc>
          <w:tcPr>
            <w:tcW w:w="743" w:type="dxa"/>
            <w:shd w:val="clear" w:color="auto" w:fill="auto"/>
          </w:tcPr>
          <w:p w14:paraId="7B6A2388"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0.2</w:t>
            </w:r>
          </w:p>
        </w:tc>
      </w:tr>
      <w:tr w:rsidR="00341B43" w14:paraId="776CFB47" w14:textId="77777777" w:rsidTr="00153006">
        <w:trPr>
          <w:trHeight w:val="260"/>
        </w:trPr>
        <w:tc>
          <w:tcPr>
            <w:tcW w:w="2857" w:type="dxa"/>
            <w:shd w:val="clear" w:color="auto" w:fill="auto"/>
          </w:tcPr>
          <w:p w14:paraId="49B46BF8"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 xml:space="preserve">BMI (Kg/m2), </w:t>
            </w:r>
            <w:proofErr w:type="spellStart"/>
            <w:r w:rsidRPr="005A5F5C">
              <w:rPr>
                <w:b/>
                <w:bCs/>
                <w:sz w:val="16"/>
                <w:szCs w:val="16"/>
                <w:lang w:bidi="ar-EG"/>
              </w:rPr>
              <w:t>mean±SD</w:t>
            </w:r>
            <w:proofErr w:type="spellEnd"/>
          </w:p>
        </w:tc>
        <w:tc>
          <w:tcPr>
            <w:tcW w:w="1643" w:type="dxa"/>
          </w:tcPr>
          <w:p w14:paraId="299EF48B"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32.9±4.7</w:t>
            </w:r>
          </w:p>
        </w:tc>
        <w:tc>
          <w:tcPr>
            <w:tcW w:w="1867" w:type="dxa"/>
            <w:shd w:val="clear" w:color="auto" w:fill="auto"/>
          </w:tcPr>
          <w:p w14:paraId="52183E1B"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33.5±6.5</w:t>
            </w:r>
          </w:p>
        </w:tc>
        <w:tc>
          <w:tcPr>
            <w:tcW w:w="2070" w:type="dxa"/>
            <w:shd w:val="clear" w:color="auto" w:fill="auto"/>
          </w:tcPr>
          <w:p w14:paraId="071361D6"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36.6±8.5</w:t>
            </w:r>
          </w:p>
        </w:tc>
        <w:tc>
          <w:tcPr>
            <w:tcW w:w="1800" w:type="dxa"/>
          </w:tcPr>
          <w:p w14:paraId="0D9D01EC"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31.5±5.8</w:t>
            </w:r>
          </w:p>
        </w:tc>
        <w:tc>
          <w:tcPr>
            <w:tcW w:w="743" w:type="dxa"/>
            <w:shd w:val="clear" w:color="auto" w:fill="auto"/>
          </w:tcPr>
          <w:p w14:paraId="5B5F7088"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0.07</w:t>
            </w:r>
          </w:p>
        </w:tc>
      </w:tr>
      <w:tr w:rsidR="00341B43" w14:paraId="3EB0D844" w14:textId="77777777" w:rsidTr="00153006">
        <w:tc>
          <w:tcPr>
            <w:tcW w:w="2857" w:type="dxa"/>
            <w:shd w:val="clear" w:color="auto" w:fill="auto"/>
          </w:tcPr>
          <w:p w14:paraId="2AF0C5E2"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 xml:space="preserve">Waist circumference (cm), </w:t>
            </w:r>
            <w:proofErr w:type="spellStart"/>
            <w:r w:rsidRPr="005A5F5C">
              <w:rPr>
                <w:b/>
                <w:bCs/>
                <w:sz w:val="16"/>
                <w:szCs w:val="16"/>
                <w:lang w:bidi="ar-EG"/>
              </w:rPr>
              <w:t>mean±SD</w:t>
            </w:r>
            <w:proofErr w:type="spellEnd"/>
          </w:p>
        </w:tc>
        <w:tc>
          <w:tcPr>
            <w:tcW w:w="1643" w:type="dxa"/>
          </w:tcPr>
          <w:p w14:paraId="71E448F0"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107±11.3</w:t>
            </w:r>
          </w:p>
        </w:tc>
        <w:tc>
          <w:tcPr>
            <w:tcW w:w="1867" w:type="dxa"/>
            <w:shd w:val="clear" w:color="auto" w:fill="auto"/>
          </w:tcPr>
          <w:p w14:paraId="5DCF1739"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110±13.6</w:t>
            </w:r>
          </w:p>
        </w:tc>
        <w:tc>
          <w:tcPr>
            <w:tcW w:w="2070" w:type="dxa"/>
            <w:shd w:val="clear" w:color="auto" w:fill="auto"/>
          </w:tcPr>
          <w:p w14:paraId="6CBABF3E"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110±25.4</w:t>
            </w:r>
          </w:p>
        </w:tc>
        <w:tc>
          <w:tcPr>
            <w:tcW w:w="1800" w:type="dxa"/>
          </w:tcPr>
          <w:p w14:paraId="5347B00C"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94±12.3</w:t>
            </w:r>
          </w:p>
        </w:tc>
        <w:tc>
          <w:tcPr>
            <w:tcW w:w="743" w:type="dxa"/>
            <w:shd w:val="clear" w:color="auto" w:fill="auto"/>
          </w:tcPr>
          <w:p w14:paraId="0039A663"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0.000</w:t>
            </w:r>
          </w:p>
        </w:tc>
      </w:tr>
      <w:tr w:rsidR="00341B43" w14:paraId="6AA19D0B" w14:textId="77777777" w:rsidTr="00153006">
        <w:trPr>
          <w:trHeight w:val="1205"/>
        </w:trPr>
        <w:tc>
          <w:tcPr>
            <w:tcW w:w="2857" w:type="dxa"/>
          </w:tcPr>
          <w:p w14:paraId="21657A4E" w14:textId="77777777" w:rsidR="00341B43" w:rsidRPr="005A5F5C" w:rsidRDefault="00341B43" w:rsidP="006A783E">
            <w:pPr>
              <w:rPr>
                <w:b/>
                <w:bCs/>
                <w:sz w:val="16"/>
                <w:szCs w:val="16"/>
                <w:lang w:bidi="ar-EG"/>
              </w:rPr>
            </w:pPr>
            <w:r w:rsidRPr="005A5F5C">
              <w:rPr>
                <w:b/>
                <w:bCs/>
                <w:sz w:val="16"/>
                <w:szCs w:val="16"/>
                <w:lang w:bidi="ar-EG"/>
              </w:rPr>
              <w:t xml:space="preserve">Abdominal ultrasound measurement, </w:t>
            </w:r>
            <w:proofErr w:type="spellStart"/>
            <w:r w:rsidRPr="005A5F5C">
              <w:rPr>
                <w:b/>
                <w:bCs/>
                <w:sz w:val="16"/>
                <w:szCs w:val="16"/>
                <w:lang w:bidi="ar-EG"/>
              </w:rPr>
              <w:t>mean±SD</w:t>
            </w:r>
            <w:proofErr w:type="spellEnd"/>
          </w:p>
          <w:p w14:paraId="4D11BCC8" w14:textId="77777777" w:rsidR="00341B43" w:rsidRPr="005A5F5C" w:rsidRDefault="00341B43" w:rsidP="006A783E">
            <w:pPr>
              <w:rPr>
                <w:b/>
                <w:bCs/>
                <w:sz w:val="16"/>
                <w:szCs w:val="16"/>
                <w:lang w:bidi="ar-EG"/>
              </w:rPr>
            </w:pPr>
            <w:r w:rsidRPr="005A5F5C">
              <w:rPr>
                <w:b/>
                <w:bCs/>
                <w:sz w:val="16"/>
                <w:szCs w:val="16"/>
                <w:lang w:bidi="ar-EG"/>
              </w:rPr>
              <w:t>Liver size (cm)</w:t>
            </w:r>
          </w:p>
          <w:p w14:paraId="3C841235" w14:textId="77777777" w:rsidR="00341B43" w:rsidRPr="005A5F5C" w:rsidRDefault="00341B43" w:rsidP="006A783E">
            <w:pPr>
              <w:rPr>
                <w:b/>
                <w:bCs/>
                <w:sz w:val="16"/>
                <w:szCs w:val="16"/>
                <w:lang w:bidi="ar-EG"/>
              </w:rPr>
            </w:pPr>
            <w:r w:rsidRPr="005A5F5C">
              <w:rPr>
                <w:b/>
                <w:bCs/>
                <w:sz w:val="16"/>
                <w:szCs w:val="16"/>
                <w:lang w:bidi="ar-EG"/>
              </w:rPr>
              <w:t>Spleen size (cm)</w:t>
            </w:r>
          </w:p>
          <w:p w14:paraId="31BB5505" w14:textId="77777777" w:rsidR="00341B43" w:rsidRPr="005A5F5C" w:rsidRDefault="00341B43" w:rsidP="006A783E">
            <w:pPr>
              <w:rPr>
                <w:b/>
                <w:bCs/>
                <w:sz w:val="16"/>
                <w:szCs w:val="16"/>
                <w:lang w:bidi="ar-EG"/>
              </w:rPr>
            </w:pPr>
            <w:r w:rsidRPr="005A5F5C">
              <w:rPr>
                <w:b/>
                <w:bCs/>
                <w:sz w:val="16"/>
                <w:szCs w:val="16"/>
                <w:lang w:bidi="ar-EG"/>
              </w:rPr>
              <w:t xml:space="preserve">Subcutaneous fat thickness (mm) </w:t>
            </w:r>
          </w:p>
          <w:p w14:paraId="7AB96B84"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 xml:space="preserve">Preperitoneal fat thickness (mm) </w:t>
            </w:r>
          </w:p>
        </w:tc>
        <w:tc>
          <w:tcPr>
            <w:tcW w:w="1643" w:type="dxa"/>
          </w:tcPr>
          <w:p w14:paraId="365EAAD4" w14:textId="77777777" w:rsidR="00341B43" w:rsidRPr="005A5F5C" w:rsidRDefault="00341B43" w:rsidP="00153006">
            <w:pPr>
              <w:jc w:val="center"/>
              <w:rPr>
                <w:sz w:val="16"/>
                <w:szCs w:val="16"/>
                <w:lang w:bidi="ar-EG"/>
              </w:rPr>
            </w:pPr>
          </w:p>
          <w:p w14:paraId="68CC54DD" w14:textId="77777777" w:rsidR="00341B43" w:rsidRPr="005A5F5C" w:rsidRDefault="00341B43" w:rsidP="00153006">
            <w:pPr>
              <w:jc w:val="center"/>
              <w:rPr>
                <w:sz w:val="16"/>
                <w:szCs w:val="16"/>
                <w:lang w:bidi="ar-EG"/>
              </w:rPr>
            </w:pPr>
          </w:p>
          <w:p w14:paraId="01E097ED" w14:textId="77777777" w:rsidR="00341B43" w:rsidRPr="005A5F5C" w:rsidRDefault="00341B43" w:rsidP="00153006">
            <w:pPr>
              <w:jc w:val="center"/>
              <w:rPr>
                <w:sz w:val="16"/>
                <w:szCs w:val="16"/>
                <w:lang w:bidi="ar-EG"/>
              </w:rPr>
            </w:pPr>
            <w:r w:rsidRPr="005A5F5C">
              <w:rPr>
                <w:sz w:val="16"/>
                <w:szCs w:val="16"/>
                <w:lang w:bidi="ar-EG"/>
              </w:rPr>
              <w:t>16±1.5</w:t>
            </w:r>
          </w:p>
          <w:p w14:paraId="20311952" w14:textId="77777777" w:rsidR="00341B43" w:rsidRPr="005A5F5C" w:rsidRDefault="00341B43" w:rsidP="00153006">
            <w:pPr>
              <w:jc w:val="center"/>
              <w:rPr>
                <w:sz w:val="16"/>
                <w:szCs w:val="16"/>
                <w:lang w:bidi="ar-EG"/>
              </w:rPr>
            </w:pPr>
            <w:r w:rsidRPr="005A5F5C">
              <w:rPr>
                <w:sz w:val="16"/>
                <w:szCs w:val="16"/>
                <w:lang w:bidi="ar-EG"/>
              </w:rPr>
              <w:t>11.9±1.6</w:t>
            </w:r>
          </w:p>
          <w:p w14:paraId="16A51771" w14:textId="77777777" w:rsidR="00341B43" w:rsidRPr="005A5F5C" w:rsidRDefault="00341B43" w:rsidP="00153006">
            <w:pPr>
              <w:jc w:val="center"/>
              <w:rPr>
                <w:sz w:val="16"/>
                <w:szCs w:val="16"/>
                <w:lang w:bidi="ar-EG"/>
              </w:rPr>
            </w:pPr>
            <w:r w:rsidRPr="005A5F5C">
              <w:rPr>
                <w:sz w:val="16"/>
                <w:szCs w:val="16"/>
                <w:lang w:bidi="ar-EG"/>
              </w:rPr>
              <w:t>17±4.8</w:t>
            </w:r>
          </w:p>
          <w:p w14:paraId="5680FA74" w14:textId="31F2B1D4"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12±3.4</w:t>
            </w:r>
          </w:p>
        </w:tc>
        <w:tc>
          <w:tcPr>
            <w:tcW w:w="1867" w:type="dxa"/>
          </w:tcPr>
          <w:p w14:paraId="2D151B05" w14:textId="77777777" w:rsidR="00341B43" w:rsidRPr="005A5F5C" w:rsidRDefault="00341B43" w:rsidP="00153006">
            <w:pPr>
              <w:jc w:val="center"/>
              <w:rPr>
                <w:sz w:val="16"/>
                <w:szCs w:val="16"/>
                <w:lang w:bidi="ar-EG"/>
              </w:rPr>
            </w:pPr>
          </w:p>
          <w:p w14:paraId="1DBA515B" w14:textId="77777777" w:rsidR="00341B43" w:rsidRPr="005A5F5C" w:rsidRDefault="00341B43" w:rsidP="00153006">
            <w:pPr>
              <w:jc w:val="center"/>
              <w:rPr>
                <w:sz w:val="16"/>
                <w:szCs w:val="16"/>
                <w:lang w:bidi="ar-EG"/>
              </w:rPr>
            </w:pPr>
          </w:p>
          <w:p w14:paraId="0FCFCEED" w14:textId="77777777" w:rsidR="00341B43" w:rsidRPr="005A5F5C" w:rsidRDefault="00341B43" w:rsidP="00153006">
            <w:pPr>
              <w:jc w:val="center"/>
              <w:rPr>
                <w:sz w:val="16"/>
                <w:szCs w:val="16"/>
                <w:lang w:bidi="ar-EG"/>
              </w:rPr>
            </w:pPr>
            <w:r w:rsidRPr="005A5F5C">
              <w:rPr>
                <w:sz w:val="16"/>
                <w:szCs w:val="16"/>
                <w:lang w:bidi="ar-EG"/>
              </w:rPr>
              <w:t>17±2</w:t>
            </w:r>
          </w:p>
          <w:p w14:paraId="32421CC9" w14:textId="77777777" w:rsidR="00341B43" w:rsidRPr="005A5F5C" w:rsidRDefault="00341B43" w:rsidP="00153006">
            <w:pPr>
              <w:jc w:val="center"/>
              <w:rPr>
                <w:sz w:val="16"/>
                <w:szCs w:val="16"/>
                <w:lang w:bidi="ar-EG"/>
              </w:rPr>
            </w:pPr>
            <w:r w:rsidRPr="005A5F5C">
              <w:rPr>
                <w:sz w:val="16"/>
                <w:szCs w:val="16"/>
                <w:lang w:bidi="ar-EG"/>
              </w:rPr>
              <w:t>12.4±2</w:t>
            </w:r>
          </w:p>
          <w:p w14:paraId="2D5717D3" w14:textId="77777777" w:rsidR="00341B43" w:rsidRPr="005A5F5C" w:rsidRDefault="00341B43" w:rsidP="00153006">
            <w:pPr>
              <w:jc w:val="center"/>
              <w:rPr>
                <w:sz w:val="16"/>
                <w:szCs w:val="16"/>
                <w:lang w:bidi="ar-EG"/>
              </w:rPr>
            </w:pPr>
            <w:r w:rsidRPr="005A5F5C">
              <w:rPr>
                <w:sz w:val="16"/>
                <w:szCs w:val="16"/>
                <w:lang w:bidi="ar-EG"/>
              </w:rPr>
              <w:t>15±8.3</w:t>
            </w:r>
          </w:p>
          <w:p w14:paraId="0139B41A" w14:textId="469CD42D"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13±4.3</w:t>
            </w:r>
          </w:p>
        </w:tc>
        <w:tc>
          <w:tcPr>
            <w:tcW w:w="2070" w:type="dxa"/>
          </w:tcPr>
          <w:p w14:paraId="1DBEF0A3" w14:textId="77777777" w:rsidR="00341B43" w:rsidRPr="005A5F5C" w:rsidRDefault="00341B43" w:rsidP="00153006">
            <w:pPr>
              <w:jc w:val="center"/>
              <w:rPr>
                <w:sz w:val="16"/>
                <w:szCs w:val="16"/>
                <w:lang w:bidi="ar-EG"/>
              </w:rPr>
            </w:pPr>
          </w:p>
          <w:p w14:paraId="4122509E" w14:textId="77777777" w:rsidR="00341B43" w:rsidRPr="005A5F5C" w:rsidRDefault="00341B43" w:rsidP="00153006">
            <w:pPr>
              <w:jc w:val="center"/>
              <w:rPr>
                <w:sz w:val="16"/>
                <w:szCs w:val="16"/>
                <w:lang w:bidi="ar-EG"/>
              </w:rPr>
            </w:pPr>
          </w:p>
          <w:p w14:paraId="5C7B939A" w14:textId="77777777" w:rsidR="00341B43" w:rsidRPr="005A5F5C" w:rsidRDefault="00341B43" w:rsidP="00153006">
            <w:pPr>
              <w:jc w:val="center"/>
              <w:rPr>
                <w:sz w:val="16"/>
                <w:szCs w:val="16"/>
                <w:lang w:bidi="ar-EG"/>
              </w:rPr>
            </w:pPr>
            <w:r w:rsidRPr="005A5F5C">
              <w:rPr>
                <w:sz w:val="16"/>
                <w:szCs w:val="16"/>
                <w:lang w:bidi="ar-EG"/>
              </w:rPr>
              <w:t>16±2</w:t>
            </w:r>
          </w:p>
          <w:p w14:paraId="0BDA6725" w14:textId="77777777" w:rsidR="00341B43" w:rsidRPr="005A5F5C" w:rsidRDefault="00341B43" w:rsidP="00153006">
            <w:pPr>
              <w:jc w:val="center"/>
              <w:rPr>
                <w:sz w:val="16"/>
                <w:szCs w:val="16"/>
                <w:lang w:bidi="ar-EG"/>
              </w:rPr>
            </w:pPr>
            <w:r w:rsidRPr="005A5F5C">
              <w:rPr>
                <w:sz w:val="16"/>
                <w:szCs w:val="16"/>
                <w:lang w:bidi="ar-EG"/>
              </w:rPr>
              <w:t>12±2</w:t>
            </w:r>
          </w:p>
          <w:p w14:paraId="54B3B501" w14:textId="77777777" w:rsidR="00341B43" w:rsidRPr="005A5F5C" w:rsidRDefault="00341B43" w:rsidP="00153006">
            <w:pPr>
              <w:jc w:val="center"/>
              <w:rPr>
                <w:sz w:val="16"/>
                <w:szCs w:val="16"/>
                <w:lang w:bidi="ar-EG"/>
              </w:rPr>
            </w:pPr>
            <w:r w:rsidRPr="005A5F5C">
              <w:rPr>
                <w:sz w:val="16"/>
                <w:szCs w:val="16"/>
                <w:lang w:bidi="ar-EG"/>
              </w:rPr>
              <w:t>18±4.3</w:t>
            </w:r>
          </w:p>
          <w:p w14:paraId="0D33DAE8" w14:textId="0984AB1A"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15±4.2</w:t>
            </w:r>
          </w:p>
        </w:tc>
        <w:tc>
          <w:tcPr>
            <w:tcW w:w="1800" w:type="dxa"/>
          </w:tcPr>
          <w:p w14:paraId="1961AD35" w14:textId="77777777" w:rsidR="00341B43" w:rsidRPr="005A5F5C" w:rsidRDefault="00341B43" w:rsidP="00153006">
            <w:pPr>
              <w:jc w:val="center"/>
              <w:rPr>
                <w:sz w:val="16"/>
                <w:szCs w:val="16"/>
                <w:lang w:bidi="ar-EG"/>
              </w:rPr>
            </w:pPr>
          </w:p>
          <w:p w14:paraId="533E8333" w14:textId="77777777" w:rsidR="00341B43" w:rsidRPr="005A5F5C" w:rsidRDefault="00341B43" w:rsidP="00153006">
            <w:pPr>
              <w:jc w:val="center"/>
              <w:rPr>
                <w:sz w:val="16"/>
                <w:szCs w:val="16"/>
                <w:lang w:bidi="ar-EG"/>
              </w:rPr>
            </w:pPr>
          </w:p>
          <w:p w14:paraId="203C172B" w14:textId="77777777" w:rsidR="00341B43" w:rsidRPr="005A5F5C" w:rsidRDefault="00341B43" w:rsidP="00153006">
            <w:pPr>
              <w:jc w:val="center"/>
              <w:rPr>
                <w:sz w:val="16"/>
                <w:szCs w:val="16"/>
                <w:lang w:bidi="ar-EG"/>
              </w:rPr>
            </w:pPr>
            <w:r w:rsidRPr="005A5F5C">
              <w:rPr>
                <w:sz w:val="16"/>
                <w:szCs w:val="16"/>
                <w:lang w:bidi="ar-EG"/>
              </w:rPr>
              <w:t>14±1.8</w:t>
            </w:r>
          </w:p>
          <w:p w14:paraId="3C5185B8" w14:textId="77777777" w:rsidR="00341B43" w:rsidRPr="005A5F5C" w:rsidRDefault="00341B43" w:rsidP="00153006">
            <w:pPr>
              <w:jc w:val="center"/>
              <w:rPr>
                <w:sz w:val="16"/>
                <w:szCs w:val="16"/>
                <w:lang w:bidi="ar-EG"/>
              </w:rPr>
            </w:pPr>
            <w:r w:rsidRPr="005A5F5C">
              <w:rPr>
                <w:sz w:val="16"/>
                <w:szCs w:val="16"/>
                <w:lang w:bidi="ar-EG"/>
              </w:rPr>
              <w:t>9.5±1.5</w:t>
            </w:r>
          </w:p>
          <w:p w14:paraId="1E83A70F" w14:textId="77777777" w:rsidR="00341B43" w:rsidRPr="005A5F5C" w:rsidRDefault="00341B43" w:rsidP="00153006">
            <w:pPr>
              <w:jc w:val="center"/>
              <w:rPr>
                <w:sz w:val="16"/>
                <w:szCs w:val="16"/>
                <w:lang w:bidi="ar-EG"/>
              </w:rPr>
            </w:pPr>
            <w:r w:rsidRPr="005A5F5C">
              <w:rPr>
                <w:sz w:val="16"/>
                <w:szCs w:val="16"/>
                <w:lang w:bidi="ar-EG"/>
              </w:rPr>
              <w:t>12±3.6</w:t>
            </w:r>
          </w:p>
          <w:p w14:paraId="3BAC9B4E" w14:textId="41A4B560"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10.4±3.8</w:t>
            </w:r>
          </w:p>
        </w:tc>
        <w:tc>
          <w:tcPr>
            <w:tcW w:w="743" w:type="dxa"/>
          </w:tcPr>
          <w:p w14:paraId="67CEC34B" w14:textId="77777777" w:rsidR="00341B43" w:rsidRPr="005A5F5C" w:rsidRDefault="00341B43" w:rsidP="00153006">
            <w:pPr>
              <w:jc w:val="center"/>
              <w:rPr>
                <w:sz w:val="16"/>
                <w:szCs w:val="16"/>
                <w:lang w:bidi="ar-EG"/>
              </w:rPr>
            </w:pPr>
          </w:p>
          <w:p w14:paraId="02270AC9" w14:textId="77777777" w:rsidR="00341B43" w:rsidRPr="005A5F5C" w:rsidRDefault="00341B43" w:rsidP="00153006">
            <w:pPr>
              <w:jc w:val="center"/>
              <w:rPr>
                <w:sz w:val="16"/>
                <w:szCs w:val="16"/>
                <w:lang w:bidi="ar-EG"/>
              </w:rPr>
            </w:pPr>
          </w:p>
          <w:p w14:paraId="2ED58222" w14:textId="77777777" w:rsidR="00341B43" w:rsidRPr="005A5F5C" w:rsidRDefault="00341B43" w:rsidP="00153006">
            <w:pPr>
              <w:jc w:val="center"/>
              <w:rPr>
                <w:sz w:val="16"/>
                <w:szCs w:val="16"/>
                <w:lang w:bidi="ar-EG"/>
              </w:rPr>
            </w:pPr>
            <w:r w:rsidRPr="005A5F5C">
              <w:rPr>
                <w:sz w:val="16"/>
                <w:szCs w:val="16"/>
                <w:lang w:bidi="ar-EG"/>
              </w:rPr>
              <w:t>0.000</w:t>
            </w:r>
          </w:p>
          <w:p w14:paraId="4FEE2646" w14:textId="77777777" w:rsidR="00341B43" w:rsidRPr="005A5F5C" w:rsidRDefault="00341B43" w:rsidP="00153006">
            <w:pPr>
              <w:jc w:val="center"/>
              <w:rPr>
                <w:sz w:val="16"/>
                <w:szCs w:val="16"/>
                <w:lang w:bidi="ar-EG"/>
              </w:rPr>
            </w:pPr>
            <w:r w:rsidRPr="005A5F5C">
              <w:rPr>
                <w:sz w:val="16"/>
                <w:szCs w:val="16"/>
                <w:lang w:bidi="ar-EG"/>
              </w:rPr>
              <w:t>0.000</w:t>
            </w:r>
          </w:p>
          <w:p w14:paraId="7E3F26B0" w14:textId="77777777" w:rsidR="00341B43" w:rsidRPr="005A5F5C" w:rsidRDefault="00341B43" w:rsidP="00153006">
            <w:pPr>
              <w:jc w:val="center"/>
              <w:rPr>
                <w:sz w:val="16"/>
                <w:szCs w:val="16"/>
                <w:lang w:bidi="ar-EG"/>
              </w:rPr>
            </w:pPr>
            <w:r w:rsidRPr="005A5F5C">
              <w:rPr>
                <w:sz w:val="16"/>
                <w:szCs w:val="16"/>
                <w:lang w:bidi="ar-EG"/>
              </w:rPr>
              <w:t>0.000</w:t>
            </w:r>
          </w:p>
          <w:p w14:paraId="57BC3748" w14:textId="66CEEECD"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0.002</w:t>
            </w:r>
          </w:p>
        </w:tc>
      </w:tr>
      <w:tr w:rsidR="00341B43" w14:paraId="302B5953" w14:textId="77777777" w:rsidTr="00153006">
        <w:tc>
          <w:tcPr>
            <w:tcW w:w="2857" w:type="dxa"/>
            <w:shd w:val="clear" w:color="auto" w:fill="auto"/>
          </w:tcPr>
          <w:p w14:paraId="5512B1AC"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 xml:space="preserve">Steatosis (Fibroscan), </w:t>
            </w:r>
            <w:proofErr w:type="spellStart"/>
            <w:r w:rsidRPr="005A5F5C">
              <w:rPr>
                <w:b/>
                <w:bCs/>
                <w:sz w:val="16"/>
                <w:szCs w:val="16"/>
                <w:lang w:bidi="ar-EG"/>
              </w:rPr>
              <w:t>mean±SD</w:t>
            </w:r>
            <w:proofErr w:type="spellEnd"/>
          </w:p>
        </w:tc>
        <w:tc>
          <w:tcPr>
            <w:tcW w:w="1643" w:type="dxa"/>
          </w:tcPr>
          <w:p w14:paraId="4936E4EE"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221±8.3</w:t>
            </w:r>
          </w:p>
        </w:tc>
        <w:tc>
          <w:tcPr>
            <w:tcW w:w="1867" w:type="dxa"/>
            <w:shd w:val="clear" w:color="auto" w:fill="auto"/>
          </w:tcPr>
          <w:p w14:paraId="59F9694F"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224±8.3</w:t>
            </w:r>
          </w:p>
        </w:tc>
        <w:tc>
          <w:tcPr>
            <w:tcW w:w="2070" w:type="dxa"/>
            <w:shd w:val="clear" w:color="auto" w:fill="auto"/>
          </w:tcPr>
          <w:p w14:paraId="5049D649"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257±5.6</w:t>
            </w:r>
          </w:p>
        </w:tc>
        <w:tc>
          <w:tcPr>
            <w:tcW w:w="1800" w:type="dxa"/>
          </w:tcPr>
          <w:p w14:paraId="3BAE9F83"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w:t>
            </w:r>
          </w:p>
        </w:tc>
        <w:tc>
          <w:tcPr>
            <w:tcW w:w="743" w:type="dxa"/>
            <w:shd w:val="clear" w:color="auto" w:fill="auto"/>
          </w:tcPr>
          <w:p w14:paraId="352A3B22"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0.4</w:t>
            </w:r>
          </w:p>
        </w:tc>
      </w:tr>
      <w:tr w:rsidR="00341B43" w14:paraId="0210E49F" w14:textId="77777777" w:rsidTr="00153006">
        <w:trPr>
          <w:trHeight w:val="251"/>
        </w:trPr>
        <w:tc>
          <w:tcPr>
            <w:tcW w:w="2857" w:type="dxa"/>
            <w:shd w:val="clear" w:color="auto" w:fill="auto"/>
          </w:tcPr>
          <w:p w14:paraId="6C529AD3" w14:textId="75B2BCEE" w:rsidR="00341B43" w:rsidRPr="00DB133F" w:rsidRDefault="00341B43" w:rsidP="00DB133F">
            <w:pPr>
              <w:rPr>
                <w:sz w:val="16"/>
                <w:szCs w:val="16"/>
                <w:lang w:bidi="ar-EG"/>
              </w:rPr>
            </w:pPr>
            <w:r w:rsidRPr="00DB133F">
              <w:rPr>
                <w:sz w:val="16"/>
                <w:szCs w:val="16"/>
                <w:lang w:bidi="ar-EG"/>
              </w:rPr>
              <w:t xml:space="preserve">ALT (IU/L), </w:t>
            </w:r>
            <w:proofErr w:type="gramStart"/>
            <w:r w:rsidRPr="00DB133F">
              <w:rPr>
                <w:sz w:val="16"/>
                <w:szCs w:val="16"/>
                <w:lang w:bidi="ar-EG"/>
              </w:rPr>
              <w:t>median</w:t>
            </w:r>
            <w:r w:rsidR="007C3303" w:rsidRPr="005A5F5C">
              <w:rPr>
                <w:sz w:val="16"/>
                <w:szCs w:val="16"/>
                <w:lang w:bidi="ar-EG"/>
              </w:rPr>
              <w:t>(</w:t>
            </w:r>
            <w:proofErr w:type="gramEnd"/>
            <w:r w:rsidR="007C3303" w:rsidRPr="00DB133F">
              <w:rPr>
                <w:sz w:val="16"/>
                <w:szCs w:val="16"/>
                <w:lang w:bidi="ar-EG"/>
              </w:rPr>
              <w:t>IQR)</w:t>
            </w:r>
          </w:p>
        </w:tc>
        <w:tc>
          <w:tcPr>
            <w:tcW w:w="1643" w:type="dxa"/>
          </w:tcPr>
          <w:p w14:paraId="06810909" w14:textId="78298B11" w:rsidR="00341B43" w:rsidRPr="005A5F5C" w:rsidRDefault="00341B43" w:rsidP="00153006">
            <w:pPr>
              <w:jc w:val="center"/>
              <w:rPr>
                <w:rFonts w:asciiTheme="majorBidi" w:hAnsiTheme="majorBidi" w:cstheme="majorBidi"/>
                <w:b/>
                <w:bCs/>
                <w:sz w:val="16"/>
                <w:szCs w:val="16"/>
              </w:rPr>
            </w:pPr>
            <w:r w:rsidRPr="005A5F5C">
              <w:rPr>
                <w:sz w:val="16"/>
                <w:szCs w:val="16"/>
                <w:lang w:bidi="ar-EG"/>
              </w:rPr>
              <w:t>20</w:t>
            </w:r>
            <w:r w:rsidR="00153006">
              <w:rPr>
                <w:sz w:val="16"/>
                <w:szCs w:val="16"/>
                <w:lang w:bidi="ar-EG"/>
              </w:rPr>
              <w:t xml:space="preserve"> </w:t>
            </w:r>
            <w:r w:rsidRPr="005A5F5C">
              <w:rPr>
                <w:sz w:val="16"/>
                <w:szCs w:val="16"/>
                <w:lang w:bidi="ar-EG"/>
              </w:rPr>
              <w:t>(7-94)</w:t>
            </w:r>
          </w:p>
        </w:tc>
        <w:tc>
          <w:tcPr>
            <w:tcW w:w="1867" w:type="dxa"/>
            <w:shd w:val="clear" w:color="auto" w:fill="auto"/>
          </w:tcPr>
          <w:p w14:paraId="1C3FEFB5" w14:textId="788CB0FC" w:rsidR="00341B43" w:rsidRPr="005A5F5C" w:rsidRDefault="00341B43" w:rsidP="00153006">
            <w:pPr>
              <w:jc w:val="center"/>
              <w:rPr>
                <w:rFonts w:asciiTheme="majorBidi" w:hAnsiTheme="majorBidi" w:cstheme="majorBidi"/>
                <w:b/>
                <w:bCs/>
                <w:sz w:val="16"/>
                <w:szCs w:val="16"/>
              </w:rPr>
            </w:pPr>
            <w:r w:rsidRPr="005A5F5C">
              <w:rPr>
                <w:sz w:val="16"/>
                <w:szCs w:val="16"/>
                <w:lang w:bidi="ar-EG"/>
              </w:rPr>
              <w:t>22</w:t>
            </w:r>
            <w:r w:rsidR="00153006">
              <w:rPr>
                <w:sz w:val="16"/>
                <w:szCs w:val="16"/>
                <w:lang w:bidi="ar-EG"/>
              </w:rPr>
              <w:t xml:space="preserve"> </w:t>
            </w:r>
            <w:r w:rsidRPr="005A5F5C">
              <w:rPr>
                <w:sz w:val="16"/>
                <w:szCs w:val="16"/>
                <w:lang w:bidi="ar-EG"/>
              </w:rPr>
              <w:t>(12-43)</w:t>
            </w:r>
          </w:p>
        </w:tc>
        <w:tc>
          <w:tcPr>
            <w:tcW w:w="2070" w:type="dxa"/>
            <w:shd w:val="clear" w:color="auto" w:fill="auto"/>
          </w:tcPr>
          <w:p w14:paraId="14E3D2D7" w14:textId="5785BA6E" w:rsidR="00341B43" w:rsidRPr="005A5F5C" w:rsidRDefault="00341B43" w:rsidP="00153006">
            <w:pPr>
              <w:jc w:val="center"/>
              <w:rPr>
                <w:rFonts w:asciiTheme="majorBidi" w:hAnsiTheme="majorBidi" w:cstheme="majorBidi"/>
                <w:b/>
                <w:bCs/>
                <w:sz w:val="16"/>
                <w:szCs w:val="16"/>
              </w:rPr>
            </w:pPr>
            <w:r w:rsidRPr="005A5F5C">
              <w:rPr>
                <w:sz w:val="16"/>
                <w:szCs w:val="16"/>
                <w:lang w:bidi="ar-EG"/>
              </w:rPr>
              <w:t>18</w:t>
            </w:r>
            <w:r w:rsidR="00153006">
              <w:rPr>
                <w:sz w:val="16"/>
                <w:szCs w:val="16"/>
                <w:lang w:bidi="ar-EG"/>
              </w:rPr>
              <w:t xml:space="preserve"> </w:t>
            </w:r>
            <w:r w:rsidRPr="005A5F5C">
              <w:rPr>
                <w:sz w:val="16"/>
                <w:szCs w:val="16"/>
                <w:lang w:bidi="ar-EG"/>
              </w:rPr>
              <w:t>(11-69)</w:t>
            </w:r>
          </w:p>
        </w:tc>
        <w:tc>
          <w:tcPr>
            <w:tcW w:w="1800" w:type="dxa"/>
          </w:tcPr>
          <w:p w14:paraId="6ECCE971" w14:textId="3A5804EC" w:rsidR="00341B43" w:rsidRPr="005A5F5C" w:rsidRDefault="006827BD" w:rsidP="00153006">
            <w:pPr>
              <w:jc w:val="center"/>
              <w:rPr>
                <w:rFonts w:asciiTheme="majorBidi" w:hAnsiTheme="majorBidi" w:cstheme="majorBidi"/>
                <w:b/>
                <w:bCs/>
                <w:sz w:val="16"/>
                <w:szCs w:val="16"/>
              </w:rPr>
            </w:pPr>
            <w:r w:rsidRPr="005A5F5C">
              <w:rPr>
                <w:sz w:val="16"/>
                <w:szCs w:val="16"/>
                <w:lang w:bidi="ar-EG"/>
              </w:rPr>
              <w:t>17.5</w:t>
            </w:r>
            <w:r w:rsidR="00153006">
              <w:rPr>
                <w:sz w:val="16"/>
                <w:szCs w:val="16"/>
                <w:lang w:bidi="ar-EG"/>
              </w:rPr>
              <w:t xml:space="preserve"> </w:t>
            </w:r>
            <w:r w:rsidRPr="005A5F5C">
              <w:rPr>
                <w:sz w:val="16"/>
                <w:szCs w:val="16"/>
                <w:lang w:bidi="ar-EG"/>
              </w:rPr>
              <w:t>(10.7-21.2)</w:t>
            </w:r>
          </w:p>
        </w:tc>
        <w:tc>
          <w:tcPr>
            <w:tcW w:w="743" w:type="dxa"/>
            <w:shd w:val="clear" w:color="auto" w:fill="auto"/>
          </w:tcPr>
          <w:p w14:paraId="4624850C"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0.04</w:t>
            </w:r>
          </w:p>
        </w:tc>
      </w:tr>
      <w:tr w:rsidR="00341B43" w14:paraId="32DC5BF0" w14:textId="77777777" w:rsidTr="00153006">
        <w:trPr>
          <w:trHeight w:val="323"/>
        </w:trPr>
        <w:tc>
          <w:tcPr>
            <w:tcW w:w="2857" w:type="dxa"/>
            <w:shd w:val="clear" w:color="auto" w:fill="auto"/>
          </w:tcPr>
          <w:p w14:paraId="157DB60A" w14:textId="13911A17" w:rsidR="00341B43" w:rsidRPr="00DB133F" w:rsidRDefault="00341B43" w:rsidP="00DB133F">
            <w:pPr>
              <w:rPr>
                <w:sz w:val="16"/>
                <w:szCs w:val="16"/>
                <w:lang w:bidi="ar-EG"/>
              </w:rPr>
            </w:pPr>
            <w:r w:rsidRPr="00DB133F">
              <w:rPr>
                <w:sz w:val="16"/>
                <w:szCs w:val="16"/>
                <w:lang w:bidi="ar-EG"/>
              </w:rPr>
              <w:t xml:space="preserve">AST(IU/L), </w:t>
            </w:r>
            <w:proofErr w:type="gramStart"/>
            <w:r w:rsidRPr="00DB133F">
              <w:rPr>
                <w:sz w:val="16"/>
                <w:szCs w:val="16"/>
                <w:lang w:bidi="ar-EG"/>
              </w:rPr>
              <w:t>median</w:t>
            </w:r>
            <w:r w:rsidR="007C3303" w:rsidRPr="005A5F5C">
              <w:rPr>
                <w:sz w:val="16"/>
                <w:szCs w:val="16"/>
                <w:lang w:bidi="ar-EG"/>
              </w:rPr>
              <w:t>(</w:t>
            </w:r>
            <w:proofErr w:type="gramEnd"/>
            <w:r w:rsidR="007C3303" w:rsidRPr="00DB133F">
              <w:rPr>
                <w:sz w:val="16"/>
                <w:szCs w:val="16"/>
                <w:lang w:bidi="ar-EG"/>
              </w:rPr>
              <w:t>IQR)</w:t>
            </w:r>
          </w:p>
        </w:tc>
        <w:tc>
          <w:tcPr>
            <w:tcW w:w="1643" w:type="dxa"/>
          </w:tcPr>
          <w:p w14:paraId="03257920" w14:textId="1BCD0F1D" w:rsidR="00341B43" w:rsidRPr="005A5F5C" w:rsidRDefault="00341B43" w:rsidP="00153006">
            <w:pPr>
              <w:jc w:val="center"/>
              <w:rPr>
                <w:rFonts w:asciiTheme="majorBidi" w:hAnsiTheme="majorBidi" w:cstheme="majorBidi"/>
                <w:b/>
                <w:bCs/>
                <w:sz w:val="16"/>
                <w:szCs w:val="16"/>
              </w:rPr>
            </w:pPr>
            <w:r w:rsidRPr="005A5F5C">
              <w:rPr>
                <w:sz w:val="16"/>
                <w:szCs w:val="16"/>
                <w:lang w:bidi="ar-EG"/>
              </w:rPr>
              <w:t>22</w:t>
            </w:r>
            <w:r w:rsidR="00153006">
              <w:rPr>
                <w:sz w:val="16"/>
                <w:szCs w:val="16"/>
                <w:lang w:bidi="ar-EG"/>
              </w:rPr>
              <w:t xml:space="preserve"> </w:t>
            </w:r>
            <w:r w:rsidRPr="005A5F5C">
              <w:rPr>
                <w:sz w:val="16"/>
                <w:szCs w:val="16"/>
                <w:lang w:bidi="ar-EG"/>
              </w:rPr>
              <w:t>(13-79)</w:t>
            </w:r>
          </w:p>
        </w:tc>
        <w:tc>
          <w:tcPr>
            <w:tcW w:w="1867" w:type="dxa"/>
            <w:shd w:val="clear" w:color="auto" w:fill="auto"/>
          </w:tcPr>
          <w:p w14:paraId="723DA42B" w14:textId="616DC402" w:rsidR="00341B43" w:rsidRPr="005A5F5C" w:rsidRDefault="00341B43" w:rsidP="00153006">
            <w:pPr>
              <w:jc w:val="center"/>
              <w:rPr>
                <w:rFonts w:asciiTheme="majorBidi" w:hAnsiTheme="majorBidi" w:cstheme="majorBidi"/>
                <w:b/>
                <w:bCs/>
                <w:sz w:val="16"/>
                <w:szCs w:val="16"/>
              </w:rPr>
            </w:pPr>
            <w:r w:rsidRPr="005A5F5C">
              <w:rPr>
                <w:sz w:val="16"/>
                <w:szCs w:val="16"/>
                <w:lang w:bidi="ar-EG"/>
              </w:rPr>
              <w:t>19</w:t>
            </w:r>
            <w:r w:rsidR="00153006">
              <w:rPr>
                <w:sz w:val="16"/>
                <w:szCs w:val="16"/>
                <w:lang w:bidi="ar-EG"/>
              </w:rPr>
              <w:t xml:space="preserve"> </w:t>
            </w:r>
            <w:r w:rsidRPr="005A5F5C">
              <w:rPr>
                <w:sz w:val="16"/>
                <w:szCs w:val="16"/>
                <w:lang w:bidi="ar-EG"/>
              </w:rPr>
              <w:t>(11-30)</w:t>
            </w:r>
          </w:p>
        </w:tc>
        <w:tc>
          <w:tcPr>
            <w:tcW w:w="2070" w:type="dxa"/>
            <w:shd w:val="clear" w:color="auto" w:fill="auto"/>
          </w:tcPr>
          <w:p w14:paraId="651A5A5C" w14:textId="2C75248A" w:rsidR="00341B43" w:rsidRPr="005A5F5C" w:rsidRDefault="00341B43" w:rsidP="00153006">
            <w:pPr>
              <w:jc w:val="center"/>
              <w:rPr>
                <w:rFonts w:asciiTheme="majorBidi" w:hAnsiTheme="majorBidi" w:cstheme="majorBidi"/>
                <w:b/>
                <w:bCs/>
                <w:sz w:val="16"/>
                <w:szCs w:val="16"/>
              </w:rPr>
            </w:pPr>
            <w:r w:rsidRPr="005A5F5C">
              <w:rPr>
                <w:sz w:val="16"/>
                <w:szCs w:val="16"/>
                <w:lang w:bidi="ar-EG"/>
              </w:rPr>
              <w:t>22</w:t>
            </w:r>
            <w:r w:rsidR="00153006">
              <w:rPr>
                <w:sz w:val="16"/>
                <w:szCs w:val="16"/>
                <w:lang w:bidi="ar-EG"/>
              </w:rPr>
              <w:t xml:space="preserve"> </w:t>
            </w:r>
            <w:r w:rsidRPr="005A5F5C">
              <w:rPr>
                <w:sz w:val="16"/>
                <w:szCs w:val="16"/>
                <w:lang w:bidi="ar-EG"/>
              </w:rPr>
              <w:t>(15-41)</w:t>
            </w:r>
          </w:p>
        </w:tc>
        <w:tc>
          <w:tcPr>
            <w:tcW w:w="1800" w:type="dxa"/>
          </w:tcPr>
          <w:p w14:paraId="66A53FA7" w14:textId="713141F3" w:rsidR="00341B43" w:rsidRPr="005A5F5C" w:rsidRDefault="006827BD" w:rsidP="00153006">
            <w:pPr>
              <w:spacing w:line="480" w:lineRule="auto"/>
              <w:jc w:val="center"/>
              <w:rPr>
                <w:rFonts w:asciiTheme="majorBidi" w:hAnsiTheme="majorBidi" w:cstheme="majorBidi"/>
                <w:b/>
                <w:bCs/>
                <w:sz w:val="16"/>
                <w:szCs w:val="16"/>
              </w:rPr>
            </w:pPr>
            <w:r w:rsidRPr="005A5F5C">
              <w:rPr>
                <w:sz w:val="16"/>
                <w:szCs w:val="16"/>
                <w:lang w:bidi="ar-EG"/>
              </w:rPr>
              <w:t>17 (13-20)</w:t>
            </w:r>
          </w:p>
        </w:tc>
        <w:tc>
          <w:tcPr>
            <w:tcW w:w="743" w:type="dxa"/>
            <w:shd w:val="clear" w:color="auto" w:fill="auto"/>
          </w:tcPr>
          <w:p w14:paraId="6C87DAA8"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0.000</w:t>
            </w:r>
          </w:p>
        </w:tc>
      </w:tr>
      <w:tr w:rsidR="00341B43" w14:paraId="55CA88DD" w14:textId="77777777" w:rsidTr="00153006">
        <w:tc>
          <w:tcPr>
            <w:tcW w:w="2857" w:type="dxa"/>
            <w:shd w:val="clear" w:color="auto" w:fill="auto"/>
          </w:tcPr>
          <w:p w14:paraId="4ABFD83C" w14:textId="77777777" w:rsidR="00341B43" w:rsidRPr="00DB133F" w:rsidRDefault="00341B43" w:rsidP="00DB133F">
            <w:pPr>
              <w:rPr>
                <w:sz w:val="16"/>
                <w:szCs w:val="16"/>
                <w:lang w:bidi="ar-EG"/>
              </w:rPr>
            </w:pPr>
            <w:r w:rsidRPr="00DB133F">
              <w:rPr>
                <w:sz w:val="16"/>
                <w:szCs w:val="16"/>
                <w:lang w:bidi="ar-EG"/>
              </w:rPr>
              <w:t xml:space="preserve">Albumin(g/dl), </w:t>
            </w:r>
            <w:proofErr w:type="spellStart"/>
            <w:r w:rsidRPr="00DB133F">
              <w:rPr>
                <w:sz w:val="16"/>
                <w:szCs w:val="16"/>
                <w:lang w:bidi="ar-EG"/>
              </w:rPr>
              <w:t>mean±SD</w:t>
            </w:r>
            <w:proofErr w:type="spellEnd"/>
          </w:p>
        </w:tc>
        <w:tc>
          <w:tcPr>
            <w:tcW w:w="1643" w:type="dxa"/>
          </w:tcPr>
          <w:p w14:paraId="3CD74BAA"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4.2±0.4</w:t>
            </w:r>
          </w:p>
        </w:tc>
        <w:tc>
          <w:tcPr>
            <w:tcW w:w="1867" w:type="dxa"/>
            <w:shd w:val="clear" w:color="auto" w:fill="auto"/>
          </w:tcPr>
          <w:p w14:paraId="2A7E98BE"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4.2±0.3</w:t>
            </w:r>
          </w:p>
        </w:tc>
        <w:tc>
          <w:tcPr>
            <w:tcW w:w="2070" w:type="dxa"/>
            <w:shd w:val="clear" w:color="auto" w:fill="auto"/>
          </w:tcPr>
          <w:p w14:paraId="55B67EA6"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4.3±0.4</w:t>
            </w:r>
          </w:p>
        </w:tc>
        <w:tc>
          <w:tcPr>
            <w:tcW w:w="1800" w:type="dxa"/>
          </w:tcPr>
          <w:p w14:paraId="55258709"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4.3±0.4</w:t>
            </w:r>
          </w:p>
        </w:tc>
        <w:tc>
          <w:tcPr>
            <w:tcW w:w="743" w:type="dxa"/>
            <w:shd w:val="clear" w:color="auto" w:fill="auto"/>
          </w:tcPr>
          <w:p w14:paraId="1BBA5138"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0.8</w:t>
            </w:r>
          </w:p>
        </w:tc>
      </w:tr>
      <w:tr w:rsidR="00341B43" w14:paraId="620F2E72" w14:textId="77777777" w:rsidTr="00153006">
        <w:tc>
          <w:tcPr>
            <w:tcW w:w="2857" w:type="dxa"/>
            <w:shd w:val="clear" w:color="auto" w:fill="auto"/>
          </w:tcPr>
          <w:p w14:paraId="55F176FA" w14:textId="452DCB2F" w:rsidR="00341B43" w:rsidRPr="00DB133F" w:rsidRDefault="00341B43" w:rsidP="00DB133F">
            <w:pPr>
              <w:rPr>
                <w:sz w:val="16"/>
                <w:szCs w:val="16"/>
                <w:lang w:bidi="ar-EG"/>
              </w:rPr>
            </w:pPr>
            <w:r w:rsidRPr="00DB133F">
              <w:rPr>
                <w:sz w:val="16"/>
                <w:szCs w:val="16"/>
                <w:lang w:bidi="ar-EG"/>
              </w:rPr>
              <w:t xml:space="preserve">Total bilirubin (mg/dl), </w:t>
            </w:r>
            <w:proofErr w:type="gramStart"/>
            <w:r w:rsidRPr="00DB133F">
              <w:rPr>
                <w:sz w:val="16"/>
                <w:szCs w:val="16"/>
                <w:lang w:bidi="ar-EG"/>
              </w:rPr>
              <w:t>median</w:t>
            </w:r>
            <w:r w:rsidR="007C3303" w:rsidRPr="005A5F5C">
              <w:rPr>
                <w:sz w:val="16"/>
                <w:szCs w:val="16"/>
                <w:lang w:bidi="ar-EG"/>
              </w:rPr>
              <w:t>(</w:t>
            </w:r>
            <w:proofErr w:type="gramEnd"/>
            <w:r w:rsidR="007C3303" w:rsidRPr="00DB133F">
              <w:rPr>
                <w:sz w:val="16"/>
                <w:szCs w:val="16"/>
                <w:lang w:bidi="ar-EG"/>
              </w:rPr>
              <w:t>IQR)</w:t>
            </w:r>
          </w:p>
        </w:tc>
        <w:tc>
          <w:tcPr>
            <w:tcW w:w="1643" w:type="dxa"/>
          </w:tcPr>
          <w:p w14:paraId="3E14CEA7" w14:textId="09F01C6D" w:rsidR="00341B43" w:rsidRPr="005A5F5C" w:rsidRDefault="00341B43" w:rsidP="00153006">
            <w:pPr>
              <w:jc w:val="center"/>
              <w:rPr>
                <w:rFonts w:asciiTheme="majorBidi" w:hAnsiTheme="majorBidi" w:cstheme="majorBidi"/>
                <w:b/>
                <w:bCs/>
                <w:sz w:val="16"/>
                <w:szCs w:val="16"/>
              </w:rPr>
            </w:pPr>
            <w:r w:rsidRPr="005A5F5C">
              <w:rPr>
                <w:sz w:val="16"/>
                <w:szCs w:val="16"/>
                <w:lang w:bidi="ar-EG"/>
              </w:rPr>
              <w:t>0.7</w:t>
            </w:r>
            <w:r w:rsidR="00153006">
              <w:rPr>
                <w:sz w:val="16"/>
                <w:szCs w:val="16"/>
                <w:lang w:bidi="ar-EG"/>
              </w:rPr>
              <w:t xml:space="preserve"> </w:t>
            </w:r>
            <w:r w:rsidRPr="005A5F5C">
              <w:rPr>
                <w:sz w:val="16"/>
                <w:szCs w:val="16"/>
                <w:lang w:bidi="ar-EG"/>
              </w:rPr>
              <w:t>(0.3-1.6)</w:t>
            </w:r>
          </w:p>
        </w:tc>
        <w:tc>
          <w:tcPr>
            <w:tcW w:w="1867" w:type="dxa"/>
            <w:shd w:val="clear" w:color="auto" w:fill="auto"/>
          </w:tcPr>
          <w:p w14:paraId="61B1405D" w14:textId="3A324AEE" w:rsidR="00341B43" w:rsidRPr="005A5F5C" w:rsidRDefault="00341B43" w:rsidP="00153006">
            <w:pPr>
              <w:jc w:val="center"/>
              <w:rPr>
                <w:rFonts w:asciiTheme="majorBidi" w:hAnsiTheme="majorBidi" w:cstheme="majorBidi"/>
                <w:b/>
                <w:bCs/>
                <w:sz w:val="16"/>
                <w:szCs w:val="16"/>
              </w:rPr>
            </w:pPr>
            <w:r w:rsidRPr="005A5F5C">
              <w:rPr>
                <w:sz w:val="16"/>
                <w:szCs w:val="16"/>
                <w:lang w:bidi="ar-EG"/>
              </w:rPr>
              <w:t>0.8</w:t>
            </w:r>
            <w:r w:rsidR="00153006">
              <w:rPr>
                <w:sz w:val="16"/>
                <w:szCs w:val="16"/>
                <w:lang w:bidi="ar-EG"/>
              </w:rPr>
              <w:t xml:space="preserve"> </w:t>
            </w:r>
            <w:r w:rsidRPr="005A5F5C">
              <w:rPr>
                <w:sz w:val="16"/>
                <w:szCs w:val="16"/>
                <w:lang w:bidi="ar-EG"/>
              </w:rPr>
              <w:t>(0.2-1.5)</w:t>
            </w:r>
          </w:p>
        </w:tc>
        <w:tc>
          <w:tcPr>
            <w:tcW w:w="2070" w:type="dxa"/>
            <w:shd w:val="clear" w:color="auto" w:fill="auto"/>
          </w:tcPr>
          <w:p w14:paraId="42D85A7B" w14:textId="3446ADFC" w:rsidR="00341B43" w:rsidRPr="005A5F5C" w:rsidRDefault="00341B43" w:rsidP="00153006">
            <w:pPr>
              <w:jc w:val="center"/>
              <w:rPr>
                <w:rFonts w:asciiTheme="majorBidi" w:hAnsiTheme="majorBidi" w:cstheme="majorBidi"/>
                <w:b/>
                <w:bCs/>
                <w:sz w:val="16"/>
                <w:szCs w:val="16"/>
              </w:rPr>
            </w:pPr>
            <w:r w:rsidRPr="005A5F5C">
              <w:rPr>
                <w:sz w:val="16"/>
                <w:szCs w:val="16"/>
                <w:lang w:bidi="ar-EG"/>
              </w:rPr>
              <w:t>0.8</w:t>
            </w:r>
            <w:r w:rsidR="00153006">
              <w:rPr>
                <w:sz w:val="16"/>
                <w:szCs w:val="16"/>
                <w:lang w:bidi="ar-EG"/>
              </w:rPr>
              <w:t xml:space="preserve"> </w:t>
            </w:r>
            <w:r w:rsidRPr="005A5F5C">
              <w:rPr>
                <w:sz w:val="16"/>
                <w:szCs w:val="16"/>
                <w:lang w:bidi="ar-EG"/>
              </w:rPr>
              <w:t>(0.3-1.1)</w:t>
            </w:r>
          </w:p>
        </w:tc>
        <w:tc>
          <w:tcPr>
            <w:tcW w:w="1800" w:type="dxa"/>
          </w:tcPr>
          <w:p w14:paraId="75C100E2" w14:textId="7B85CE87" w:rsidR="00341B43" w:rsidRPr="005A5F5C" w:rsidRDefault="00341B43" w:rsidP="00153006">
            <w:pPr>
              <w:jc w:val="center"/>
              <w:rPr>
                <w:rFonts w:asciiTheme="majorBidi" w:hAnsiTheme="majorBidi" w:cstheme="majorBidi"/>
                <w:b/>
                <w:bCs/>
                <w:sz w:val="16"/>
                <w:szCs w:val="16"/>
              </w:rPr>
            </w:pPr>
            <w:r w:rsidRPr="005A5F5C">
              <w:rPr>
                <w:sz w:val="16"/>
                <w:szCs w:val="16"/>
                <w:lang w:bidi="ar-EG"/>
              </w:rPr>
              <w:t>0.6</w:t>
            </w:r>
            <w:r w:rsidR="00153006">
              <w:rPr>
                <w:sz w:val="16"/>
                <w:szCs w:val="16"/>
                <w:lang w:bidi="ar-EG"/>
              </w:rPr>
              <w:t xml:space="preserve"> </w:t>
            </w:r>
            <w:r w:rsidRPr="005A5F5C">
              <w:rPr>
                <w:sz w:val="16"/>
                <w:szCs w:val="16"/>
                <w:lang w:bidi="ar-EG"/>
              </w:rPr>
              <w:t>(0.3-1.2)</w:t>
            </w:r>
          </w:p>
        </w:tc>
        <w:tc>
          <w:tcPr>
            <w:tcW w:w="743" w:type="dxa"/>
            <w:shd w:val="clear" w:color="auto" w:fill="auto"/>
          </w:tcPr>
          <w:p w14:paraId="084BE14E"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0.2</w:t>
            </w:r>
          </w:p>
        </w:tc>
      </w:tr>
      <w:tr w:rsidR="00341B43" w14:paraId="4AC275B4" w14:textId="77777777" w:rsidTr="00153006">
        <w:trPr>
          <w:trHeight w:val="359"/>
        </w:trPr>
        <w:tc>
          <w:tcPr>
            <w:tcW w:w="2857" w:type="dxa"/>
          </w:tcPr>
          <w:p w14:paraId="702E2849" w14:textId="3767C095" w:rsidR="00341B43" w:rsidRPr="00DB133F" w:rsidRDefault="00341B43" w:rsidP="00DB133F">
            <w:pPr>
              <w:rPr>
                <w:sz w:val="16"/>
                <w:szCs w:val="16"/>
                <w:lang w:bidi="ar-EG"/>
              </w:rPr>
            </w:pPr>
            <w:r w:rsidRPr="00DB133F">
              <w:rPr>
                <w:sz w:val="16"/>
                <w:szCs w:val="16"/>
                <w:lang w:bidi="ar-EG"/>
              </w:rPr>
              <w:t xml:space="preserve">Triglycerides (mg/dl), </w:t>
            </w:r>
            <w:proofErr w:type="gramStart"/>
            <w:r w:rsidRPr="00DB133F">
              <w:rPr>
                <w:sz w:val="16"/>
                <w:szCs w:val="16"/>
                <w:lang w:bidi="ar-EG"/>
              </w:rPr>
              <w:t>median</w:t>
            </w:r>
            <w:r w:rsidR="007C3303" w:rsidRPr="005A5F5C">
              <w:rPr>
                <w:sz w:val="16"/>
                <w:szCs w:val="16"/>
                <w:lang w:bidi="ar-EG"/>
              </w:rPr>
              <w:t>(</w:t>
            </w:r>
            <w:proofErr w:type="gramEnd"/>
            <w:r w:rsidR="007C3303" w:rsidRPr="00DB133F">
              <w:rPr>
                <w:sz w:val="16"/>
                <w:szCs w:val="16"/>
                <w:lang w:bidi="ar-EG"/>
              </w:rPr>
              <w:t>IQR)</w:t>
            </w:r>
          </w:p>
        </w:tc>
        <w:tc>
          <w:tcPr>
            <w:tcW w:w="1643" w:type="dxa"/>
          </w:tcPr>
          <w:p w14:paraId="7D3DC59C" w14:textId="53471D38" w:rsidR="00341B43" w:rsidRPr="005A5F5C" w:rsidRDefault="00341B43" w:rsidP="00153006">
            <w:pPr>
              <w:jc w:val="center"/>
              <w:rPr>
                <w:rFonts w:asciiTheme="majorBidi" w:hAnsiTheme="majorBidi" w:cstheme="majorBidi"/>
                <w:b/>
                <w:bCs/>
                <w:sz w:val="16"/>
                <w:szCs w:val="16"/>
              </w:rPr>
            </w:pPr>
            <w:r w:rsidRPr="005A5F5C">
              <w:rPr>
                <w:sz w:val="16"/>
                <w:szCs w:val="16"/>
                <w:lang w:bidi="ar-EG"/>
              </w:rPr>
              <w:t>140</w:t>
            </w:r>
            <w:r w:rsidR="00153006">
              <w:rPr>
                <w:sz w:val="16"/>
                <w:szCs w:val="16"/>
                <w:lang w:bidi="ar-EG"/>
              </w:rPr>
              <w:t xml:space="preserve"> </w:t>
            </w:r>
            <w:r w:rsidRPr="005A5F5C">
              <w:rPr>
                <w:sz w:val="16"/>
                <w:szCs w:val="16"/>
                <w:lang w:bidi="ar-EG"/>
              </w:rPr>
              <w:t>(70-450)</w:t>
            </w:r>
          </w:p>
        </w:tc>
        <w:tc>
          <w:tcPr>
            <w:tcW w:w="1867" w:type="dxa"/>
          </w:tcPr>
          <w:p w14:paraId="485992EA" w14:textId="21604F2D" w:rsidR="00341B43" w:rsidRPr="005A5F5C" w:rsidRDefault="00341B43" w:rsidP="00153006">
            <w:pPr>
              <w:jc w:val="center"/>
              <w:rPr>
                <w:rFonts w:asciiTheme="majorBidi" w:hAnsiTheme="majorBidi" w:cstheme="majorBidi"/>
                <w:b/>
                <w:bCs/>
                <w:sz w:val="16"/>
                <w:szCs w:val="16"/>
              </w:rPr>
            </w:pPr>
            <w:r w:rsidRPr="005A5F5C">
              <w:rPr>
                <w:sz w:val="16"/>
                <w:szCs w:val="16"/>
                <w:lang w:bidi="ar-EG"/>
              </w:rPr>
              <w:t>225</w:t>
            </w:r>
            <w:r w:rsidR="00153006">
              <w:rPr>
                <w:sz w:val="16"/>
                <w:szCs w:val="16"/>
                <w:lang w:bidi="ar-EG"/>
              </w:rPr>
              <w:t xml:space="preserve"> </w:t>
            </w:r>
            <w:r w:rsidRPr="005A5F5C">
              <w:rPr>
                <w:sz w:val="16"/>
                <w:szCs w:val="16"/>
                <w:lang w:bidi="ar-EG"/>
              </w:rPr>
              <w:t>(70-395)</w:t>
            </w:r>
          </w:p>
        </w:tc>
        <w:tc>
          <w:tcPr>
            <w:tcW w:w="2070" w:type="dxa"/>
          </w:tcPr>
          <w:p w14:paraId="732D347F" w14:textId="730A87BD" w:rsidR="00341B43" w:rsidRPr="005A5F5C" w:rsidRDefault="00341B43" w:rsidP="00153006">
            <w:pPr>
              <w:jc w:val="center"/>
              <w:rPr>
                <w:rFonts w:asciiTheme="majorBidi" w:hAnsiTheme="majorBidi" w:cstheme="majorBidi"/>
                <w:b/>
                <w:bCs/>
                <w:sz w:val="16"/>
                <w:szCs w:val="16"/>
              </w:rPr>
            </w:pPr>
            <w:r w:rsidRPr="005A5F5C">
              <w:rPr>
                <w:sz w:val="16"/>
                <w:szCs w:val="16"/>
                <w:lang w:bidi="ar-EG"/>
              </w:rPr>
              <w:t>150</w:t>
            </w:r>
            <w:r w:rsidR="00153006">
              <w:rPr>
                <w:sz w:val="16"/>
                <w:szCs w:val="16"/>
                <w:lang w:bidi="ar-EG"/>
              </w:rPr>
              <w:t xml:space="preserve"> </w:t>
            </w:r>
            <w:r w:rsidRPr="005A5F5C">
              <w:rPr>
                <w:sz w:val="16"/>
                <w:szCs w:val="16"/>
                <w:lang w:bidi="ar-EG"/>
              </w:rPr>
              <w:t>(77-233)</w:t>
            </w:r>
          </w:p>
        </w:tc>
        <w:tc>
          <w:tcPr>
            <w:tcW w:w="1800" w:type="dxa"/>
          </w:tcPr>
          <w:p w14:paraId="4E649315" w14:textId="0D273DE1" w:rsidR="00341B43" w:rsidRPr="005A5F5C" w:rsidRDefault="00341B43" w:rsidP="00153006">
            <w:pPr>
              <w:jc w:val="center"/>
              <w:rPr>
                <w:rFonts w:asciiTheme="majorBidi" w:hAnsiTheme="majorBidi" w:cstheme="majorBidi"/>
                <w:b/>
                <w:bCs/>
                <w:sz w:val="16"/>
                <w:szCs w:val="16"/>
              </w:rPr>
            </w:pPr>
            <w:r w:rsidRPr="005A5F5C">
              <w:rPr>
                <w:sz w:val="16"/>
                <w:szCs w:val="16"/>
                <w:lang w:bidi="ar-EG"/>
              </w:rPr>
              <w:t>111</w:t>
            </w:r>
            <w:r w:rsidR="00153006">
              <w:rPr>
                <w:sz w:val="16"/>
                <w:szCs w:val="16"/>
                <w:lang w:bidi="ar-EG"/>
              </w:rPr>
              <w:t xml:space="preserve"> </w:t>
            </w:r>
            <w:r w:rsidRPr="005A5F5C">
              <w:rPr>
                <w:sz w:val="16"/>
                <w:szCs w:val="16"/>
                <w:lang w:bidi="ar-EG"/>
              </w:rPr>
              <w:t>(71-165)</w:t>
            </w:r>
          </w:p>
        </w:tc>
        <w:tc>
          <w:tcPr>
            <w:tcW w:w="743" w:type="dxa"/>
          </w:tcPr>
          <w:p w14:paraId="036B69B2"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0.000</w:t>
            </w:r>
          </w:p>
        </w:tc>
      </w:tr>
      <w:tr w:rsidR="00341B43" w14:paraId="78F6AF9A" w14:textId="77777777" w:rsidTr="00153006">
        <w:tc>
          <w:tcPr>
            <w:tcW w:w="2857" w:type="dxa"/>
          </w:tcPr>
          <w:p w14:paraId="212A6265" w14:textId="77777777" w:rsidR="00341B43" w:rsidRPr="00DB133F" w:rsidRDefault="00341B43" w:rsidP="00DB133F">
            <w:pPr>
              <w:rPr>
                <w:sz w:val="16"/>
                <w:szCs w:val="16"/>
                <w:lang w:bidi="ar-EG"/>
              </w:rPr>
            </w:pPr>
            <w:r w:rsidRPr="00DB133F">
              <w:rPr>
                <w:sz w:val="16"/>
                <w:szCs w:val="16"/>
                <w:lang w:bidi="ar-EG"/>
              </w:rPr>
              <w:t xml:space="preserve">Total cholesterol (mg/dl), </w:t>
            </w:r>
            <w:proofErr w:type="spellStart"/>
            <w:r w:rsidRPr="00DB133F">
              <w:rPr>
                <w:sz w:val="16"/>
                <w:szCs w:val="16"/>
                <w:lang w:bidi="ar-EG"/>
              </w:rPr>
              <w:t>mean±SD</w:t>
            </w:r>
            <w:proofErr w:type="spellEnd"/>
          </w:p>
        </w:tc>
        <w:tc>
          <w:tcPr>
            <w:tcW w:w="1643" w:type="dxa"/>
          </w:tcPr>
          <w:p w14:paraId="720D74A9"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200.1±41.4</w:t>
            </w:r>
          </w:p>
        </w:tc>
        <w:tc>
          <w:tcPr>
            <w:tcW w:w="1867" w:type="dxa"/>
          </w:tcPr>
          <w:p w14:paraId="09416B89"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197.2±50.9</w:t>
            </w:r>
          </w:p>
        </w:tc>
        <w:tc>
          <w:tcPr>
            <w:tcW w:w="2070" w:type="dxa"/>
          </w:tcPr>
          <w:p w14:paraId="2DC72F3A"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214.5±48</w:t>
            </w:r>
          </w:p>
        </w:tc>
        <w:tc>
          <w:tcPr>
            <w:tcW w:w="1800" w:type="dxa"/>
          </w:tcPr>
          <w:p w14:paraId="4D6B9059"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193±48.8</w:t>
            </w:r>
          </w:p>
        </w:tc>
        <w:tc>
          <w:tcPr>
            <w:tcW w:w="743" w:type="dxa"/>
          </w:tcPr>
          <w:p w14:paraId="328D7CBA"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0.06</w:t>
            </w:r>
          </w:p>
        </w:tc>
      </w:tr>
      <w:tr w:rsidR="00341B43" w14:paraId="6EC718B5" w14:textId="77777777" w:rsidTr="00153006">
        <w:tc>
          <w:tcPr>
            <w:tcW w:w="2857" w:type="dxa"/>
          </w:tcPr>
          <w:p w14:paraId="2ABBA474" w14:textId="77777777" w:rsidR="00341B43" w:rsidRPr="00DB133F" w:rsidRDefault="00341B43" w:rsidP="00DB133F">
            <w:pPr>
              <w:rPr>
                <w:sz w:val="16"/>
                <w:szCs w:val="16"/>
                <w:lang w:bidi="ar-EG"/>
              </w:rPr>
            </w:pPr>
            <w:r w:rsidRPr="00DB133F">
              <w:rPr>
                <w:sz w:val="16"/>
                <w:szCs w:val="16"/>
                <w:lang w:bidi="ar-EG"/>
              </w:rPr>
              <w:t xml:space="preserve">LDL </w:t>
            </w:r>
            <w:r w:rsidRPr="005A5F5C">
              <w:rPr>
                <w:sz w:val="16"/>
                <w:szCs w:val="16"/>
                <w:lang w:bidi="ar-EG"/>
              </w:rPr>
              <w:t>(mg/dl),</w:t>
            </w:r>
            <w:r w:rsidRPr="00DB133F">
              <w:rPr>
                <w:sz w:val="16"/>
                <w:szCs w:val="16"/>
                <w:lang w:bidi="ar-EG"/>
              </w:rPr>
              <w:t xml:space="preserve"> </w:t>
            </w:r>
            <w:proofErr w:type="spellStart"/>
            <w:r w:rsidRPr="00DB133F">
              <w:rPr>
                <w:sz w:val="16"/>
                <w:szCs w:val="16"/>
                <w:lang w:bidi="ar-EG"/>
              </w:rPr>
              <w:t>mean±SD</w:t>
            </w:r>
            <w:proofErr w:type="spellEnd"/>
          </w:p>
        </w:tc>
        <w:tc>
          <w:tcPr>
            <w:tcW w:w="1643" w:type="dxa"/>
          </w:tcPr>
          <w:p w14:paraId="7BA0B334"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128.9±41.6</w:t>
            </w:r>
          </w:p>
        </w:tc>
        <w:tc>
          <w:tcPr>
            <w:tcW w:w="1867" w:type="dxa"/>
          </w:tcPr>
          <w:p w14:paraId="5F07D384"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117±51.2</w:t>
            </w:r>
          </w:p>
        </w:tc>
        <w:tc>
          <w:tcPr>
            <w:tcW w:w="2070" w:type="dxa"/>
          </w:tcPr>
          <w:p w14:paraId="4A4A5215"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139±56</w:t>
            </w:r>
          </w:p>
        </w:tc>
        <w:tc>
          <w:tcPr>
            <w:tcW w:w="1800" w:type="dxa"/>
          </w:tcPr>
          <w:p w14:paraId="203BD562"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119.8±39.8</w:t>
            </w:r>
          </w:p>
        </w:tc>
        <w:tc>
          <w:tcPr>
            <w:tcW w:w="743" w:type="dxa"/>
          </w:tcPr>
          <w:p w14:paraId="3275DDB4"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0.5</w:t>
            </w:r>
          </w:p>
        </w:tc>
      </w:tr>
      <w:tr w:rsidR="00341B43" w14:paraId="6147A0A8" w14:textId="77777777" w:rsidTr="00153006">
        <w:tc>
          <w:tcPr>
            <w:tcW w:w="2857" w:type="dxa"/>
          </w:tcPr>
          <w:p w14:paraId="670BBB2F" w14:textId="77777777" w:rsidR="00341B43" w:rsidRPr="00DB133F" w:rsidRDefault="00341B43" w:rsidP="00DB133F">
            <w:pPr>
              <w:rPr>
                <w:sz w:val="16"/>
                <w:szCs w:val="16"/>
                <w:lang w:bidi="ar-EG"/>
              </w:rPr>
            </w:pPr>
            <w:r w:rsidRPr="00DB133F">
              <w:rPr>
                <w:sz w:val="16"/>
                <w:szCs w:val="16"/>
                <w:lang w:bidi="ar-EG"/>
              </w:rPr>
              <w:t xml:space="preserve">HDL </w:t>
            </w:r>
            <w:r w:rsidRPr="005A5F5C">
              <w:rPr>
                <w:sz w:val="16"/>
                <w:szCs w:val="16"/>
                <w:lang w:bidi="ar-EG"/>
              </w:rPr>
              <w:t>(mg/dl)</w:t>
            </w:r>
            <w:r w:rsidRPr="00DB133F">
              <w:rPr>
                <w:sz w:val="16"/>
                <w:szCs w:val="16"/>
                <w:lang w:bidi="ar-EG"/>
              </w:rPr>
              <w:t xml:space="preserve">, </w:t>
            </w:r>
            <w:proofErr w:type="spellStart"/>
            <w:r w:rsidRPr="00DB133F">
              <w:rPr>
                <w:sz w:val="16"/>
                <w:szCs w:val="16"/>
                <w:lang w:bidi="ar-EG"/>
              </w:rPr>
              <w:t>mean±SD</w:t>
            </w:r>
            <w:proofErr w:type="spellEnd"/>
          </w:p>
        </w:tc>
        <w:tc>
          <w:tcPr>
            <w:tcW w:w="1643" w:type="dxa"/>
          </w:tcPr>
          <w:p w14:paraId="4818D569"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39.5±5.9</w:t>
            </w:r>
          </w:p>
        </w:tc>
        <w:tc>
          <w:tcPr>
            <w:tcW w:w="1867" w:type="dxa"/>
          </w:tcPr>
          <w:p w14:paraId="7BC00717"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35.6±7.5</w:t>
            </w:r>
          </w:p>
        </w:tc>
        <w:tc>
          <w:tcPr>
            <w:tcW w:w="2070" w:type="dxa"/>
          </w:tcPr>
          <w:p w14:paraId="10DCF76B"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41.2±3</w:t>
            </w:r>
          </w:p>
        </w:tc>
        <w:tc>
          <w:tcPr>
            <w:tcW w:w="1800" w:type="dxa"/>
          </w:tcPr>
          <w:p w14:paraId="080C734E"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41±3.4</w:t>
            </w:r>
          </w:p>
        </w:tc>
        <w:tc>
          <w:tcPr>
            <w:tcW w:w="743" w:type="dxa"/>
          </w:tcPr>
          <w:p w14:paraId="60B029FC"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0.006</w:t>
            </w:r>
          </w:p>
        </w:tc>
      </w:tr>
      <w:tr w:rsidR="00341B43" w14:paraId="5AACB417" w14:textId="77777777" w:rsidTr="00153006">
        <w:trPr>
          <w:trHeight w:val="197"/>
        </w:trPr>
        <w:tc>
          <w:tcPr>
            <w:tcW w:w="2857" w:type="dxa"/>
          </w:tcPr>
          <w:p w14:paraId="40391F6F" w14:textId="42C55A27" w:rsidR="00341B43" w:rsidRPr="00DB133F" w:rsidRDefault="00341B43" w:rsidP="00DB133F">
            <w:pPr>
              <w:rPr>
                <w:sz w:val="16"/>
                <w:szCs w:val="16"/>
                <w:lang w:bidi="ar-EG"/>
              </w:rPr>
            </w:pPr>
            <w:r w:rsidRPr="00DB133F">
              <w:rPr>
                <w:sz w:val="16"/>
                <w:szCs w:val="16"/>
                <w:lang w:bidi="ar-EG"/>
              </w:rPr>
              <w:t xml:space="preserve">VLDL </w:t>
            </w:r>
            <w:r w:rsidRPr="005A5F5C">
              <w:rPr>
                <w:sz w:val="16"/>
                <w:szCs w:val="16"/>
                <w:lang w:bidi="ar-EG"/>
              </w:rPr>
              <w:t>(mg/dl)</w:t>
            </w:r>
            <w:r w:rsidRPr="00DB133F">
              <w:rPr>
                <w:sz w:val="16"/>
                <w:szCs w:val="16"/>
                <w:lang w:bidi="ar-EG"/>
              </w:rPr>
              <w:t xml:space="preserve">, </w:t>
            </w:r>
            <w:proofErr w:type="gramStart"/>
            <w:r w:rsidRPr="00DB133F">
              <w:rPr>
                <w:sz w:val="16"/>
                <w:szCs w:val="16"/>
                <w:lang w:bidi="ar-EG"/>
              </w:rPr>
              <w:t>median</w:t>
            </w:r>
            <w:r w:rsidR="007C3303" w:rsidRPr="005A5F5C">
              <w:rPr>
                <w:sz w:val="16"/>
                <w:szCs w:val="16"/>
                <w:lang w:bidi="ar-EG"/>
              </w:rPr>
              <w:t>(</w:t>
            </w:r>
            <w:proofErr w:type="gramEnd"/>
            <w:r w:rsidR="007C3303" w:rsidRPr="00DB133F">
              <w:rPr>
                <w:sz w:val="16"/>
                <w:szCs w:val="16"/>
                <w:lang w:bidi="ar-EG"/>
              </w:rPr>
              <w:t>IQR)</w:t>
            </w:r>
          </w:p>
        </w:tc>
        <w:tc>
          <w:tcPr>
            <w:tcW w:w="1643" w:type="dxa"/>
          </w:tcPr>
          <w:p w14:paraId="0CDF779A" w14:textId="157DF773" w:rsidR="00341B43" w:rsidRPr="005A5F5C" w:rsidRDefault="00341B43" w:rsidP="00153006">
            <w:pPr>
              <w:jc w:val="center"/>
              <w:rPr>
                <w:rFonts w:asciiTheme="majorBidi" w:hAnsiTheme="majorBidi" w:cstheme="majorBidi"/>
                <w:b/>
                <w:bCs/>
                <w:sz w:val="16"/>
                <w:szCs w:val="16"/>
              </w:rPr>
            </w:pPr>
            <w:r w:rsidRPr="005A5F5C">
              <w:rPr>
                <w:sz w:val="16"/>
                <w:szCs w:val="16"/>
                <w:lang w:bidi="ar-EG"/>
              </w:rPr>
              <w:t>28</w:t>
            </w:r>
            <w:r w:rsidR="00153006">
              <w:rPr>
                <w:sz w:val="16"/>
                <w:szCs w:val="16"/>
                <w:lang w:bidi="ar-EG"/>
              </w:rPr>
              <w:t xml:space="preserve"> </w:t>
            </w:r>
            <w:r w:rsidRPr="005A5F5C">
              <w:rPr>
                <w:sz w:val="16"/>
                <w:szCs w:val="16"/>
                <w:lang w:bidi="ar-EG"/>
              </w:rPr>
              <w:t>(14-90)</w:t>
            </w:r>
          </w:p>
        </w:tc>
        <w:tc>
          <w:tcPr>
            <w:tcW w:w="1867" w:type="dxa"/>
          </w:tcPr>
          <w:p w14:paraId="23ED7251" w14:textId="11A64F47" w:rsidR="00341B43" w:rsidRPr="005A5F5C" w:rsidRDefault="00341B43" w:rsidP="00153006">
            <w:pPr>
              <w:jc w:val="center"/>
              <w:rPr>
                <w:rFonts w:asciiTheme="majorBidi" w:hAnsiTheme="majorBidi" w:cstheme="majorBidi"/>
                <w:b/>
                <w:bCs/>
                <w:sz w:val="16"/>
                <w:szCs w:val="16"/>
              </w:rPr>
            </w:pPr>
            <w:r w:rsidRPr="005A5F5C">
              <w:rPr>
                <w:sz w:val="16"/>
                <w:szCs w:val="16"/>
                <w:lang w:bidi="ar-EG"/>
              </w:rPr>
              <w:t>41</w:t>
            </w:r>
            <w:r w:rsidR="00153006">
              <w:rPr>
                <w:sz w:val="16"/>
                <w:szCs w:val="16"/>
                <w:lang w:bidi="ar-EG"/>
              </w:rPr>
              <w:t xml:space="preserve"> </w:t>
            </w:r>
            <w:r w:rsidRPr="005A5F5C">
              <w:rPr>
                <w:sz w:val="16"/>
                <w:szCs w:val="16"/>
                <w:lang w:bidi="ar-EG"/>
              </w:rPr>
              <w:t>(14-79)</w:t>
            </w:r>
          </w:p>
        </w:tc>
        <w:tc>
          <w:tcPr>
            <w:tcW w:w="2070" w:type="dxa"/>
          </w:tcPr>
          <w:p w14:paraId="360FD2E1" w14:textId="7CDEBC32" w:rsidR="00341B43" w:rsidRPr="005A5F5C" w:rsidRDefault="00341B43" w:rsidP="00153006">
            <w:pPr>
              <w:jc w:val="center"/>
              <w:rPr>
                <w:rFonts w:asciiTheme="majorBidi" w:hAnsiTheme="majorBidi" w:cstheme="majorBidi"/>
                <w:b/>
                <w:bCs/>
                <w:sz w:val="16"/>
                <w:szCs w:val="16"/>
              </w:rPr>
            </w:pPr>
            <w:r w:rsidRPr="005A5F5C">
              <w:rPr>
                <w:sz w:val="16"/>
                <w:szCs w:val="16"/>
                <w:lang w:bidi="ar-EG"/>
              </w:rPr>
              <w:t>30</w:t>
            </w:r>
            <w:r w:rsidR="00153006">
              <w:rPr>
                <w:sz w:val="16"/>
                <w:szCs w:val="16"/>
                <w:lang w:bidi="ar-EG"/>
              </w:rPr>
              <w:t xml:space="preserve"> </w:t>
            </w:r>
            <w:r w:rsidRPr="005A5F5C">
              <w:rPr>
                <w:sz w:val="16"/>
                <w:szCs w:val="16"/>
                <w:lang w:bidi="ar-EG"/>
              </w:rPr>
              <w:t>(8-44)</w:t>
            </w:r>
          </w:p>
        </w:tc>
        <w:tc>
          <w:tcPr>
            <w:tcW w:w="1800" w:type="dxa"/>
          </w:tcPr>
          <w:p w14:paraId="33D88521" w14:textId="39000BBA" w:rsidR="00341B43" w:rsidRPr="005A5F5C" w:rsidRDefault="00341B43" w:rsidP="00153006">
            <w:pPr>
              <w:jc w:val="center"/>
              <w:rPr>
                <w:rFonts w:asciiTheme="majorBidi" w:hAnsiTheme="majorBidi" w:cstheme="majorBidi"/>
                <w:b/>
                <w:bCs/>
                <w:sz w:val="16"/>
                <w:szCs w:val="16"/>
              </w:rPr>
            </w:pPr>
            <w:r w:rsidRPr="005A5F5C">
              <w:rPr>
                <w:sz w:val="16"/>
                <w:szCs w:val="16"/>
                <w:lang w:bidi="ar-EG"/>
              </w:rPr>
              <w:t>22</w:t>
            </w:r>
            <w:r w:rsidR="00153006">
              <w:rPr>
                <w:sz w:val="16"/>
                <w:szCs w:val="16"/>
                <w:lang w:bidi="ar-EG"/>
              </w:rPr>
              <w:t xml:space="preserve"> </w:t>
            </w:r>
            <w:r w:rsidRPr="005A5F5C">
              <w:rPr>
                <w:sz w:val="16"/>
                <w:szCs w:val="16"/>
                <w:lang w:bidi="ar-EG"/>
              </w:rPr>
              <w:t>(12-33)</w:t>
            </w:r>
          </w:p>
        </w:tc>
        <w:tc>
          <w:tcPr>
            <w:tcW w:w="743" w:type="dxa"/>
          </w:tcPr>
          <w:p w14:paraId="14780035"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0.000</w:t>
            </w:r>
          </w:p>
        </w:tc>
      </w:tr>
      <w:tr w:rsidR="00341B43" w14:paraId="7CFCDEFA" w14:textId="77777777" w:rsidTr="00153006">
        <w:trPr>
          <w:trHeight w:val="260"/>
        </w:trPr>
        <w:tc>
          <w:tcPr>
            <w:tcW w:w="2857" w:type="dxa"/>
          </w:tcPr>
          <w:p w14:paraId="2E85B118"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Fasting blood sugar</w:t>
            </w:r>
            <w:r w:rsidRPr="005A5F5C">
              <w:rPr>
                <w:rFonts w:ascii="HelveticaNeueLTStd-Roman" w:eastAsia="HelveticaNeueLTStd-Roman" w:cs="HelveticaNeueLTStd-Roman"/>
                <w:sz w:val="16"/>
                <w:szCs w:val="16"/>
              </w:rPr>
              <w:t xml:space="preserve"> </w:t>
            </w:r>
            <w:r w:rsidRPr="005A5F5C">
              <w:rPr>
                <w:sz w:val="16"/>
                <w:szCs w:val="16"/>
              </w:rPr>
              <w:t xml:space="preserve">(mg/dl), </w:t>
            </w:r>
            <w:proofErr w:type="spellStart"/>
            <w:r w:rsidRPr="005A5F5C">
              <w:rPr>
                <w:b/>
                <w:bCs/>
                <w:sz w:val="16"/>
                <w:szCs w:val="16"/>
                <w:lang w:bidi="ar-EG"/>
              </w:rPr>
              <w:t>mean±SD</w:t>
            </w:r>
            <w:proofErr w:type="spellEnd"/>
          </w:p>
        </w:tc>
        <w:tc>
          <w:tcPr>
            <w:tcW w:w="1643" w:type="dxa"/>
          </w:tcPr>
          <w:p w14:paraId="59E7BE48"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91.9±15.6</w:t>
            </w:r>
          </w:p>
        </w:tc>
        <w:tc>
          <w:tcPr>
            <w:tcW w:w="1867" w:type="dxa"/>
          </w:tcPr>
          <w:p w14:paraId="2A7BC4D2"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92.5±8.3</w:t>
            </w:r>
          </w:p>
        </w:tc>
        <w:tc>
          <w:tcPr>
            <w:tcW w:w="2070" w:type="dxa"/>
          </w:tcPr>
          <w:p w14:paraId="693A7F02"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99.2±16.5</w:t>
            </w:r>
          </w:p>
        </w:tc>
        <w:tc>
          <w:tcPr>
            <w:tcW w:w="1800" w:type="dxa"/>
          </w:tcPr>
          <w:p w14:paraId="04275DF3"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78.5±8.8</w:t>
            </w:r>
          </w:p>
        </w:tc>
        <w:tc>
          <w:tcPr>
            <w:tcW w:w="743" w:type="dxa"/>
          </w:tcPr>
          <w:p w14:paraId="754BEE2B"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0.000</w:t>
            </w:r>
          </w:p>
        </w:tc>
      </w:tr>
      <w:tr w:rsidR="00341B43" w14:paraId="05005C98" w14:textId="77777777" w:rsidTr="00153006">
        <w:trPr>
          <w:trHeight w:val="341"/>
        </w:trPr>
        <w:tc>
          <w:tcPr>
            <w:tcW w:w="2857" w:type="dxa"/>
          </w:tcPr>
          <w:p w14:paraId="0C032AAA"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Creatinine</w:t>
            </w:r>
            <w:r w:rsidRPr="005A5F5C">
              <w:rPr>
                <w:sz w:val="16"/>
                <w:szCs w:val="16"/>
              </w:rPr>
              <w:t xml:space="preserve">(mg/dl), </w:t>
            </w:r>
            <w:proofErr w:type="spellStart"/>
            <w:r w:rsidRPr="005A5F5C">
              <w:rPr>
                <w:b/>
                <w:bCs/>
                <w:sz w:val="16"/>
                <w:szCs w:val="16"/>
                <w:lang w:bidi="ar-EG"/>
              </w:rPr>
              <w:t>mean±SD</w:t>
            </w:r>
            <w:proofErr w:type="spellEnd"/>
          </w:p>
        </w:tc>
        <w:tc>
          <w:tcPr>
            <w:tcW w:w="1643" w:type="dxa"/>
          </w:tcPr>
          <w:p w14:paraId="70886963"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0.8±0.17</w:t>
            </w:r>
          </w:p>
        </w:tc>
        <w:tc>
          <w:tcPr>
            <w:tcW w:w="1867" w:type="dxa"/>
          </w:tcPr>
          <w:p w14:paraId="3C3FEC8F"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0.95±0.15</w:t>
            </w:r>
          </w:p>
        </w:tc>
        <w:tc>
          <w:tcPr>
            <w:tcW w:w="2070" w:type="dxa"/>
          </w:tcPr>
          <w:p w14:paraId="7B62EB82"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78±0.18</w:t>
            </w:r>
          </w:p>
        </w:tc>
        <w:tc>
          <w:tcPr>
            <w:tcW w:w="1800" w:type="dxa"/>
          </w:tcPr>
          <w:p w14:paraId="1CF1D7F5"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0.72±0.17</w:t>
            </w:r>
          </w:p>
        </w:tc>
        <w:tc>
          <w:tcPr>
            <w:tcW w:w="743" w:type="dxa"/>
          </w:tcPr>
          <w:p w14:paraId="04F6A40E"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0.000</w:t>
            </w:r>
          </w:p>
        </w:tc>
      </w:tr>
      <w:tr w:rsidR="00341B43" w14:paraId="2E85BC4C" w14:textId="77777777" w:rsidTr="00153006">
        <w:trPr>
          <w:trHeight w:val="332"/>
        </w:trPr>
        <w:tc>
          <w:tcPr>
            <w:tcW w:w="2857" w:type="dxa"/>
            <w:tcBorders>
              <w:bottom w:val="single" w:sz="4" w:space="0" w:color="auto"/>
            </w:tcBorders>
          </w:tcPr>
          <w:p w14:paraId="79ECECD6" w14:textId="77777777" w:rsidR="00341B43" w:rsidRPr="005A5F5C" w:rsidRDefault="00341B43" w:rsidP="006A783E">
            <w:pPr>
              <w:spacing w:line="480" w:lineRule="auto"/>
              <w:jc w:val="both"/>
              <w:rPr>
                <w:rFonts w:asciiTheme="majorBidi" w:hAnsiTheme="majorBidi" w:cstheme="majorBidi"/>
                <w:b/>
                <w:bCs/>
                <w:sz w:val="16"/>
                <w:szCs w:val="16"/>
              </w:rPr>
            </w:pPr>
            <w:r w:rsidRPr="005A5F5C">
              <w:rPr>
                <w:b/>
                <w:bCs/>
                <w:sz w:val="16"/>
                <w:szCs w:val="16"/>
                <w:lang w:bidi="ar-EG"/>
              </w:rPr>
              <w:t>eGFR</w:t>
            </w:r>
            <w:r w:rsidRPr="005A5F5C">
              <w:rPr>
                <w:rFonts w:ascii="HelveticaNeueLTStd-Roman" w:eastAsia="HelveticaNeueLTStd-Roman" w:cs="HelveticaNeueLTStd-Roman"/>
                <w:sz w:val="16"/>
                <w:szCs w:val="16"/>
              </w:rPr>
              <w:t xml:space="preserve"> </w:t>
            </w:r>
            <w:r w:rsidRPr="005A5F5C">
              <w:rPr>
                <w:rFonts w:ascii="HelveticaNeueLTStd-Roman" w:eastAsia="HelveticaNeueLTStd-Roman" w:cs="HelveticaNeueLTStd-Roman"/>
                <w:b/>
                <w:bCs/>
                <w:sz w:val="16"/>
                <w:szCs w:val="16"/>
              </w:rPr>
              <w:t>(mL/min/1.73 m2)</w:t>
            </w:r>
            <w:r w:rsidRPr="005A5F5C">
              <w:rPr>
                <w:b/>
                <w:bCs/>
                <w:sz w:val="16"/>
                <w:szCs w:val="16"/>
                <w:lang w:bidi="ar-EG"/>
              </w:rPr>
              <w:t xml:space="preserve">, </w:t>
            </w:r>
            <w:proofErr w:type="spellStart"/>
            <w:r w:rsidRPr="005A5F5C">
              <w:rPr>
                <w:b/>
                <w:bCs/>
                <w:sz w:val="16"/>
                <w:szCs w:val="16"/>
                <w:lang w:bidi="ar-EG"/>
              </w:rPr>
              <w:t>mean±SD</w:t>
            </w:r>
            <w:proofErr w:type="spellEnd"/>
          </w:p>
        </w:tc>
        <w:tc>
          <w:tcPr>
            <w:tcW w:w="1643" w:type="dxa"/>
            <w:tcBorders>
              <w:bottom w:val="single" w:sz="4" w:space="0" w:color="auto"/>
            </w:tcBorders>
          </w:tcPr>
          <w:p w14:paraId="1146C1BC"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101±26.9</w:t>
            </w:r>
          </w:p>
        </w:tc>
        <w:tc>
          <w:tcPr>
            <w:tcW w:w="1867" w:type="dxa"/>
            <w:tcBorders>
              <w:bottom w:val="single" w:sz="4" w:space="0" w:color="auto"/>
            </w:tcBorders>
          </w:tcPr>
          <w:p w14:paraId="628303AA"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89.7±20</w:t>
            </w:r>
          </w:p>
        </w:tc>
        <w:tc>
          <w:tcPr>
            <w:tcW w:w="2070" w:type="dxa"/>
            <w:tcBorders>
              <w:bottom w:val="single" w:sz="4" w:space="0" w:color="auto"/>
            </w:tcBorders>
          </w:tcPr>
          <w:p w14:paraId="57307DB4"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107.5±39.7</w:t>
            </w:r>
          </w:p>
        </w:tc>
        <w:tc>
          <w:tcPr>
            <w:tcW w:w="1800" w:type="dxa"/>
            <w:tcBorders>
              <w:bottom w:val="single" w:sz="4" w:space="0" w:color="auto"/>
            </w:tcBorders>
          </w:tcPr>
          <w:p w14:paraId="7A534046" w14:textId="77777777" w:rsidR="00341B43" w:rsidRPr="005A5F5C" w:rsidRDefault="00341B43" w:rsidP="00153006">
            <w:pPr>
              <w:spacing w:line="480" w:lineRule="auto"/>
              <w:jc w:val="center"/>
              <w:rPr>
                <w:rFonts w:asciiTheme="majorBidi" w:hAnsiTheme="majorBidi" w:cstheme="majorBidi"/>
                <w:b/>
                <w:bCs/>
                <w:sz w:val="16"/>
                <w:szCs w:val="16"/>
              </w:rPr>
            </w:pPr>
            <w:r w:rsidRPr="005A5F5C">
              <w:rPr>
                <w:sz w:val="16"/>
                <w:szCs w:val="16"/>
                <w:lang w:bidi="ar-EG"/>
              </w:rPr>
              <w:t>117.7±37</w:t>
            </w:r>
          </w:p>
        </w:tc>
        <w:tc>
          <w:tcPr>
            <w:tcW w:w="743" w:type="dxa"/>
            <w:tcBorders>
              <w:bottom w:val="single" w:sz="4" w:space="0" w:color="auto"/>
            </w:tcBorders>
          </w:tcPr>
          <w:p w14:paraId="66D5AE1F" w14:textId="77777777" w:rsidR="00341B43" w:rsidRPr="005A5F5C" w:rsidRDefault="00341B43" w:rsidP="006A783E">
            <w:pPr>
              <w:spacing w:line="480" w:lineRule="auto"/>
              <w:jc w:val="both"/>
              <w:rPr>
                <w:rFonts w:asciiTheme="majorBidi" w:hAnsiTheme="majorBidi" w:cstheme="majorBidi"/>
                <w:b/>
                <w:bCs/>
                <w:sz w:val="16"/>
                <w:szCs w:val="16"/>
              </w:rPr>
            </w:pPr>
            <w:r w:rsidRPr="005A5F5C">
              <w:rPr>
                <w:sz w:val="16"/>
                <w:szCs w:val="16"/>
                <w:lang w:bidi="ar-EG"/>
              </w:rPr>
              <w:t>0.03</w:t>
            </w:r>
          </w:p>
        </w:tc>
      </w:tr>
    </w:tbl>
    <w:p w14:paraId="47221130" w14:textId="77777777" w:rsidR="00000904" w:rsidRPr="00DB133F" w:rsidRDefault="00000904" w:rsidP="00000904">
      <w:pPr>
        <w:rPr>
          <w:sz w:val="16"/>
          <w:szCs w:val="16"/>
          <w:lang w:bidi="ar-EG"/>
        </w:rPr>
        <w:sectPr w:rsidR="00000904" w:rsidRPr="00DB133F" w:rsidSect="000B2965">
          <w:pgSz w:w="12240" w:h="15840"/>
          <w:pgMar w:top="1440" w:right="1440" w:bottom="1440" w:left="1440" w:header="720" w:footer="720" w:gutter="0"/>
          <w:cols w:space="720"/>
          <w:docGrid w:linePitch="360"/>
        </w:sectPr>
      </w:pPr>
      <w:r w:rsidRPr="00DB133F">
        <w:rPr>
          <w:sz w:val="16"/>
          <w:szCs w:val="16"/>
          <w:lang w:bidi="ar-EG"/>
        </w:rPr>
        <w:t>IQR: interquartile range</w:t>
      </w:r>
    </w:p>
    <w:p w14:paraId="4F158189" w14:textId="77777777" w:rsidR="00153006" w:rsidRDefault="00153006" w:rsidP="00341B43">
      <w:pPr>
        <w:jc w:val="both"/>
        <w:rPr>
          <w:b/>
          <w:bCs/>
          <w:sz w:val="28"/>
          <w:szCs w:val="28"/>
        </w:rPr>
      </w:pPr>
    </w:p>
    <w:p w14:paraId="72734BF7" w14:textId="1814B16F" w:rsidR="00153006" w:rsidRDefault="00153006" w:rsidP="00153006">
      <w:pPr>
        <w:pStyle w:val="Caption"/>
        <w:keepNext/>
      </w:pPr>
      <w:r>
        <w:t xml:space="preserve">Table </w:t>
      </w:r>
      <w:fldSimple w:instr=" SEQ Table \* ARABIC ">
        <w:r w:rsidR="0045764C">
          <w:rPr>
            <w:noProof/>
          </w:rPr>
          <w:t>3</w:t>
        </w:r>
      </w:fldSimple>
      <w:r>
        <w:t xml:space="preserve">. </w:t>
      </w:r>
      <w:r w:rsidRPr="00153006">
        <w:t>Percentage of chronic kidney diseases among NAFLD patients and control group</w:t>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350"/>
        <w:gridCol w:w="1620"/>
        <w:gridCol w:w="1867"/>
        <w:gridCol w:w="1710"/>
        <w:gridCol w:w="833"/>
      </w:tblGrid>
      <w:tr w:rsidR="00341B43" w:rsidRPr="005A5F5C" w14:paraId="1DB868D2" w14:textId="77777777" w:rsidTr="00153006">
        <w:tc>
          <w:tcPr>
            <w:tcW w:w="3600" w:type="dxa"/>
            <w:vMerge w:val="restart"/>
            <w:tcBorders>
              <w:top w:val="single" w:sz="4" w:space="0" w:color="auto"/>
            </w:tcBorders>
          </w:tcPr>
          <w:p w14:paraId="03EB625A" w14:textId="77777777" w:rsidR="00341B43" w:rsidRPr="005A5F5C" w:rsidRDefault="00341B43" w:rsidP="006A783E">
            <w:pPr>
              <w:spacing w:line="480" w:lineRule="auto"/>
              <w:jc w:val="both"/>
              <w:rPr>
                <w:rFonts w:asciiTheme="majorBidi" w:hAnsiTheme="majorBidi" w:cstheme="majorBidi"/>
                <w:sz w:val="16"/>
                <w:szCs w:val="16"/>
              </w:rPr>
            </w:pPr>
            <w:r w:rsidRPr="005A5F5C">
              <w:rPr>
                <w:b/>
                <w:bCs/>
                <w:sz w:val="16"/>
                <w:szCs w:val="16"/>
                <w:lang w:bidi="ar-EG"/>
              </w:rPr>
              <w:t>Percentage of chronic kidney diseases</w:t>
            </w:r>
          </w:p>
        </w:tc>
        <w:tc>
          <w:tcPr>
            <w:tcW w:w="4837" w:type="dxa"/>
            <w:gridSpan w:val="3"/>
            <w:tcBorders>
              <w:top w:val="single" w:sz="4" w:space="0" w:color="auto"/>
            </w:tcBorders>
          </w:tcPr>
          <w:p w14:paraId="5053C67C" w14:textId="1959FF96" w:rsidR="00341B43" w:rsidRPr="005A5F5C" w:rsidRDefault="00341B43" w:rsidP="00153006">
            <w:pPr>
              <w:rPr>
                <w:rFonts w:asciiTheme="majorBidi" w:hAnsiTheme="majorBidi" w:cstheme="majorBidi"/>
                <w:sz w:val="16"/>
                <w:szCs w:val="16"/>
              </w:rPr>
            </w:pPr>
            <w:r w:rsidRPr="005A5F5C">
              <w:rPr>
                <w:b/>
                <w:bCs/>
                <w:sz w:val="16"/>
                <w:szCs w:val="16"/>
                <w:lang w:bidi="ar-EG"/>
              </w:rPr>
              <w:t>NAFLD Patients</w:t>
            </w:r>
            <w:r w:rsidR="00153006">
              <w:rPr>
                <w:b/>
                <w:bCs/>
                <w:sz w:val="16"/>
                <w:szCs w:val="16"/>
                <w:lang w:bidi="ar-EG"/>
              </w:rPr>
              <w:t xml:space="preserve"> </w:t>
            </w:r>
            <w:r w:rsidRPr="005A5F5C">
              <w:rPr>
                <w:b/>
                <w:bCs/>
                <w:sz w:val="16"/>
                <w:szCs w:val="16"/>
                <w:lang w:bidi="ar-EG"/>
              </w:rPr>
              <w:t>N=62</w:t>
            </w:r>
          </w:p>
        </w:tc>
        <w:tc>
          <w:tcPr>
            <w:tcW w:w="1710" w:type="dxa"/>
            <w:vMerge w:val="restart"/>
            <w:tcBorders>
              <w:top w:val="single" w:sz="4" w:space="0" w:color="auto"/>
            </w:tcBorders>
          </w:tcPr>
          <w:p w14:paraId="38EBE1D4" w14:textId="79872ABF" w:rsidR="00341B43" w:rsidRPr="005A5F5C" w:rsidRDefault="00341B43" w:rsidP="00153006">
            <w:pPr>
              <w:rPr>
                <w:rFonts w:asciiTheme="majorBidi" w:hAnsiTheme="majorBidi" w:cstheme="majorBidi"/>
                <w:sz w:val="16"/>
                <w:szCs w:val="16"/>
              </w:rPr>
            </w:pPr>
            <w:r w:rsidRPr="005A5F5C">
              <w:rPr>
                <w:b/>
                <w:bCs/>
                <w:sz w:val="16"/>
                <w:szCs w:val="16"/>
                <w:lang w:bidi="ar-EG"/>
              </w:rPr>
              <w:t>Control</w:t>
            </w:r>
            <w:r w:rsidR="00153006">
              <w:rPr>
                <w:b/>
                <w:bCs/>
                <w:sz w:val="16"/>
                <w:szCs w:val="16"/>
                <w:lang w:bidi="ar-EG"/>
              </w:rPr>
              <w:t xml:space="preserve"> </w:t>
            </w:r>
            <w:r w:rsidRPr="005A5F5C">
              <w:rPr>
                <w:b/>
                <w:bCs/>
                <w:sz w:val="16"/>
                <w:szCs w:val="16"/>
                <w:lang w:bidi="ar-EG"/>
              </w:rPr>
              <w:t>Group</w:t>
            </w:r>
            <w:r w:rsidR="00153006">
              <w:rPr>
                <w:b/>
                <w:bCs/>
                <w:sz w:val="16"/>
                <w:szCs w:val="16"/>
                <w:lang w:bidi="ar-EG"/>
              </w:rPr>
              <w:t xml:space="preserve"> </w:t>
            </w:r>
            <w:r w:rsidRPr="005A5F5C">
              <w:rPr>
                <w:b/>
                <w:bCs/>
                <w:sz w:val="16"/>
                <w:szCs w:val="16"/>
                <w:lang w:bidi="ar-EG"/>
              </w:rPr>
              <w:t>N=38</w:t>
            </w:r>
          </w:p>
        </w:tc>
        <w:tc>
          <w:tcPr>
            <w:tcW w:w="833" w:type="dxa"/>
            <w:vMerge w:val="restart"/>
            <w:tcBorders>
              <w:top w:val="single" w:sz="4" w:space="0" w:color="auto"/>
            </w:tcBorders>
          </w:tcPr>
          <w:p w14:paraId="4DB7C2C9" w14:textId="77777777" w:rsidR="00341B43" w:rsidRPr="005A5F5C" w:rsidRDefault="00341B43" w:rsidP="006A783E">
            <w:pPr>
              <w:spacing w:line="480" w:lineRule="auto"/>
              <w:jc w:val="both"/>
              <w:rPr>
                <w:rFonts w:asciiTheme="majorBidi" w:hAnsiTheme="majorBidi" w:cstheme="majorBidi"/>
                <w:sz w:val="16"/>
                <w:szCs w:val="16"/>
              </w:rPr>
            </w:pPr>
            <w:r w:rsidRPr="005A5F5C">
              <w:rPr>
                <w:b/>
                <w:bCs/>
                <w:sz w:val="16"/>
                <w:szCs w:val="16"/>
                <w:lang w:bidi="ar-EG"/>
              </w:rPr>
              <w:t>P-value</w:t>
            </w:r>
          </w:p>
        </w:tc>
      </w:tr>
      <w:tr w:rsidR="00341B43" w:rsidRPr="005A5F5C" w14:paraId="08FDCCAF" w14:textId="77777777" w:rsidTr="00153006">
        <w:tc>
          <w:tcPr>
            <w:tcW w:w="3600" w:type="dxa"/>
            <w:vMerge/>
            <w:tcBorders>
              <w:bottom w:val="single" w:sz="4" w:space="0" w:color="auto"/>
            </w:tcBorders>
          </w:tcPr>
          <w:p w14:paraId="469A04EC" w14:textId="77777777" w:rsidR="00341B43" w:rsidRPr="005A5F5C" w:rsidRDefault="00341B43" w:rsidP="006A783E">
            <w:pPr>
              <w:spacing w:line="480" w:lineRule="auto"/>
              <w:jc w:val="both"/>
              <w:rPr>
                <w:rFonts w:asciiTheme="majorBidi" w:hAnsiTheme="majorBidi" w:cstheme="majorBidi"/>
                <w:sz w:val="16"/>
                <w:szCs w:val="16"/>
              </w:rPr>
            </w:pPr>
          </w:p>
        </w:tc>
        <w:tc>
          <w:tcPr>
            <w:tcW w:w="1350" w:type="dxa"/>
            <w:tcBorders>
              <w:bottom w:val="single" w:sz="4" w:space="0" w:color="auto"/>
            </w:tcBorders>
          </w:tcPr>
          <w:p w14:paraId="45E55EBA" w14:textId="2D315F30" w:rsidR="00341B43" w:rsidRPr="005A5F5C" w:rsidRDefault="00341B43" w:rsidP="00153006">
            <w:pPr>
              <w:jc w:val="center"/>
              <w:rPr>
                <w:b/>
                <w:bCs/>
                <w:sz w:val="16"/>
                <w:szCs w:val="16"/>
                <w:lang w:bidi="ar-EG"/>
              </w:rPr>
            </w:pPr>
            <w:r w:rsidRPr="005A5F5C">
              <w:rPr>
                <w:b/>
                <w:bCs/>
                <w:sz w:val="16"/>
                <w:szCs w:val="16"/>
                <w:lang w:bidi="ar-EG"/>
              </w:rPr>
              <w:t>No fibrosis</w:t>
            </w:r>
            <w:r w:rsidR="00153006">
              <w:rPr>
                <w:b/>
                <w:bCs/>
                <w:sz w:val="16"/>
                <w:szCs w:val="16"/>
                <w:lang w:bidi="ar-EG"/>
              </w:rPr>
              <w:t xml:space="preserve"> </w:t>
            </w:r>
            <w:r w:rsidRPr="005A5F5C">
              <w:rPr>
                <w:b/>
                <w:bCs/>
                <w:sz w:val="16"/>
                <w:szCs w:val="16"/>
                <w:lang w:bidi="ar-EG"/>
              </w:rPr>
              <w:t>(F0)</w:t>
            </w:r>
          </w:p>
          <w:p w14:paraId="0B6FDCDE" w14:textId="77777777" w:rsidR="00341B43" w:rsidRPr="005A5F5C" w:rsidRDefault="00341B43" w:rsidP="006A783E">
            <w:pPr>
              <w:spacing w:line="480" w:lineRule="auto"/>
              <w:jc w:val="both"/>
              <w:rPr>
                <w:rFonts w:asciiTheme="majorBidi" w:hAnsiTheme="majorBidi" w:cstheme="majorBidi"/>
                <w:sz w:val="16"/>
                <w:szCs w:val="16"/>
              </w:rPr>
            </w:pPr>
            <w:r w:rsidRPr="005A5F5C">
              <w:rPr>
                <w:b/>
                <w:bCs/>
                <w:sz w:val="16"/>
                <w:szCs w:val="16"/>
                <w:lang w:bidi="ar-EG"/>
              </w:rPr>
              <w:t>N=35</w:t>
            </w:r>
          </w:p>
        </w:tc>
        <w:tc>
          <w:tcPr>
            <w:tcW w:w="1620" w:type="dxa"/>
            <w:tcBorders>
              <w:bottom w:val="single" w:sz="4" w:space="0" w:color="auto"/>
            </w:tcBorders>
          </w:tcPr>
          <w:p w14:paraId="154EF9C3" w14:textId="76D38732" w:rsidR="00341B43" w:rsidRPr="005A5F5C" w:rsidRDefault="00341B43" w:rsidP="00153006">
            <w:pPr>
              <w:jc w:val="center"/>
              <w:rPr>
                <w:rFonts w:asciiTheme="majorBidi" w:hAnsiTheme="majorBidi" w:cstheme="majorBidi"/>
                <w:sz w:val="16"/>
                <w:szCs w:val="16"/>
              </w:rPr>
            </w:pPr>
            <w:r w:rsidRPr="005A5F5C">
              <w:rPr>
                <w:b/>
                <w:bCs/>
                <w:sz w:val="16"/>
                <w:szCs w:val="16"/>
                <w:lang w:bidi="ar-EG"/>
              </w:rPr>
              <w:t>Mild to moderate fibrosis</w:t>
            </w:r>
            <w:r w:rsidR="00153006">
              <w:rPr>
                <w:b/>
                <w:bCs/>
                <w:sz w:val="16"/>
                <w:szCs w:val="16"/>
                <w:lang w:bidi="ar-EG"/>
              </w:rPr>
              <w:t xml:space="preserve"> </w:t>
            </w:r>
            <w:r w:rsidRPr="005A5F5C">
              <w:rPr>
                <w:b/>
                <w:bCs/>
                <w:sz w:val="16"/>
                <w:szCs w:val="16"/>
                <w:lang w:bidi="ar-EG"/>
              </w:rPr>
              <w:t>(F1-2)</w:t>
            </w:r>
            <w:r w:rsidR="00153006">
              <w:rPr>
                <w:b/>
                <w:bCs/>
                <w:sz w:val="16"/>
                <w:szCs w:val="16"/>
                <w:lang w:bidi="ar-EG"/>
              </w:rPr>
              <w:t xml:space="preserve"> </w:t>
            </w:r>
            <w:r w:rsidRPr="005A5F5C">
              <w:rPr>
                <w:b/>
                <w:bCs/>
                <w:sz w:val="16"/>
                <w:szCs w:val="16"/>
                <w:lang w:bidi="ar-EG"/>
              </w:rPr>
              <w:t>N=14</w:t>
            </w:r>
          </w:p>
        </w:tc>
        <w:tc>
          <w:tcPr>
            <w:tcW w:w="1867" w:type="dxa"/>
            <w:tcBorders>
              <w:bottom w:val="single" w:sz="4" w:space="0" w:color="auto"/>
            </w:tcBorders>
          </w:tcPr>
          <w:p w14:paraId="709D7807" w14:textId="624D317C" w:rsidR="00341B43" w:rsidRPr="005A5F5C" w:rsidRDefault="00341B43" w:rsidP="00153006">
            <w:pPr>
              <w:jc w:val="center"/>
              <w:rPr>
                <w:rFonts w:asciiTheme="majorBidi" w:hAnsiTheme="majorBidi" w:cstheme="majorBidi"/>
                <w:sz w:val="16"/>
                <w:szCs w:val="16"/>
              </w:rPr>
            </w:pPr>
            <w:r w:rsidRPr="005A5F5C">
              <w:rPr>
                <w:b/>
                <w:bCs/>
                <w:sz w:val="16"/>
                <w:szCs w:val="16"/>
                <w:lang w:bidi="ar-EG"/>
              </w:rPr>
              <w:t>Advanced fibrosis and cirrhosis</w:t>
            </w:r>
            <w:r w:rsidR="00153006">
              <w:rPr>
                <w:b/>
                <w:bCs/>
                <w:sz w:val="16"/>
                <w:szCs w:val="16"/>
                <w:lang w:bidi="ar-EG"/>
              </w:rPr>
              <w:t xml:space="preserve"> </w:t>
            </w:r>
            <w:r w:rsidRPr="005A5F5C">
              <w:rPr>
                <w:b/>
                <w:bCs/>
                <w:sz w:val="16"/>
                <w:szCs w:val="16"/>
                <w:lang w:bidi="ar-EG"/>
              </w:rPr>
              <w:t>(F3-4)</w:t>
            </w:r>
            <w:r w:rsidR="00153006">
              <w:rPr>
                <w:b/>
                <w:bCs/>
                <w:sz w:val="16"/>
                <w:szCs w:val="16"/>
                <w:lang w:bidi="ar-EG"/>
              </w:rPr>
              <w:t xml:space="preserve"> </w:t>
            </w:r>
            <w:r w:rsidRPr="005A5F5C">
              <w:rPr>
                <w:b/>
                <w:bCs/>
                <w:sz w:val="16"/>
                <w:szCs w:val="16"/>
                <w:lang w:bidi="ar-EG"/>
              </w:rPr>
              <w:t>N=13</w:t>
            </w:r>
          </w:p>
        </w:tc>
        <w:tc>
          <w:tcPr>
            <w:tcW w:w="1710" w:type="dxa"/>
            <w:vMerge/>
            <w:tcBorders>
              <w:bottom w:val="single" w:sz="4" w:space="0" w:color="auto"/>
            </w:tcBorders>
          </w:tcPr>
          <w:p w14:paraId="6412910A" w14:textId="77777777" w:rsidR="00341B43" w:rsidRPr="005A5F5C" w:rsidRDefault="00341B43" w:rsidP="006A783E">
            <w:pPr>
              <w:spacing w:line="480" w:lineRule="auto"/>
              <w:jc w:val="both"/>
              <w:rPr>
                <w:rFonts w:asciiTheme="majorBidi" w:hAnsiTheme="majorBidi" w:cstheme="majorBidi"/>
                <w:sz w:val="16"/>
                <w:szCs w:val="16"/>
              </w:rPr>
            </w:pPr>
          </w:p>
        </w:tc>
        <w:tc>
          <w:tcPr>
            <w:tcW w:w="833" w:type="dxa"/>
            <w:vMerge/>
            <w:tcBorders>
              <w:bottom w:val="single" w:sz="4" w:space="0" w:color="auto"/>
            </w:tcBorders>
          </w:tcPr>
          <w:p w14:paraId="3753129C" w14:textId="77777777" w:rsidR="00341B43" w:rsidRPr="005A5F5C" w:rsidRDefault="00341B43" w:rsidP="006A783E">
            <w:pPr>
              <w:spacing w:line="480" w:lineRule="auto"/>
              <w:jc w:val="both"/>
              <w:rPr>
                <w:rFonts w:asciiTheme="majorBidi" w:hAnsiTheme="majorBidi" w:cstheme="majorBidi"/>
                <w:sz w:val="16"/>
                <w:szCs w:val="16"/>
              </w:rPr>
            </w:pPr>
          </w:p>
        </w:tc>
      </w:tr>
      <w:tr w:rsidR="00341B43" w:rsidRPr="005A5F5C" w14:paraId="189539A5" w14:textId="77777777" w:rsidTr="00153006">
        <w:trPr>
          <w:trHeight w:val="359"/>
        </w:trPr>
        <w:tc>
          <w:tcPr>
            <w:tcW w:w="3600" w:type="dxa"/>
            <w:tcBorders>
              <w:top w:val="single" w:sz="4" w:space="0" w:color="auto"/>
            </w:tcBorders>
          </w:tcPr>
          <w:p w14:paraId="0BA1F92B" w14:textId="77777777" w:rsidR="00341B43" w:rsidRPr="005A5F5C" w:rsidRDefault="00341B43" w:rsidP="006A783E">
            <w:pPr>
              <w:spacing w:line="480" w:lineRule="auto"/>
              <w:jc w:val="both"/>
              <w:rPr>
                <w:rFonts w:asciiTheme="majorBidi" w:hAnsiTheme="majorBidi" w:cstheme="majorBidi"/>
                <w:sz w:val="16"/>
                <w:szCs w:val="16"/>
              </w:rPr>
            </w:pPr>
            <w:r w:rsidRPr="005A5F5C">
              <w:rPr>
                <w:b/>
                <w:bCs/>
                <w:sz w:val="16"/>
                <w:szCs w:val="16"/>
                <w:lang w:bidi="ar-EG"/>
              </w:rPr>
              <w:t>GFR less than 60</w:t>
            </w:r>
            <w:r w:rsidRPr="005A5F5C">
              <w:rPr>
                <w:rFonts w:ascii="HelveticaNeueLTStd-Roman" w:eastAsia="HelveticaNeueLTStd-Roman" w:cs="HelveticaNeueLTStd-Roman"/>
                <w:b/>
                <w:bCs/>
                <w:sz w:val="16"/>
                <w:szCs w:val="16"/>
              </w:rPr>
              <w:t xml:space="preserve"> mL/min/1.73 m2</w:t>
            </w:r>
          </w:p>
        </w:tc>
        <w:tc>
          <w:tcPr>
            <w:tcW w:w="1350" w:type="dxa"/>
            <w:tcBorders>
              <w:top w:val="single" w:sz="4" w:space="0" w:color="auto"/>
            </w:tcBorders>
          </w:tcPr>
          <w:p w14:paraId="5FE0A4CF"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1 (2.85%)</w:t>
            </w:r>
          </w:p>
        </w:tc>
        <w:tc>
          <w:tcPr>
            <w:tcW w:w="1620" w:type="dxa"/>
            <w:tcBorders>
              <w:top w:val="single" w:sz="4" w:space="0" w:color="auto"/>
            </w:tcBorders>
          </w:tcPr>
          <w:p w14:paraId="481F9043"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0 (0%)</w:t>
            </w:r>
          </w:p>
        </w:tc>
        <w:tc>
          <w:tcPr>
            <w:tcW w:w="1867" w:type="dxa"/>
            <w:tcBorders>
              <w:top w:val="single" w:sz="4" w:space="0" w:color="auto"/>
            </w:tcBorders>
          </w:tcPr>
          <w:p w14:paraId="7DEE25DD"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2 (15.4%)</w:t>
            </w:r>
          </w:p>
        </w:tc>
        <w:tc>
          <w:tcPr>
            <w:tcW w:w="1710" w:type="dxa"/>
            <w:tcBorders>
              <w:top w:val="single" w:sz="4" w:space="0" w:color="auto"/>
            </w:tcBorders>
          </w:tcPr>
          <w:p w14:paraId="342F9316"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0 (0%)</w:t>
            </w:r>
          </w:p>
        </w:tc>
        <w:tc>
          <w:tcPr>
            <w:tcW w:w="833" w:type="dxa"/>
            <w:tcBorders>
              <w:top w:val="single" w:sz="4" w:space="0" w:color="auto"/>
            </w:tcBorders>
          </w:tcPr>
          <w:p w14:paraId="202A79F4"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0.04</w:t>
            </w:r>
          </w:p>
        </w:tc>
      </w:tr>
      <w:tr w:rsidR="00341B43" w:rsidRPr="005A5F5C" w14:paraId="31CB8CFB" w14:textId="77777777" w:rsidTr="00153006">
        <w:tc>
          <w:tcPr>
            <w:tcW w:w="3600" w:type="dxa"/>
            <w:tcBorders>
              <w:bottom w:val="single" w:sz="4" w:space="0" w:color="auto"/>
            </w:tcBorders>
          </w:tcPr>
          <w:p w14:paraId="2FD124AB" w14:textId="77777777" w:rsidR="00341B43" w:rsidRPr="005A5F5C" w:rsidRDefault="00341B43" w:rsidP="006A783E">
            <w:pPr>
              <w:spacing w:line="480" w:lineRule="auto"/>
              <w:jc w:val="both"/>
              <w:rPr>
                <w:rFonts w:asciiTheme="majorBidi" w:hAnsiTheme="majorBidi" w:cstheme="majorBidi"/>
                <w:sz w:val="16"/>
                <w:szCs w:val="16"/>
              </w:rPr>
            </w:pPr>
            <w:r w:rsidRPr="005A5F5C">
              <w:rPr>
                <w:b/>
                <w:bCs/>
                <w:sz w:val="16"/>
                <w:szCs w:val="16"/>
                <w:lang w:bidi="ar-EG"/>
              </w:rPr>
              <w:t xml:space="preserve">Microalbuminuria </w:t>
            </w:r>
            <w:r w:rsidRPr="005A5F5C">
              <w:rPr>
                <w:sz w:val="16"/>
                <w:szCs w:val="16"/>
                <w:lang w:bidi="ar-EG"/>
              </w:rPr>
              <w:t>(30-300mg/g)</w:t>
            </w:r>
          </w:p>
        </w:tc>
        <w:tc>
          <w:tcPr>
            <w:tcW w:w="1350" w:type="dxa"/>
            <w:tcBorders>
              <w:bottom w:val="single" w:sz="4" w:space="0" w:color="auto"/>
            </w:tcBorders>
          </w:tcPr>
          <w:p w14:paraId="057870AB" w14:textId="52F99528" w:rsidR="00341B43" w:rsidRPr="005A5F5C" w:rsidRDefault="003E6DE3" w:rsidP="00153006">
            <w:pPr>
              <w:spacing w:line="480" w:lineRule="auto"/>
              <w:jc w:val="center"/>
              <w:rPr>
                <w:rFonts w:asciiTheme="majorBidi" w:hAnsiTheme="majorBidi" w:cstheme="majorBidi"/>
                <w:sz w:val="16"/>
                <w:szCs w:val="16"/>
              </w:rPr>
            </w:pPr>
            <w:r w:rsidRPr="005A5F5C">
              <w:rPr>
                <w:b/>
                <w:bCs/>
                <w:sz w:val="16"/>
                <w:szCs w:val="16"/>
                <w:lang w:bidi="ar-EG"/>
              </w:rPr>
              <w:t>5</w:t>
            </w:r>
            <w:r w:rsidR="00341B43" w:rsidRPr="005A5F5C">
              <w:rPr>
                <w:b/>
                <w:bCs/>
                <w:sz w:val="16"/>
                <w:szCs w:val="16"/>
                <w:lang w:bidi="ar-EG"/>
              </w:rPr>
              <w:t>(</w:t>
            </w:r>
            <w:r w:rsidRPr="005A5F5C">
              <w:rPr>
                <w:b/>
                <w:bCs/>
                <w:sz w:val="16"/>
                <w:szCs w:val="16"/>
                <w:lang w:bidi="ar-EG"/>
              </w:rPr>
              <w:t>14</w:t>
            </w:r>
            <w:r w:rsidR="00341B43" w:rsidRPr="005A5F5C">
              <w:rPr>
                <w:b/>
                <w:bCs/>
                <w:sz w:val="16"/>
                <w:szCs w:val="16"/>
                <w:lang w:bidi="ar-EG"/>
              </w:rPr>
              <w:t>%)</w:t>
            </w:r>
          </w:p>
        </w:tc>
        <w:tc>
          <w:tcPr>
            <w:tcW w:w="1620" w:type="dxa"/>
            <w:tcBorders>
              <w:bottom w:val="single" w:sz="4" w:space="0" w:color="auto"/>
            </w:tcBorders>
          </w:tcPr>
          <w:p w14:paraId="7886FA9A"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2 (14%)</w:t>
            </w:r>
          </w:p>
        </w:tc>
        <w:tc>
          <w:tcPr>
            <w:tcW w:w="1867" w:type="dxa"/>
            <w:tcBorders>
              <w:bottom w:val="single" w:sz="4" w:space="0" w:color="auto"/>
            </w:tcBorders>
          </w:tcPr>
          <w:p w14:paraId="6D48E5C5"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3(23%)</w:t>
            </w:r>
          </w:p>
        </w:tc>
        <w:tc>
          <w:tcPr>
            <w:tcW w:w="1710" w:type="dxa"/>
            <w:tcBorders>
              <w:bottom w:val="single" w:sz="4" w:space="0" w:color="auto"/>
            </w:tcBorders>
          </w:tcPr>
          <w:p w14:paraId="20A3B246"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0 (0%)</w:t>
            </w:r>
          </w:p>
        </w:tc>
        <w:tc>
          <w:tcPr>
            <w:tcW w:w="833" w:type="dxa"/>
            <w:tcBorders>
              <w:bottom w:val="single" w:sz="4" w:space="0" w:color="auto"/>
            </w:tcBorders>
          </w:tcPr>
          <w:p w14:paraId="42FAFD13" w14:textId="77777777" w:rsidR="00341B43" w:rsidRPr="005A5F5C" w:rsidRDefault="00341B43" w:rsidP="00153006">
            <w:pPr>
              <w:spacing w:line="480" w:lineRule="auto"/>
              <w:jc w:val="center"/>
              <w:rPr>
                <w:rFonts w:asciiTheme="majorBidi" w:hAnsiTheme="majorBidi" w:cstheme="majorBidi"/>
                <w:sz w:val="16"/>
                <w:szCs w:val="16"/>
              </w:rPr>
            </w:pPr>
            <w:r w:rsidRPr="005A5F5C">
              <w:rPr>
                <w:b/>
                <w:bCs/>
                <w:sz w:val="16"/>
                <w:szCs w:val="16"/>
                <w:lang w:bidi="ar-EG"/>
              </w:rPr>
              <w:t>0.04</w:t>
            </w:r>
          </w:p>
        </w:tc>
      </w:tr>
    </w:tbl>
    <w:p w14:paraId="68EC532C" w14:textId="77777777" w:rsidR="00341B43" w:rsidRPr="005A5F5C" w:rsidRDefault="00341B43" w:rsidP="00341B43">
      <w:pPr>
        <w:tabs>
          <w:tab w:val="left" w:pos="2830"/>
        </w:tabs>
        <w:rPr>
          <w:rFonts w:asciiTheme="majorBidi" w:hAnsiTheme="majorBidi" w:cstheme="majorBidi"/>
          <w:b/>
          <w:bCs/>
          <w:sz w:val="16"/>
          <w:szCs w:val="16"/>
        </w:rPr>
      </w:pPr>
    </w:p>
    <w:p w14:paraId="4D3F9E98" w14:textId="77777777" w:rsidR="00341B43" w:rsidRPr="005A5F5C" w:rsidRDefault="00341B43" w:rsidP="00341B43">
      <w:pPr>
        <w:tabs>
          <w:tab w:val="left" w:pos="2830"/>
        </w:tabs>
        <w:rPr>
          <w:rFonts w:asciiTheme="majorBidi" w:hAnsiTheme="majorBidi" w:cstheme="majorBidi"/>
          <w:b/>
          <w:bCs/>
          <w:sz w:val="16"/>
          <w:szCs w:val="16"/>
        </w:rPr>
      </w:pPr>
    </w:p>
    <w:p w14:paraId="1CB3FE5E" w14:textId="77777777" w:rsidR="00341B43" w:rsidRPr="005A5F5C" w:rsidRDefault="00341B43" w:rsidP="00341B43">
      <w:pPr>
        <w:tabs>
          <w:tab w:val="left" w:pos="2830"/>
        </w:tabs>
        <w:spacing w:line="360" w:lineRule="auto"/>
        <w:jc w:val="both"/>
        <w:rPr>
          <w:rFonts w:asciiTheme="majorBidi" w:hAnsiTheme="majorBidi" w:cstheme="majorBidi"/>
          <w:b/>
          <w:bCs/>
          <w:sz w:val="16"/>
          <w:szCs w:val="16"/>
        </w:rPr>
      </w:pPr>
    </w:p>
    <w:p w14:paraId="6D87A995" w14:textId="77777777" w:rsidR="00153006" w:rsidRDefault="00341B43" w:rsidP="00153006">
      <w:pPr>
        <w:keepNext/>
        <w:tabs>
          <w:tab w:val="left" w:pos="2830"/>
        </w:tabs>
        <w:spacing w:line="360" w:lineRule="auto"/>
        <w:jc w:val="both"/>
      </w:pPr>
      <w:r>
        <w:rPr>
          <w:noProof/>
        </w:rPr>
        <w:drawing>
          <wp:inline distT="0" distB="0" distL="0" distR="0" wp14:anchorId="755D3641" wp14:editId="30ED1663">
            <wp:extent cx="5372100" cy="4914900"/>
            <wp:effectExtent l="0" t="0" r="0" b="0"/>
            <wp:docPr id="2" name="Picture 2" descr="Distribution of stages of fibrosis measured by fibro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tribution of stages of fibrosis measured by fibrosc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4914900"/>
                    </a:xfrm>
                    <a:prstGeom prst="rect">
                      <a:avLst/>
                    </a:prstGeom>
                    <a:noFill/>
                    <a:ln>
                      <a:noFill/>
                    </a:ln>
                  </pic:spPr>
                </pic:pic>
              </a:graphicData>
            </a:graphic>
          </wp:inline>
        </w:drawing>
      </w:r>
    </w:p>
    <w:p w14:paraId="40322B20" w14:textId="46119228" w:rsidR="00341B43" w:rsidRDefault="00153006" w:rsidP="00153006">
      <w:pPr>
        <w:pStyle w:val="Caption"/>
        <w:jc w:val="both"/>
        <w:rPr>
          <w:rFonts w:asciiTheme="majorBidi" w:hAnsiTheme="majorBidi" w:cstheme="majorBidi"/>
          <w:b/>
          <w:bCs/>
          <w:sz w:val="28"/>
          <w:szCs w:val="28"/>
        </w:rPr>
      </w:pPr>
      <w:r>
        <w:t xml:space="preserve">Fig </w:t>
      </w:r>
      <w:fldSimple w:instr=" SEQ Figure \* ARABIC ">
        <w:r w:rsidR="0045764C">
          <w:rPr>
            <w:noProof/>
          </w:rPr>
          <w:t>1</w:t>
        </w:r>
      </w:fldSimple>
      <w:r>
        <w:t xml:space="preserve">. </w:t>
      </w:r>
      <w:r w:rsidRPr="00153006">
        <w:t>Distribution of stages of fibrosis measured by fibroscan</w:t>
      </w:r>
      <w:r>
        <w:t>.</w:t>
      </w:r>
    </w:p>
    <w:p w14:paraId="4723EEA6" w14:textId="77777777" w:rsidR="00153006" w:rsidRDefault="00341B43" w:rsidP="00153006">
      <w:pPr>
        <w:keepNext/>
        <w:tabs>
          <w:tab w:val="left" w:pos="2830"/>
        </w:tabs>
        <w:spacing w:line="360" w:lineRule="auto"/>
        <w:jc w:val="both"/>
      </w:pPr>
      <w:r>
        <w:rPr>
          <w:noProof/>
        </w:rPr>
        <w:drawing>
          <wp:inline distT="0" distB="0" distL="0" distR="0" wp14:anchorId="140B8CC8" wp14:editId="218E2191">
            <wp:extent cx="5575300" cy="4914900"/>
            <wp:effectExtent l="0" t="0" r="0" b="0"/>
            <wp:docPr id="4" name="Picture 4" descr="Distribution of stages of steatosis measured by fibro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tribution of stages of steatosis measured by fibrosc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5300" cy="4914900"/>
                    </a:xfrm>
                    <a:prstGeom prst="rect">
                      <a:avLst/>
                    </a:prstGeom>
                    <a:noFill/>
                    <a:ln>
                      <a:noFill/>
                    </a:ln>
                  </pic:spPr>
                </pic:pic>
              </a:graphicData>
            </a:graphic>
          </wp:inline>
        </w:drawing>
      </w:r>
    </w:p>
    <w:p w14:paraId="6999AF7C" w14:textId="3CB904BA" w:rsidR="00153006" w:rsidRPr="00153006" w:rsidRDefault="00153006" w:rsidP="00153006">
      <w:pPr>
        <w:pStyle w:val="Caption"/>
      </w:pPr>
      <w:r>
        <w:t xml:space="preserve">Fig </w:t>
      </w:r>
      <w:fldSimple w:instr=" SEQ Figure \* ARABIC ">
        <w:r w:rsidR="0045764C">
          <w:rPr>
            <w:noProof/>
          </w:rPr>
          <w:t>2</w:t>
        </w:r>
      </w:fldSimple>
      <w:r>
        <w:t xml:space="preserve">. </w:t>
      </w:r>
      <w:r w:rsidRPr="00153006">
        <w:t>Distribution of stages of steatosis measured by fibroscan</w:t>
      </w:r>
      <w:r>
        <w:t>.</w:t>
      </w:r>
    </w:p>
    <w:p w14:paraId="0FA3FDD0" w14:textId="77777777" w:rsidR="00153006" w:rsidRDefault="00341B43" w:rsidP="00153006">
      <w:pPr>
        <w:keepNext/>
        <w:spacing w:line="360" w:lineRule="auto"/>
        <w:jc w:val="both"/>
      </w:pPr>
      <w:r>
        <w:rPr>
          <w:noProof/>
        </w:rPr>
        <w:drawing>
          <wp:inline distT="0" distB="0" distL="0" distR="0" wp14:anchorId="076A67CF" wp14:editId="756BF153">
            <wp:extent cx="3796665" cy="2667000"/>
            <wp:effectExtent l="0" t="0" r="0" b="0"/>
            <wp:docPr id="6" name="Picture 6" descr=". There was a significant positive correlation between the albumin creatinine ratio and subcutaneous fat thickness (r= 0.3, P =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There was a significant positive correlation between the albumin creatinine ratio and subcutaneous fat thickness (r= 0.3, P = 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9266" cy="2668827"/>
                    </a:xfrm>
                    <a:prstGeom prst="rect">
                      <a:avLst/>
                    </a:prstGeom>
                    <a:noFill/>
                    <a:ln>
                      <a:noFill/>
                    </a:ln>
                  </pic:spPr>
                </pic:pic>
              </a:graphicData>
            </a:graphic>
          </wp:inline>
        </w:drawing>
      </w:r>
    </w:p>
    <w:p w14:paraId="6FA388E9" w14:textId="162E409C" w:rsidR="00153006" w:rsidRPr="00153006" w:rsidRDefault="00153006" w:rsidP="00153006">
      <w:pPr>
        <w:pStyle w:val="Caption"/>
      </w:pPr>
      <w:r>
        <w:t xml:space="preserve">Fig </w:t>
      </w:r>
      <w:fldSimple w:instr=" SEQ Figure \* ARABIC ">
        <w:r w:rsidR="0045764C">
          <w:rPr>
            <w:noProof/>
          </w:rPr>
          <w:t>3</w:t>
        </w:r>
      </w:fldSimple>
      <w:r>
        <w:t>.</w:t>
      </w:r>
      <w:r w:rsidRPr="00153006">
        <w:rPr>
          <w:sz w:val="28"/>
          <w:szCs w:val="28"/>
        </w:rPr>
        <w:t xml:space="preserve"> </w:t>
      </w:r>
      <w:r w:rsidRPr="00153006">
        <w:t>There was a significant positive correlation between the albumin creatinine ratio and subcutaneous fat thickness (r= 0.3, P = 0.03).</w:t>
      </w:r>
    </w:p>
    <w:p w14:paraId="2E4807A2" w14:textId="6FC850D2" w:rsidR="00341B43" w:rsidRDefault="00153006" w:rsidP="00153006">
      <w:pPr>
        <w:pStyle w:val="Caption"/>
        <w:jc w:val="both"/>
        <w:rPr>
          <w:rFonts w:asciiTheme="majorBidi" w:hAnsiTheme="majorBidi" w:cstheme="majorBidi"/>
          <w:b/>
          <w:bCs/>
          <w:sz w:val="28"/>
          <w:szCs w:val="28"/>
        </w:rPr>
      </w:pPr>
      <w:r>
        <w:t xml:space="preserve"> </w:t>
      </w:r>
    </w:p>
    <w:p w14:paraId="7152E270" w14:textId="1044EFAF" w:rsidR="00153006" w:rsidRDefault="00AA4496" w:rsidP="00153006">
      <w:pPr>
        <w:keepNext/>
        <w:autoSpaceDE w:val="0"/>
        <w:autoSpaceDN w:val="0"/>
        <w:adjustRightInd w:val="0"/>
        <w:spacing w:line="360" w:lineRule="auto"/>
        <w:jc w:val="both"/>
      </w:pPr>
      <w:r>
        <w:rPr>
          <w:noProof/>
        </w:rPr>
        <w:drawing>
          <wp:inline distT="0" distB="0" distL="0" distR="0" wp14:anchorId="3FABB4F6" wp14:editId="320334F3">
            <wp:extent cx="5943600" cy="286824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868242"/>
                    </a:xfrm>
                    <a:prstGeom prst="rect">
                      <a:avLst/>
                    </a:prstGeom>
                    <a:noFill/>
                    <a:ln>
                      <a:noFill/>
                    </a:ln>
                  </pic:spPr>
                </pic:pic>
              </a:graphicData>
            </a:graphic>
          </wp:inline>
        </w:drawing>
      </w:r>
    </w:p>
    <w:p w14:paraId="2A81C2DC" w14:textId="6290C42D" w:rsidR="00153006" w:rsidRPr="00153006" w:rsidRDefault="00153006" w:rsidP="00153006">
      <w:pPr>
        <w:pStyle w:val="Caption"/>
      </w:pPr>
      <w:r>
        <w:t xml:space="preserve">Fig </w:t>
      </w:r>
      <w:fldSimple w:instr=" SEQ Figure \* ARABIC ">
        <w:r w:rsidR="0045764C">
          <w:rPr>
            <w:noProof/>
          </w:rPr>
          <w:t>4</w:t>
        </w:r>
      </w:fldSimple>
      <w:r>
        <w:t xml:space="preserve">. </w:t>
      </w:r>
      <w:r w:rsidRPr="00153006">
        <w:t>There was also a significant positive correlation between the albumin creatinine ratio and BMI (r= 0.3, P = 0.03).</w:t>
      </w:r>
    </w:p>
    <w:p w14:paraId="642F8BD1" w14:textId="77777777" w:rsidR="00341B43" w:rsidRDefault="00341B43" w:rsidP="00341B43">
      <w:pPr>
        <w:autoSpaceDE w:val="0"/>
        <w:autoSpaceDN w:val="0"/>
        <w:adjustRightInd w:val="0"/>
        <w:spacing w:line="360" w:lineRule="auto"/>
        <w:jc w:val="both"/>
        <w:rPr>
          <w:rFonts w:asciiTheme="majorBidi" w:hAnsiTheme="majorBidi" w:cstheme="majorBidi"/>
          <w:sz w:val="28"/>
          <w:szCs w:val="28"/>
        </w:rPr>
      </w:pPr>
    </w:p>
    <w:p w14:paraId="5EE8276E" w14:textId="77777777" w:rsidR="00153006" w:rsidRDefault="00341B43" w:rsidP="00153006">
      <w:pPr>
        <w:keepNext/>
        <w:autoSpaceDE w:val="0"/>
        <w:autoSpaceDN w:val="0"/>
        <w:adjustRightInd w:val="0"/>
        <w:spacing w:line="360" w:lineRule="auto"/>
        <w:jc w:val="both"/>
      </w:pPr>
      <w:r>
        <w:rPr>
          <w:noProof/>
        </w:rPr>
        <w:drawing>
          <wp:inline distT="0" distB="0" distL="0" distR="0" wp14:anchorId="65D19A17" wp14:editId="10F56BC2">
            <wp:extent cx="5943600" cy="3986530"/>
            <wp:effectExtent l="0" t="0" r="0" b="0"/>
            <wp:docPr id="11" name="Picture 11" descr="There was a significant positive correlation between albumin creatinine ratio and steatosis degrees (r= 0.3, P = 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re was a significant positive correlation between albumin creatinine ratio and steatosis degrees (r= 0.3, P = 0.0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86530"/>
                    </a:xfrm>
                    <a:prstGeom prst="rect">
                      <a:avLst/>
                    </a:prstGeom>
                    <a:noFill/>
                    <a:ln>
                      <a:noFill/>
                    </a:ln>
                  </pic:spPr>
                </pic:pic>
              </a:graphicData>
            </a:graphic>
          </wp:inline>
        </w:drawing>
      </w:r>
    </w:p>
    <w:p w14:paraId="35D0924A" w14:textId="00874724" w:rsidR="00153006" w:rsidRPr="00153006" w:rsidRDefault="00153006" w:rsidP="00153006">
      <w:pPr>
        <w:pStyle w:val="Caption"/>
      </w:pPr>
      <w:r>
        <w:t xml:space="preserve">Fig </w:t>
      </w:r>
      <w:fldSimple w:instr=" SEQ Figure \* ARABIC ">
        <w:r w:rsidR="0045764C">
          <w:rPr>
            <w:noProof/>
          </w:rPr>
          <w:t>5</w:t>
        </w:r>
      </w:fldSimple>
      <w:r>
        <w:t xml:space="preserve">. </w:t>
      </w:r>
      <w:r w:rsidRPr="00153006">
        <w:t>There was a significant positive correlation between albumin creatinine ratio and steatosis degrees (r= 0.3, P = 0.007)</w:t>
      </w:r>
    </w:p>
    <w:p w14:paraId="34BD7BBF" w14:textId="77777777" w:rsidR="00153006" w:rsidRDefault="00341B43" w:rsidP="00153006">
      <w:pPr>
        <w:keepNext/>
        <w:spacing w:line="360" w:lineRule="auto"/>
        <w:jc w:val="both"/>
      </w:pPr>
      <w:r>
        <w:rPr>
          <w:noProof/>
        </w:rPr>
        <w:drawing>
          <wp:inline distT="0" distB="0" distL="0" distR="0" wp14:anchorId="71CB12FD" wp14:editId="7A0F8A8B">
            <wp:extent cx="5943600" cy="4275455"/>
            <wp:effectExtent l="0" t="0" r="0" b="0"/>
            <wp:docPr id="13" name="Picture 13" descr="There was a significant negative correlation between the estimated glomerular filtration rate and the age of the patients (r= - 0.3, P =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re was a significant negative correlation between the estimated glomerular filtration rate and the age of the patients (r= - 0.3, P = 0.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275455"/>
                    </a:xfrm>
                    <a:prstGeom prst="rect">
                      <a:avLst/>
                    </a:prstGeom>
                    <a:noFill/>
                    <a:ln>
                      <a:noFill/>
                    </a:ln>
                  </pic:spPr>
                </pic:pic>
              </a:graphicData>
            </a:graphic>
          </wp:inline>
        </w:drawing>
      </w:r>
    </w:p>
    <w:p w14:paraId="199EDE8C" w14:textId="4B0E2C05" w:rsidR="00153006" w:rsidRPr="00153006" w:rsidRDefault="00153006" w:rsidP="00153006">
      <w:pPr>
        <w:pStyle w:val="Caption"/>
      </w:pPr>
      <w:r>
        <w:t xml:space="preserve">Fig </w:t>
      </w:r>
      <w:fldSimple w:instr=" SEQ Figure \* ARABIC ">
        <w:r w:rsidR="0045764C">
          <w:rPr>
            <w:noProof/>
          </w:rPr>
          <w:t>6</w:t>
        </w:r>
      </w:fldSimple>
      <w:r>
        <w:t xml:space="preserve">. </w:t>
      </w:r>
      <w:r w:rsidRPr="00153006">
        <w:t>There was a significant negative correlation between the estimated glomerular filtration rate and the age of the patients (r= - 0.3, P = 0.04).</w:t>
      </w:r>
    </w:p>
    <w:p w14:paraId="416A7C94" w14:textId="77777777" w:rsidR="00153006" w:rsidRDefault="00341B43" w:rsidP="00153006">
      <w:pPr>
        <w:keepNext/>
        <w:spacing w:line="360" w:lineRule="auto"/>
        <w:jc w:val="both"/>
      </w:pPr>
      <w:r>
        <w:rPr>
          <w:noProof/>
        </w:rPr>
        <w:drawing>
          <wp:inline distT="0" distB="0" distL="0" distR="0" wp14:anchorId="3BDF671D" wp14:editId="1F2E5003">
            <wp:extent cx="5943600" cy="3733800"/>
            <wp:effectExtent l="0" t="0" r="0" b="0"/>
            <wp:docPr id="14" name="Picture 14" descr="There was a significant positive correlation between the estimated glomerular filtration rate and AST level (r= 0.4, P =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re was a significant positive correlation between the estimated glomerular filtration rate and AST level (r= 0.4, P = 0.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733800"/>
                    </a:xfrm>
                    <a:prstGeom prst="rect">
                      <a:avLst/>
                    </a:prstGeom>
                    <a:noFill/>
                    <a:ln>
                      <a:noFill/>
                    </a:ln>
                  </pic:spPr>
                </pic:pic>
              </a:graphicData>
            </a:graphic>
          </wp:inline>
        </w:drawing>
      </w:r>
    </w:p>
    <w:p w14:paraId="27AD3FB2" w14:textId="22221206" w:rsidR="00153006" w:rsidRPr="00153006" w:rsidRDefault="00153006" w:rsidP="00153006">
      <w:pPr>
        <w:pStyle w:val="Caption"/>
      </w:pPr>
      <w:r>
        <w:t xml:space="preserve">Fig </w:t>
      </w:r>
      <w:fldSimple w:instr=" SEQ Figure \* ARABIC ">
        <w:r w:rsidR="0045764C">
          <w:rPr>
            <w:noProof/>
          </w:rPr>
          <w:t>7</w:t>
        </w:r>
      </w:fldSimple>
      <w:r>
        <w:t xml:space="preserve">. </w:t>
      </w:r>
      <w:r w:rsidRPr="00153006">
        <w:t>There was a significant positive correlation between the estimated glomerular filtration rate and AST level (r= 0.4, P = 0.000).</w:t>
      </w:r>
    </w:p>
    <w:p w14:paraId="3A24648F" w14:textId="77777777" w:rsidR="00341B43" w:rsidRPr="004D799D" w:rsidRDefault="00341B43" w:rsidP="004D799D">
      <w:pPr>
        <w:jc w:val="both"/>
        <w:rPr>
          <w:rFonts w:asciiTheme="majorBidi" w:hAnsiTheme="majorBidi" w:cstheme="majorBidi"/>
          <w:sz w:val="20"/>
          <w:szCs w:val="20"/>
        </w:rPr>
      </w:pPr>
    </w:p>
    <w:p w14:paraId="65CAC2D5" w14:textId="227F3A0C" w:rsidR="000B2965" w:rsidRPr="00153006" w:rsidRDefault="00F83FA6" w:rsidP="00153006">
      <w:pPr>
        <w:tabs>
          <w:tab w:val="left" w:pos="4690"/>
        </w:tabs>
        <w:autoSpaceDE w:val="0"/>
        <w:autoSpaceDN w:val="0"/>
        <w:adjustRightInd w:val="0"/>
        <w:rPr>
          <w:rFonts w:asciiTheme="majorBidi" w:hAnsiTheme="majorBidi" w:cstheme="majorBidi"/>
          <w:b/>
          <w:bCs/>
        </w:rPr>
      </w:pPr>
      <w:r w:rsidRPr="00153006">
        <w:rPr>
          <w:rFonts w:asciiTheme="majorBidi" w:hAnsiTheme="majorBidi" w:cstheme="majorBidi"/>
          <w:b/>
          <w:bCs/>
        </w:rPr>
        <w:t>Discussion:</w:t>
      </w:r>
    </w:p>
    <w:p w14:paraId="05E2A28C" w14:textId="091F320B" w:rsidR="007F4748" w:rsidRPr="00153006" w:rsidRDefault="00C72D5D" w:rsidP="00C72D5D">
      <w:pPr>
        <w:jc w:val="both"/>
        <w:rPr>
          <w:rFonts w:asciiTheme="majorBidi" w:hAnsiTheme="majorBidi" w:cstheme="majorBidi"/>
        </w:rPr>
      </w:pPr>
      <w:r w:rsidRPr="00153006">
        <w:rPr>
          <w:rFonts w:asciiTheme="majorBidi" w:hAnsiTheme="majorBidi" w:cstheme="majorBidi"/>
        </w:rPr>
        <w:t xml:space="preserve">Non-alcoholic fatty liver disease (NAFLD) represents a considerable percentage of chronic liver diseases </w:t>
      </w:r>
      <w:r w:rsidR="003E62F3" w:rsidRPr="00153006">
        <w:rPr>
          <w:rFonts w:asciiTheme="majorBidi" w:hAnsiTheme="majorBidi" w:cstheme="majorBidi"/>
        </w:rPr>
        <w:t>worldwide</w:t>
      </w:r>
      <w:r w:rsidRPr="00153006">
        <w:rPr>
          <w:rFonts w:asciiTheme="majorBidi" w:hAnsiTheme="majorBidi" w:cstheme="majorBidi"/>
        </w:rPr>
        <w:t>. The liver is</w:t>
      </w:r>
      <w:r w:rsidR="003E62F3" w:rsidRPr="00153006">
        <w:rPr>
          <w:rFonts w:asciiTheme="majorBidi" w:hAnsiTheme="majorBidi" w:cstheme="majorBidi"/>
        </w:rPr>
        <w:t xml:space="preserve"> no</w:t>
      </w:r>
      <w:r w:rsidRPr="00153006">
        <w:rPr>
          <w:rFonts w:asciiTheme="majorBidi" w:hAnsiTheme="majorBidi" w:cstheme="majorBidi"/>
        </w:rPr>
        <w:t xml:space="preserve">t the only organ affected by NAFLD but also affects other organs such as the cardiovascular system and the kidney. </w:t>
      </w:r>
      <w:r w:rsidR="003E62F3" w:rsidRPr="00153006">
        <w:rPr>
          <w:rFonts w:asciiTheme="majorBidi" w:hAnsiTheme="majorBidi" w:cstheme="majorBidi"/>
        </w:rPr>
        <w:t>In recent decades, there has been a growing body of evidence linking NAFLD to kidney function</w:t>
      </w:r>
      <w:r w:rsidRPr="00153006">
        <w:rPr>
          <w:rFonts w:asciiTheme="majorBidi" w:hAnsiTheme="majorBidi" w:cstheme="majorBidi"/>
        </w:rPr>
        <w:t>.</w:t>
      </w:r>
    </w:p>
    <w:p w14:paraId="5371E33C" w14:textId="36514125" w:rsidR="003E62F3" w:rsidRPr="00153006" w:rsidRDefault="002D7A3D" w:rsidP="00C72D5D">
      <w:pPr>
        <w:jc w:val="both"/>
        <w:rPr>
          <w:rFonts w:asciiTheme="majorBidi" w:hAnsiTheme="majorBidi" w:cstheme="majorBidi"/>
        </w:rPr>
      </w:pPr>
      <w:r w:rsidRPr="00153006">
        <w:rPr>
          <w:rFonts w:asciiTheme="majorBidi" w:hAnsiTheme="majorBidi" w:cstheme="majorBidi"/>
        </w:rPr>
        <w:t>The increase</w:t>
      </w:r>
      <w:r w:rsidR="003E62F3" w:rsidRPr="00153006">
        <w:rPr>
          <w:rFonts w:asciiTheme="majorBidi" w:hAnsiTheme="majorBidi" w:cstheme="majorBidi"/>
        </w:rPr>
        <w:t>d</w:t>
      </w:r>
      <w:r w:rsidRPr="00153006">
        <w:rPr>
          <w:rFonts w:asciiTheme="majorBidi" w:hAnsiTheme="majorBidi" w:cstheme="majorBidi"/>
        </w:rPr>
        <w:t xml:space="preserve"> risk for CKD is related to certain risk variables</w:t>
      </w:r>
      <w:r w:rsidR="00BD21BF" w:rsidRPr="00153006">
        <w:rPr>
          <w:rFonts w:asciiTheme="majorBidi" w:hAnsiTheme="majorBidi" w:cstheme="majorBidi"/>
        </w:rPr>
        <w:t xml:space="preserve"> such as</w:t>
      </w:r>
      <w:r w:rsidRPr="00153006">
        <w:rPr>
          <w:rFonts w:asciiTheme="majorBidi" w:hAnsiTheme="majorBidi" w:cstheme="majorBidi"/>
        </w:rPr>
        <w:t xml:space="preserve"> </w:t>
      </w:r>
      <w:r w:rsidR="00BD21BF" w:rsidRPr="00153006">
        <w:rPr>
          <w:rFonts w:asciiTheme="majorBidi" w:hAnsiTheme="majorBidi" w:cstheme="majorBidi"/>
        </w:rPr>
        <w:t>diabetes, hypertension, and chronic renal diseases</w:t>
      </w:r>
      <w:r w:rsidR="00BD21BF"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{"citationItems":[{"id":"ITEM-1","itemData":{"DOI":"10.1038/KISUP.2013.79","ISSN":"21571716","abstract":"Chronic kidney disease has become a serious public health issue. There are currently over 1.4 million patients receiving renal replacement therapy worldwide. One way to reduce the economic burden of chronic kidney disease would be early intervention. In order to achieve this, we should be able to identify individuals with increased risk of renal disease. An individual's genetic and phenotypic make-up puts him/her at risk for kidney disease. Factors such as race, gender, age, and family history are highly important. For instance, being of African-American decent, older age, low birth weight and family history of kidney disease are considered to be strong risk factors for chronic kidney disease. Moreover, smoking, obesity, hypertension, and diabetes mellitus can also lead to kidney disease. An uncontrolled diabetic and/or hypertensive patient can easily and quickly progress to an end-stage kidney disease patient. Exposure to heavy metals, excessive alcohol consumption, smoking, and the use of analgesic medications also constitute risks. Experiencing acute kidney injury, a history of cardiovascular disease, hyperlipidemia, metabolic syndrome, hepatitis C virus, HIV infection, and malignancy are further risk factors. Determination of serum creatinine levels and urinalysis in patients with chronic kidney disease risk will usually be sufficient for initial screening. © 2013 International Society of Nephrology.","author":[{"dropping-particle":"","family":"Kazanciog","given":"Rumeyza","non-dropping-particle":"","parse-names":false,"suffix":""},{"dropping-particle":"","family":"Lu","given":"˘","non-dropping-particle":"","parse-names":false,"suffix":""}],"container-title":"Kidney International Supplements","id":"ITEM-1","issue":"4","issued":{"date-parts":[["2013","12","1"]]},"page":"368-371","publisher":"Nature Publishing Group","title":"Risk factors for chronic kidney disease: An update","type":"article-journal","volume":"3"},"uris":["http://www.mendeley.com/documents/?uuid=22b8259d-b2c7-3618-8f85-0dc680c8d3c6"]}],"mendeley":{"formattedCitation":"(16)","plainTextFormattedCitation":"(16)","previouslyFormattedCitation":"[16]"},"properties":{"noteIndex":0},"schema":"https://github.com/citation-style-language/schema/raw/master/csl-citation.json"}</w:instrText>
      </w:r>
      <w:r w:rsidR="00BD21BF" w:rsidRPr="00153006">
        <w:rPr>
          <w:rFonts w:asciiTheme="majorBidi" w:hAnsiTheme="majorBidi" w:cstheme="majorBidi"/>
        </w:rPr>
        <w:fldChar w:fldCharType="separate"/>
      </w:r>
      <w:r w:rsidR="0063099F" w:rsidRPr="00153006">
        <w:rPr>
          <w:rFonts w:asciiTheme="majorBidi" w:hAnsiTheme="majorBidi" w:cstheme="majorBidi"/>
          <w:noProof/>
        </w:rPr>
        <w:t>(16)</w:t>
      </w:r>
      <w:r w:rsidR="00BD21BF" w:rsidRPr="00153006">
        <w:rPr>
          <w:rFonts w:asciiTheme="majorBidi" w:hAnsiTheme="majorBidi" w:cstheme="majorBidi"/>
        </w:rPr>
        <w:fldChar w:fldCharType="end"/>
      </w:r>
      <w:r w:rsidR="00BD21BF" w:rsidRPr="00153006">
        <w:rPr>
          <w:rFonts w:asciiTheme="majorBidi" w:hAnsiTheme="majorBidi" w:cstheme="majorBidi"/>
        </w:rPr>
        <w:t xml:space="preserve">. </w:t>
      </w:r>
      <w:r w:rsidRPr="00153006">
        <w:rPr>
          <w:rFonts w:asciiTheme="majorBidi" w:hAnsiTheme="majorBidi" w:cstheme="majorBidi"/>
        </w:rPr>
        <w:t>all</w:t>
      </w:r>
      <w:r w:rsidR="00BD21BF" w:rsidRPr="00153006">
        <w:rPr>
          <w:rFonts w:asciiTheme="majorBidi" w:hAnsiTheme="majorBidi" w:cstheme="majorBidi"/>
        </w:rPr>
        <w:t xml:space="preserve"> these </w:t>
      </w:r>
      <w:r w:rsidRPr="00153006">
        <w:rPr>
          <w:rFonts w:asciiTheme="majorBidi" w:hAnsiTheme="majorBidi" w:cstheme="majorBidi"/>
        </w:rPr>
        <w:t xml:space="preserve">risk factors for CKD were excluded </w:t>
      </w:r>
      <w:r w:rsidR="00253991" w:rsidRPr="00153006">
        <w:rPr>
          <w:rFonts w:asciiTheme="majorBidi" w:hAnsiTheme="majorBidi" w:cstheme="majorBidi"/>
        </w:rPr>
        <w:t>at</w:t>
      </w:r>
      <w:r w:rsidRPr="00153006">
        <w:rPr>
          <w:rFonts w:asciiTheme="majorBidi" w:hAnsiTheme="majorBidi" w:cstheme="majorBidi"/>
        </w:rPr>
        <w:t xml:space="preserve"> the start </w:t>
      </w:r>
      <w:r w:rsidR="00AA4DCE" w:rsidRPr="00153006">
        <w:rPr>
          <w:rFonts w:asciiTheme="majorBidi" w:hAnsiTheme="majorBidi" w:cstheme="majorBidi"/>
        </w:rPr>
        <w:t>of</w:t>
      </w:r>
      <w:r w:rsidR="00BD21BF" w:rsidRPr="00153006">
        <w:rPr>
          <w:rFonts w:asciiTheme="majorBidi" w:hAnsiTheme="majorBidi" w:cstheme="majorBidi"/>
        </w:rPr>
        <w:t xml:space="preserve"> the current study</w:t>
      </w:r>
      <w:r w:rsidR="000B3883" w:rsidRPr="00153006">
        <w:rPr>
          <w:rFonts w:asciiTheme="majorBidi" w:hAnsiTheme="majorBidi" w:cstheme="majorBidi"/>
        </w:rPr>
        <w:t>.</w:t>
      </w:r>
      <w:r w:rsidR="00F83FA6" w:rsidRPr="00153006">
        <w:rPr>
          <w:rFonts w:asciiTheme="majorBidi" w:hAnsiTheme="majorBidi" w:cstheme="majorBidi"/>
        </w:rPr>
        <w:t xml:space="preserve"> </w:t>
      </w:r>
      <w:r w:rsidR="00BD21BF" w:rsidRPr="00153006">
        <w:rPr>
          <w:rFonts w:asciiTheme="majorBidi" w:hAnsiTheme="majorBidi" w:cstheme="majorBidi"/>
        </w:rPr>
        <w:t xml:space="preserve">However, in </w:t>
      </w:r>
      <w:r w:rsidR="00C72D5D" w:rsidRPr="00153006">
        <w:rPr>
          <w:rFonts w:asciiTheme="majorBidi" w:hAnsiTheme="majorBidi" w:cstheme="majorBidi"/>
        </w:rPr>
        <w:t>this</w:t>
      </w:r>
      <w:r w:rsidR="00BD21BF" w:rsidRPr="00153006">
        <w:rPr>
          <w:rFonts w:asciiTheme="majorBidi" w:hAnsiTheme="majorBidi" w:cstheme="majorBidi"/>
        </w:rPr>
        <w:t xml:space="preserve"> analysis, NAFLD and CKD</w:t>
      </w:r>
      <w:r w:rsidR="00B10614" w:rsidRPr="00153006">
        <w:rPr>
          <w:rFonts w:asciiTheme="majorBidi" w:hAnsiTheme="majorBidi" w:cstheme="majorBidi"/>
        </w:rPr>
        <w:t xml:space="preserve"> association</w:t>
      </w:r>
      <w:r w:rsidR="00BD21BF" w:rsidRPr="00153006">
        <w:rPr>
          <w:rFonts w:asciiTheme="majorBidi" w:hAnsiTheme="majorBidi" w:cstheme="majorBidi"/>
        </w:rPr>
        <w:t xml:space="preserve"> remained continuously strong. </w:t>
      </w:r>
      <w:r w:rsidR="00F83FA6" w:rsidRPr="00153006">
        <w:rPr>
          <w:rFonts w:asciiTheme="majorBidi" w:hAnsiTheme="majorBidi" w:cstheme="majorBidi"/>
        </w:rPr>
        <w:t>We found that the percentage of patients with chronic kidney diseases (patients with GFR less than 60 ml or micro-albuminuria) were significantly higher among NAFLD groups than in healthy controls.</w:t>
      </w:r>
      <w:r w:rsidR="008312B3" w:rsidRPr="00153006">
        <w:rPr>
          <w:rFonts w:asciiTheme="majorBidi" w:hAnsiTheme="majorBidi" w:cstheme="majorBidi"/>
        </w:rPr>
        <w:t xml:space="preserve"> </w:t>
      </w:r>
      <w:r w:rsidR="00F83FA6" w:rsidRPr="00153006">
        <w:rPr>
          <w:rFonts w:asciiTheme="majorBidi" w:hAnsiTheme="majorBidi" w:cstheme="majorBidi"/>
        </w:rPr>
        <w:t>Also</w:t>
      </w:r>
      <w:r w:rsidR="003E62F3" w:rsidRPr="00153006">
        <w:rPr>
          <w:rFonts w:asciiTheme="majorBidi" w:hAnsiTheme="majorBidi" w:cstheme="majorBidi"/>
        </w:rPr>
        <w:t>,</w:t>
      </w:r>
      <w:r w:rsidR="00F83FA6" w:rsidRPr="00153006">
        <w:rPr>
          <w:rFonts w:asciiTheme="majorBidi" w:hAnsiTheme="majorBidi" w:cstheme="majorBidi"/>
        </w:rPr>
        <w:t xml:space="preserve"> </w:t>
      </w:r>
      <w:r w:rsidR="003E62F3" w:rsidRPr="00153006">
        <w:rPr>
          <w:rFonts w:asciiTheme="majorBidi" w:hAnsiTheme="majorBidi" w:cstheme="majorBidi"/>
        </w:rPr>
        <w:t xml:space="preserve">the </w:t>
      </w:r>
      <w:r w:rsidR="00F83FA6" w:rsidRPr="00153006">
        <w:rPr>
          <w:rFonts w:asciiTheme="majorBidi" w:hAnsiTheme="majorBidi" w:cstheme="majorBidi"/>
        </w:rPr>
        <w:t xml:space="preserve">incidence of micro-albuminuria was </w:t>
      </w:r>
      <w:r w:rsidR="00154861">
        <w:rPr>
          <w:rFonts w:asciiTheme="majorBidi" w:hAnsiTheme="majorBidi" w:cstheme="majorBidi"/>
        </w:rPr>
        <w:t>substantially</w:t>
      </w:r>
      <w:r w:rsidR="00F83FA6" w:rsidRPr="00153006">
        <w:rPr>
          <w:rFonts w:asciiTheme="majorBidi" w:hAnsiTheme="majorBidi" w:cstheme="majorBidi"/>
        </w:rPr>
        <w:t xml:space="preserve"> higher among NAFLD groups than in healthy controls (P</w:t>
      </w:r>
      <w:r w:rsidR="008312B3" w:rsidRPr="00153006">
        <w:rPr>
          <w:rFonts w:asciiTheme="majorBidi" w:hAnsiTheme="majorBidi" w:cstheme="majorBidi"/>
        </w:rPr>
        <w:t>-</w:t>
      </w:r>
      <w:r w:rsidR="00F83FA6" w:rsidRPr="00153006">
        <w:rPr>
          <w:rFonts w:asciiTheme="majorBidi" w:hAnsiTheme="majorBidi" w:cstheme="majorBidi"/>
        </w:rPr>
        <w:t>value</w:t>
      </w:r>
      <w:r w:rsidR="00F83FA6" w:rsidRPr="00153006">
        <w:rPr>
          <w:rFonts w:asciiTheme="majorBidi" w:hAnsiTheme="majorBidi" w:cstheme="majorBidi"/>
          <w:rtl/>
        </w:rPr>
        <w:t>=</w:t>
      </w:r>
      <w:r w:rsidR="00F83FA6" w:rsidRPr="00153006">
        <w:rPr>
          <w:rFonts w:asciiTheme="majorBidi" w:hAnsiTheme="majorBidi" w:cstheme="majorBidi"/>
        </w:rPr>
        <w:t>0.04).</w:t>
      </w:r>
    </w:p>
    <w:p w14:paraId="7EBCA25B" w14:textId="37732A89" w:rsidR="00F83FA6" w:rsidRPr="00153006" w:rsidRDefault="007C0AF5" w:rsidP="006C29F7">
      <w:pPr>
        <w:jc w:val="both"/>
        <w:rPr>
          <w:rFonts w:asciiTheme="majorBidi" w:hAnsiTheme="majorBidi" w:cstheme="majorBidi"/>
        </w:rPr>
      </w:pPr>
      <w:r w:rsidRPr="00153006">
        <w:rPr>
          <w:rFonts w:asciiTheme="majorBidi" w:hAnsiTheme="majorBidi" w:cstheme="majorBidi"/>
        </w:rPr>
        <w:t>Furthermore</w:t>
      </w:r>
      <w:r w:rsidR="00F83FA6" w:rsidRPr="00153006">
        <w:rPr>
          <w:rFonts w:asciiTheme="majorBidi" w:hAnsiTheme="majorBidi" w:cstheme="majorBidi"/>
        </w:rPr>
        <w:t xml:space="preserve">, there was a significant positive correlation between </w:t>
      </w:r>
      <w:r w:rsidR="00253991" w:rsidRPr="00153006">
        <w:rPr>
          <w:rFonts w:asciiTheme="majorBidi" w:hAnsiTheme="majorBidi" w:cstheme="majorBidi"/>
        </w:rPr>
        <w:t xml:space="preserve">the </w:t>
      </w:r>
      <w:r w:rsidR="00F83FA6" w:rsidRPr="00153006">
        <w:rPr>
          <w:rFonts w:asciiTheme="majorBidi" w:hAnsiTheme="majorBidi" w:cstheme="majorBidi"/>
        </w:rPr>
        <w:t>albumin creatinine ratio and subcutaneous fat thickness</w:t>
      </w:r>
      <w:r w:rsidR="006C6A71" w:rsidRPr="00153006">
        <w:rPr>
          <w:rFonts w:asciiTheme="majorBidi" w:hAnsiTheme="majorBidi" w:cstheme="majorBidi"/>
        </w:rPr>
        <w:t xml:space="preserve">, </w:t>
      </w:r>
      <w:r w:rsidR="00F83FA6" w:rsidRPr="00153006">
        <w:rPr>
          <w:rFonts w:asciiTheme="majorBidi" w:hAnsiTheme="majorBidi" w:cstheme="majorBidi"/>
        </w:rPr>
        <w:t>BMI</w:t>
      </w:r>
      <w:r w:rsidR="00AA4DCE" w:rsidRPr="00153006">
        <w:rPr>
          <w:rFonts w:asciiTheme="majorBidi" w:hAnsiTheme="majorBidi" w:cstheme="majorBidi"/>
        </w:rPr>
        <w:t>,</w:t>
      </w:r>
      <w:r w:rsidR="006C6A71" w:rsidRPr="00153006">
        <w:rPr>
          <w:rFonts w:asciiTheme="majorBidi" w:hAnsiTheme="majorBidi" w:cstheme="majorBidi"/>
        </w:rPr>
        <w:t xml:space="preserve"> and steatosis degrees</w:t>
      </w:r>
      <w:r w:rsidR="00F83FA6" w:rsidRPr="00153006">
        <w:rPr>
          <w:rFonts w:asciiTheme="majorBidi" w:hAnsiTheme="majorBidi" w:cstheme="majorBidi"/>
          <w:b/>
          <w:bCs/>
        </w:rPr>
        <w:t>.</w:t>
      </w:r>
      <w:r w:rsidR="00F83FA6" w:rsidRPr="00153006">
        <w:rPr>
          <w:rFonts w:asciiTheme="majorBidi" w:hAnsiTheme="majorBidi" w:cstheme="majorBidi"/>
        </w:rPr>
        <w:t xml:space="preserve"> Obesity is </w:t>
      </w:r>
      <w:r w:rsidR="00E07EBE" w:rsidRPr="00153006">
        <w:rPr>
          <w:rFonts w:asciiTheme="majorBidi" w:hAnsiTheme="majorBidi" w:cstheme="majorBidi"/>
        </w:rPr>
        <w:t xml:space="preserve">one of </w:t>
      </w:r>
      <w:r w:rsidR="00F83FA6" w:rsidRPr="00153006">
        <w:rPr>
          <w:rFonts w:asciiTheme="majorBidi" w:hAnsiTheme="majorBidi" w:cstheme="majorBidi"/>
        </w:rPr>
        <w:t xml:space="preserve">the </w:t>
      </w:r>
      <w:r w:rsidR="00E07EBE" w:rsidRPr="00153006">
        <w:rPr>
          <w:rFonts w:asciiTheme="majorBidi" w:hAnsiTheme="majorBidi" w:cstheme="majorBidi"/>
        </w:rPr>
        <w:t>main</w:t>
      </w:r>
      <w:r w:rsidR="00F83FA6" w:rsidRPr="00153006">
        <w:rPr>
          <w:rFonts w:asciiTheme="majorBidi" w:hAnsiTheme="majorBidi" w:cstheme="majorBidi"/>
        </w:rPr>
        <w:t xml:space="preserve"> risk factor</w:t>
      </w:r>
      <w:r w:rsidR="00715D61" w:rsidRPr="00153006">
        <w:rPr>
          <w:rFonts w:asciiTheme="majorBidi" w:hAnsiTheme="majorBidi" w:cstheme="majorBidi"/>
        </w:rPr>
        <w:t>s</w:t>
      </w:r>
      <w:r w:rsidR="00F83FA6" w:rsidRPr="00153006">
        <w:rPr>
          <w:rFonts w:asciiTheme="majorBidi" w:hAnsiTheme="majorBidi" w:cstheme="majorBidi"/>
        </w:rPr>
        <w:t xml:space="preserve"> for NAFLD</w:t>
      </w:r>
      <w:r w:rsidR="00E07EBE" w:rsidRPr="00153006">
        <w:rPr>
          <w:rFonts w:asciiTheme="majorBidi" w:hAnsiTheme="majorBidi" w:cstheme="majorBidi"/>
        </w:rPr>
        <w:t xml:space="preserve"> and CKD</w:t>
      </w:r>
      <w:r w:rsidR="00391099"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{"citationItems":[{"id":"ITEM-1","itemData":{"DOI":"10.2147/DMSO.S146339","ISSN":"11787007","PMID":"30288073","abstract":"Nonalcoholic fatty liver disease (NAFLD) is rapidly becoming the most common cause of chronic liver disease due to an increase in the prevalence of obesity. The development of NASH leads to an increase in morbidity and mortality. While the first line of treatment is lifestyle modifications, including dietary changes and increased physical activity, there are no approved pharmacological treatment agents for NAFLD and NASH currently. Due to its complex pathophysiology, different pathways are under investigation for drug development with the focus on metabolic pathways, inflammation, and slowing or reversing fibrosis. There are several agents advancing in clinical trials, and promising results have been seen with drugs that affect hepatic steatosis, inflammation, and fibrosis. This review will provide an overview on NAFLD and some of the mechanisms of disease that are being targeted with pharmacologic agents.","author":[{"dropping-particle":"","family":"Sarwar","given":"Raiya","non-dropping-particle":"","parse-names":false,"suffix":""},{"dropping-particle":"","family":"Pierce","given":"Nicholas","non-dropping-particle":"","parse-names":false,"suffix":""},{"dropping-particle":"","family":"Koppe","given":"Sean","non-dropping-particle":"","parse-names":false,"suffix":""}],"container-title":"Diabetes, Metabolic Syndrome and Obesity: Targets and Therapy","id":"ITEM-1","issued":{"date-parts":[["2018"]]},"page":"533","publisher":"Dove Press","title":"Obesity and nonalcoholic fatty liver disease: current perspectives","type":"article-journal","volume":"11"},"uris":["http://www.mendeley.com/documents/?uuid=09d46426-acf7-3b2c-946b-fcd5d7ec0295"]},{"id":"ITEM-2","itemData":{"DOI":"10.1177/2054358117698669","ISSN":"20543581","PMID":"28540059","abstract":"Obesity has become a worldwide epidemic, and its prevalence has been projected to grow by 40% in the next decade. This increasing prevalence has implications for the risk of diabetes, cardiovascular disease, and also for chronic kidney disease (CKD). A high body mass index is one of the strongest risk factors for new-onset CKD. In individuals affected by obesity, a compensatory hyperfiltration occurs to meet the heightened metabolic demands of the increased body weight. The increase in intraglomerular pressure can damage the kidneys and raise the risk of developing CKD in the long term. The incidence of obesity-related glomerulopathy has increased 10-fold in recent years. Obesity has also been shown to be a risk factor for nephrolithiasis, and for a number of malignancies including kidney cancer. This year the World Kidney Day promotes education on the harmful consequences of obesity and its association with kidney disease, advocating healthy lifestyle and health policy measures that make preventive behaviors an affordable option.","author":[{"dropping-particle":"","family":"Kovesdy","given":"Csaba P.","non-dropping-particle":"","parse-names":false,"suffix":""},{"dropping-particle":"","family":"Furth","given":"Susan L.","non-dropping-particle":"","parse-names":false,"suffix":""},{"dropping-particle":"","family":"Zoccali","given":"Carmine","non-dropping-particle":"","parse-names":false,"suffix":""}],"container-title":"Canadian Journal of Kidney Health and Disease","id":"ITEM-2","issued":{"date-parts":[["2017"]]},"title":"Obesity and Kidney Disease: Hidden Consequences of the Epidemic","type":"article-journal","volume":"4"},"uris":["http://www.mendeley.com/documents/?uuid=c591e206-1cf9-440c-980d-4c4b22489eb9"]}],"mendeley":{"formattedCitation":"(17,18)","plainTextFormattedCitation":"(17,18)","previouslyFormattedCitation":"[17, 18]"},"properties":{"noteIndex":0},"schema":"https://github.com/citation-style-language/schema/raw/master/csl-citation.json"}</w:instrText>
      </w:r>
      <w:r w:rsidR="00391099" w:rsidRPr="00153006">
        <w:rPr>
          <w:rFonts w:asciiTheme="majorBidi" w:hAnsiTheme="majorBidi" w:cstheme="majorBidi"/>
        </w:rPr>
        <w:fldChar w:fldCharType="separate"/>
      </w:r>
      <w:r w:rsidR="0063099F" w:rsidRPr="00153006">
        <w:rPr>
          <w:rFonts w:asciiTheme="majorBidi" w:hAnsiTheme="majorBidi" w:cstheme="majorBidi"/>
          <w:noProof/>
        </w:rPr>
        <w:t>(17,18)</w:t>
      </w:r>
      <w:r w:rsidR="00391099" w:rsidRPr="00153006">
        <w:rPr>
          <w:rFonts w:asciiTheme="majorBidi" w:hAnsiTheme="majorBidi" w:cstheme="majorBidi"/>
        </w:rPr>
        <w:fldChar w:fldCharType="end"/>
      </w:r>
      <w:r w:rsidR="00F83FA6" w:rsidRPr="00153006">
        <w:rPr>
          <w:rFonts w:asciiTheme="majorBidi" w:hAnsiTheme="majorBidi" w:cstheme="majorBidi"/>
        </w:rPr>
        <w:t xml:space="preserve">. </w:t>
      </w:r>
      <w:r w:rsidR="001A2B8A" w:rsidRPr="00153006">
        <w:rPr>
          <w:rFonts w:asciiTheme="majorBidi" w:hAnsiTheme="majorBidi" w:cstheme="majorBidi"/>
        </w:rPr>
        <w:t>Even in the absence of hypertension, obesity is linked to the development of proteinuria and pathologic signs of podocyte hypertrophy and focal segmental glomerular sclerosis</w:t>
      </w:r>
      <w:r w:rsidR="008312B3"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{"citationItems":[{"id":"ITEM-1","itemData":{"DOI":"10.1002/hep.29367","ISSN":"15273350","PMID":"28714183","abstract":"Preamble This guidance provides a data-supported approach to the diagnostic, therapeutic, and preventive aspects of nonalcoholic fatty liver disease (NAFLD) care. A \"Guidance\" document is different from a \"Guideline.\"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 ALT, alanine aminotransferase; APRI, AST to platelet ratio index; AST, aspartate aminotransferase; AUROC, area under the receiver operating curve; BMI, body mass index","author":[{"dropping-particle":"","family":"Chalasani","given":"Naga","non-dropping-particle":"","parse-names":false,"suffix":""},{"dropping-particle":"","family":"Younossi","given":"Zobair","non-dropping-particle":"","parse-names":false,"suffix":""},{"dropping-particle":"","family":"Lavine","given":"Joel E.","non-dropping-particle":"","parse-names":false,"suffix":""},{"dropping-particle":"","family":"Charlton","given":"Michael","non-dropping-particle":"","parse-names":false,"suffix":""},{"dropping-particle":"","family":"Cusi","given":"Kenneth","non-dropping-particle":"","parse-names":false,"suffix":""},{"dropping-particle":"","family":"Rinella","given":"Mary","non-dropping-particle":"","parse-names":false,"suffix":""},{"dropping-particle":"","family":"Harrison","given":"Stephen A.","non-dropping-particle":"","parse-names":false,"suffix":""},{"dropping-particle":"","family":"Brunt","given":"Elizabeth M.","non-dropping-particle":"","parse-names":false,"suffix":""},{"dropping-particle":"","family":"Sanyal","given":"Arun J.","non-dropping-particle":"","parse-names":false,"suffix":""}],"container-title":"Hepatology","id":"ITEM-1","issue":"1","issued":{"date-parts":[["2018","1","1"]]},"page":"328-357","publisher":"John Wiley and Sons Inc.","title":"The diagnosis and management of nonalcoholic fatty liver disease: Practice guidance from the American Association for the Study of Liver Diseases","type":"article-journal","volume":"67"},"uris":["http://www.mendeley.com/documents/?uuid=29dce743-176c-3bfc-a580-552d901d318c"]}],"mendeley":{"formattedCitation":"(19)","plainTextFormattedCitation":"(19)","previouslyFormattedCitation":"[19]"},"properties":{"noteIndex":0},"schema":"https://github.com/citation-style-language/schema/raw/master/csl-citation.json"}</w:instrText>
      </w:r>
      <w:r w:rsidR="008312B3" w:rsidRPr="00153006">
        <w:rPr>
          <w:rFonts w:asciiTheme="majorBidi" w:hAnsiTheme="majorBidi" w:cstheme="majorBidi"/>
        </w:rPr>
        <w:fldChar w:fldCharType="separate"/>
      </w:r>
      <w:r w:rsidR="0063099F" w:rsidRPr="00153006">
        <w:rPr>
          <w:rFonts w:asciiTheme="majorBidi" w:hAnsiTheme="majorBidi" w:cstheme="majorBidi"/>
          <w:noProof/>
        </w:rPr>
        <w:t>(19)</w:t>
      </w:r>
      <w:r w:rsidR="008312B3" w:rsidRPr="00153006">
        <w:rPr>
          <w:rFonts w:asciiTheme="majorBidi" w:hAnsiTheme="majorBidi" w:cstheme="majorBidi"/>
        </w:rPr>
        <w:fldChar w:fldCharType="end"/>
      </w:r>
      <w:r w:rsidR="00F83FA6" w:rsidRPr="00153006">
        <w:rPr>
          <w:rFonts w:asciiTheme="majorBidi" w:hAnsiTheme="majorBidi" w:cstheme="majorBidi"/>
        </w:rPr>
        <w:t xml:space="preserve">. </w:t>
      </w:r>
      <w:r w:rsidR="00715D61" w:rsidRPr="00153006">
        <w:rPr>
          <w:rFonts w:asciiTheme="majorBidi" w:hAnsiTheme="majorBidi" w:cstheme="majorBidi"/>
        </w:rPr>
        <w:t>T</w:t>
      </w:r>
      <w:r w:rsidR="00F83FA6" w:rsidRPr="00153006">
        <w:rPr>
          <w:rFonts w:asciiTheme="majorBidi" w:hAnsiTheme="majorBidi" w:cstheme="majorBidi"/>
        </w:rPr>
        <w:t>he estimated glomerular filtration rate and the age of the patients</w:t>
      </w:r>
      <w:r w:rsidR="00715D61" w:rsidRPr="00153006">
        <w:rPr>
          <w:rFonts w:asciiTheme="majorBidi" w:hAnsiTheme="majorBidi" w:cstheme="majorBidi"/>
        </w:rPr>
        <w:t xml:space="preserve"> had </w:t>
      </w:r>
      <w:r w:rsidR="00253991" w:rsidRPr="00153006">
        <w:rPr>
          <w:rFonts w:asciiTheme="majorBidi" w:hAnsiTheme="majorBidi" w:cstheme="majorBidi"/>
        </w:rPr>
        <w:t xml:space="preserve">a </w:t>
      </w:r>
      <w:r w:rsidR="00715D61" w:rsidRPr="00153006">
        <w:rPr>
          <w:rFonts w:asciiTheme="majorBidi" w:hAnsiTheme="majorBidi" w:cstheme="majorBidi"/>
        </w:rPr>
        <w:t>significant negative correlation</w:t>
      </w:r>
      <w:r w:rsidR="00F83FA6" w:rsidRPr="00153006">
        <w:rPr>
          <w:rFonts w:asciiTheme="majorBidi" w:hAnsiTheme="majorBidi" w:cstheme="majorBidi"/>
          <w:b/>
          <w:bCs/>
        </w:rPr>
        <w:t xml:space="preserve">. </w:t>
      </w:r>
      <w:r w:rsidR="003E62F3" w:rsidRPr="00153006">
        <w:rPr>
          <w:rFonts w:asciiTheme="majorBidi" w:hAnsiTheme="majorBidi" w:cstheme="majorBidi"/>
        </w:rPr>
        <w:t>On the other hand, t</w:t>
      </w:r>
      <w:r w:rsidR="00F83FA6" w:rsidRPr="00153006">
        <w:rPr>
          <w:rFonts w:asciiTheme="majorBidi" w:hAnsiTheme="majorBidi" w:cstheme="majorBidi"/>
        </w:rPr>
        <w:t>he estimated glomerular filtration rate and AST level</w:t>
      </w:r>
      <w:r w:rsidR="00715D61" w:rsidRPr="00153006">
        <w:rPr>
          <w:rFonts w:asciiTheme="majorBidi" w:hAnsiTheme="majorBidi" w:cstheme="majorBidi"/>
        </w:rPr>
        <w:t xml:space="preserve"> had </w:t>
      </w:r>
      <w:r w:rsidR="00253991" w:rsidRPr="00153006">
        <w:rPr>
          <w:rFonts w:asciiTheme="majorBidi" w:hAnsiTheme="majorBidi" w:cstheme="majorBidi"/>
        </w:rPr>
        <w:t xml:space="preserve">a </w:t>
      </w:r>
      <w:r w:rsidR="00715D61" w:rsidRPr="00153006">
        <w:rPr>
          <w:rFonts w:asciiTheme="majorBidi" w:hAnsiTheme="majorBidi" w:cstheme="majorBidi"/>
        </w:rPr>
        <w:t>significant positive correlation</w:t>
      </w:r>
      <w:r w:rsidR="00F83FA6" w:rsidRPr="00153006">
        <w:rPr>
          <w:rFonts w:asciiTheme="majorBidi" w:hAnsiTheme="majorBidi" w:cstheme="majorBidi"/>
        </w:rPr>
        <w:t>.</w:t>
      </w:r>
      <w:r w:rsidR="00DB133F">
        <w:rPr>
          <w:rFonts w:asciiTheme="majorBidi" w:hAnsiTheme="majorBidi" w:cstheme="majorBidi"/>
        </w:rPr>
        <w:t xml:space="preserve"> </w:t>
      </w:r>
      <w:r w:rsidR="00C72D5D" w:rsidRPr="00153006">
        <w:rPr>
          <w:rFonts w:asciiTheme="majorBidi" w:hAnsiTheme="majorBidi" w:cstheme="majorBidi"/>
        </w:rPr>
        <w:t>The current</w:t>
      </w:r>
      <w:r w:rsidR="003C2A5B" w:rsidRPr="00153006">
        <w:rPr>
          <w:rFonts w:asciiTheme="majorBidi" w:hAnsiTheme="majorBidi" w:cstheme="majorBidi"/>
        </w:rPr>
        <w:t xml:space="preserve"> findings support those of a recent</w:t>
      </w:r>
      <w:r w:rsidR="00620947" w:rsidRPr="00153006">
        <w:rPr>
          <w:rFonts w:asciiTheme="majorBidi" w:hAnsiTheme="majorBidi" w:cstheme="majorBidi"/>
        </w:rPr>
        <w:t xml:space="preserve"> </w:t>
      </w:r>
      <w:r w:rsidR="00715D61" w:rsidRPr="00153006">
        <w:rPr>
          <w:rFonts w:asciiTheme="majorBidi" w:hAnsiTheme="majorBidi" w:cstheme="majorBidi"/>
        </w:rPr>
        <w:t xml:space="preserve">Asian </w:t>
      </w:r>
      <w:r w:rsidR="003C2A5B" w:rsidRPr="00153006">
        <w:rPr>
          <w:rFonts w:asciiTheme="majorBidi" w:hAnsiTheme="majorBidi" w:cstheme="majorBidi"/>
        </w:rPr>
        <w:t>cohort study which found that NAFLD was linked to a nearly 40% increased risk of CKD</w:t>
      </w:r>
      <w:r w:rsidR="00D75A2C" w:rsidRPr="00153006">
        <w:rPr>
          <w:rFonts w:asciiTheme="majorBidi" w:hAnsiTheme="majorBidi" w:cstheme="majorBidi"/>
        </w:rPr>
        <w:fldChar w:fldCharType="begin" w:fldLock="1"/>
      </w:r>
      <w:r w:rsidR="0063099F" w:rsidRPr="00153006">
        <w:rPr>
          <w:rFonts w:asciiTheme="majorBidi" w:hAnsiTheme="majorBidi" w:cstheme="majorBidi"/>
        </w:rPr>
        <w:instrText xml:space="preserve">ADDIN CSL_CITATION {"citationItems":[{"id":"ITEM-1","itemData":{"DOI":"10.1016/J.JHEP.2017.08.024","ISSN":"0168-8278","PMID":"28870674","abstract":"&lt;h3&gt;Background &amp; Aims&lt;/h3&gt;&lt;p&gt;Non-alcoholic fatty liver disease (NAFLD) has been associated with chronic kidney disease (CKD), but cohort studies are limited. We investigated the longitudinal association of NAFLD and its severity with the development of CKD.&lt;/p&gt;&lt;h3&gt;Methods&lt;/h3&gt;&lt;p&gt;We performed a retrospective cohort study of 41,430 adult men and women (average age, 48.9y) without CKD at baseline who underwent repeated health check-up examinations from January 1, 2003, through December 31, 2013. NAFLD status was assessed by ultrasonography, and NAFLD severity was assessed by the NAFLD fibrosis score (NFS).&lt;/p&gt;&lt;h3&gt;Results&lt;/h3&gt;&lt;p&gt;The outcome was an incident CKD, defined as an estimated glomerular filtration rate less than 60ml/min/1.73m&lt;sup&gt;2&lt;/sup&gt;. During 200,790 person-years of follow-up (median follow-up of 4.15years), we identified 691 incident CKD cases. The multivariable-adjusted hazard ratio for CKD comparing participants with and without NAFLD was 1.22 (95% confidence interval [CI] 1.04–1.43). The risk of CKD increased progressively with increased NAFLD severity. The multivariable-adjusted hazard ratios for CKD comparing participants with NFS &lt;−1.455 and those with NFS </w:instrText>
      </w:r>
      <w:r w:rsidR="0063099F" w:rsidRPr="00153006">
        <w:rPr>
          <w:rFonts w:asciiTheme="majorBidi" w:hAnsiTheme="majorBidi" w:cstheme="majorBidi" w:hint="eastAsia"/>
        </w:rPr>
        <w:instrText>≥</w:instrText>
      </w:r>
      <w:r w:rsidR="0063099F" w:rsidRPr="00153006">
        <w:rPr>
          <w:rFonts w:asciiTheme="majorBidi" w:hAnsiTheme="majorBidi" w:cstheme="majorBidi"/>
        </w:rPr>
        <w:instrText>−1.455 to participants without NAFLD were 1.09 (95% CI 0.91–1.32) and 1.58 (95% CI 1.30–1.92), respectively. The association was consistent across clinically relevant subgroups.&lt;/p&gt;&lt;h3&gt;Conclusion&lt;/h3&gt;&lt;p&gt;In a large cohort of adult men and women without CKD, NAFLD was associated with an increased risk of CKD development. NAFLD may adversely affect renal function and patients may need to be carefully monitored for an increased risk of CKD.&lt;/p&gt;&lt;h3&gt;Lay summary&lt;/h3&gt;&lt;p&gt;The presence of fatty liver is associated with the future decline of renal function. Thus, fatty liver patients need to be monitored regularly for renal function.&lt;/p&gt;","author":[{"dropping-particle":"","family":"Sinn","given":"Dong Hyun","non-dropping-particle":"","parse-names":false,"suffix":""},{"dropping-particle":"","family":"Kang","given":"Danbee","non-dropping-particle":"","parse-names":false,"suffix":""},{"dropping-particle":"","family":"Jang","given":"Hye Ryoun","non-dropping-particle":"","parse-names":false,"suffix":""},{"dropping-particle":"","family":"Gu","given":"Seonhye","non-dropping-particle":"","parse-names":false,"suffix":""},{"dropping-particle":"","family":"Cho","given":"Soo Jin","non-dropping-particle":"","parse-names":false,"suffix":""},{"dropping-particle":"","family":"Paik","given":"Seung Woon","non-dropping-particle":"","parse-names":false,"suffix":""},{"dropping-particle":"","family":"Ryu","given":"Seungho","non-dropping-particle":"","parse-names":false,"suffix":""},{"dropping-particle":"","family":"Chang","given":"Yoosoo","non-dropping-particle":"","parse-names":false,"suffix":""},{"dropping-particle":"","family":"Lazo","given":"Mariana","non-dropping-particle":"","parse-names":false,"suffix":""},{"dropping-particle":"","family":"Guallar","given":"Eliseo","non-dropping-particle":"","parse-names":false,"suffix":""},{"dropping-particle":"","family":"Cho","given":"Juhee","non-dropping-particle":"","parse-names":false,"suffix":""},{"dropping-particle":"","family":"Gwak","given":"Geum Youn","non-dropping-particle":"","parse-names":false,"suffix":""}],"container-title":"Journal of Hepatology","id":"ITEM-1","issue":"6","issued":{"date-parts":[["2017","12","1"]]},"page":"1274-1280","publisher":"Elsevier","title":"Development of chronic kidney disease in patients with non-alcoholic fatty liver disease: A cohort study","type":"article-journal","volume":"67"},"uris":["http://www.mendeley.com/documents/?uuid=3bd9fbba-a0e5-3980-93cd-cb46f5c5a088"]}],"mendeley":{"formattedCitation":"(20)","plainTextFormattedCitation":"(20)","previouslyFormattedCitation":"[20]"},"properties":{"noteIndex":0},"schema":"https://github.com/citation-style-language/schema/raw/master/csl-citation.json"}</w:instrText>
      </w:r>
      <w:r w:rsidR="00D75A2C" w:rsidRPr="00153006">
        <w:rPr>
          <w:rFonts w:asciiTheme="majorBidi" w:hAnsiTheme="majorBidi" w:cstheme="majorBidi"/>
        </w:rPr>
        <w:fldChar w:fldCharType="separate"/>
      </w:r>
      <w:r w:rsidR="0063099F" w:rsidRPr="00153006">
        <w:rPr>
          <w:rFonts w:asciiTheme="majorBidi" w:hAnsiTheme="majorBidi" w:cstheme="majorBidi"/>
          <w:noProof/>
        </w:rPr>
        <w:t>(20)</w:t>
      </w:r>
      <w:r w:rsidR="00D75A2C" w:rsidRPr="00153006">
        <w:rPr>
          <w:rFonts w:asciiTheme="majorBidi" w:hAnsiTheme="majorBidi" w:cstheme="majorBidi"/>
        </w:rPr>
        <w:fldChar w:fldCharType="end"/>
      </w:r>
      <w:r w:rsidR="00F83FA6" w:rsidRPr="00153006">
        <w:rPr>
          <w:rFonts w:asciiTheme="majorBidi" w:hAnsiTheme="majorBidi" w:cstheme="majorBidi"/>
        </w:rPr>
        <w:t xml:space="preserve">. </w:t>
      </w:r>
      <w:r w:rsidR="003E62F3" w:rsidRPr="00153006">
        <w:rPr>
          <w:rFonts w:asciiTheme="majorBidi" w:hAnsiTheme="majorBidi" w:cstheme="majorBidi"/>
        </w:rPr>
        <w:t>In addition, t</w:t>
      </w:r>
      <w:r w:rsidR="00620947" w:rsidRPr="00153006">
        <w:rPr>
          <w:rFonts w:asciiTheme="majorBidi" w:hAnsiTheme="majorBidi" w:cstheme="majorBidi"/>
        </w:rPr>
        <w:t>he authors discovered that the risk of CKD rose as the degree of NAFLD severity grew</w:t>
      </w:r>
      <w:r w:rsidR="00F83FA6" w:rsidRPr="00153006">
        <w:rPr>
          <w:rFonts w:asciiTheme="majorBidi" w:hAnsiTheme="majorBidi" w:cstheme="majorBidi"/>
        </w:rPr>
        <w:t xml:space="preserve">, as </w:t>
      </w:r>
      <w:r w:rsidR="00620947" w:rsidRPr="00153006">
        <w:rPr>
          <w:rFonts w:asciiTheme="majorBidi" w:hAnsiTheme="majorBidi" w:cstheme="majorBidi"/>
        </w:rPr>
        <w:t>shown</w:t>
      </w:r>
      <w:r w:rsidR="00F83FA6" w:rsidRPr="00153006">
        <w:rPr>
          <w:rFonts w:asciiTheme="majorBidi" w:hAnsiTheme="majorBidi" w:cstheme="majorBidi"/>
        </w:rPr>
        <w:t xml:space="preserve"> by a significant positive correlation between albumin creatinine ratio and steatosis degree, BMI</w:t>
      </w:r>
      <w:r w:rsidR="00AA4DCE" w:rsidRPr="00153006">
        <w:rPr>
          <w:rFonts w:asciiTheme="majorBidi" w:hAnsiTheme="majorBidi" w:cstheme="majorBidi"/>
        </w:rPr>
        <w:t>,</w:t>
      </w:r>
      <w:r w:rsidR="00F83FA6" w:rsidRPr="00153006">
        <w:rPr>
          <w:rFonts w:asciiTheme="majorBidi" w:hAnsiTheme="majorBidi" w:cstheme="majorBidi"/>
        </w:rPr>
        <w:t xml:space="preserve"> and subcutaneous fat thickness. Also, the risk increases with age and increases AST enzyme.</w:t>
      </w:r>
    </w:p>
    <w:p w14:paraId="25AD6E94" w14:textId="0B6BF4A8" w:rsidR="00F83FA6" w:rsidRPr="00153006" w:rsidRDefault="003C2A5B" w:rsidP="004D799D">
      <w:pPr>
        <w:jc w:val="both"/>
        <w:rPr>
          <w:rFonts w:asciiTheme="majorBidi" w:hAnsiTheme="majorBidi" w:cstheme="majorBidi"/>
        </w:rPr>
      </w:pPr>
      <w:r w:rsidRPr="00153006">
        <w:rPr>
          <w:rFonts w:asciiTheme="majorBidi" w:hAnsiTheme="majorBidi" w:cstheme="majorBidi"/>
        </w:rPr>
        <w:t>Though various possible explanations have been proposed, the pathophysiologic mechanisms associat</w:t>
      </w:r>
      <w:r w:rsidR="00AA4DCE" w:rsidRPr="00153006">
        <w:rPr>
          <w:rFonts w:asciiTheme="majorBidi" w:hAnsiTheme="majorBidi" w:cstheme="majorBidi"/>
        </w:rPr>
        <w:t>ed</w:t>
      </w:r>
      <w:r w:rsidRPr="00153006">
        <w:rPr>
          <w:rFonts w:asciiTheme="majorBidi" w:hAnsiTheme="majorBidi" w:cstheme="majorBidi"/>
        </w:rPr>
        <w:t xml:space="preserve"> </w:t>
      </w:r>
      <w:r w:rsidR="00AA4DCE" w:rsidRPr="00153006">
        <w:rPr>
          <w:rFonts w:asciiTheme="majorBidi" w:hAnsiTheme="majorBidi" w:cstheme="majorBidi"/>
        </w:rPr>
        <w:t xml:space="preserve">with </w:t>
      </w:r>
      <w:r w:rsidRPr="00153006">
        <w:rPr>
          <w:rFonts w:asciiTheme="majorBidi" w:hAnsiTheme="majorBidi" w:cstheme="majorBidi"/>
        </w:rPr>
        <w:t>NAFLD and CKD are yet unknown</w:t>
      </w:r>
      <w:r w:rsidR="00E4179C"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{"citationItems":[{"id":"ITEM-1","itemData":{"DOI":"10.1016/S0140-6736(09)62004-3","ISSN":"0140-6736","PMID":"20382326","abstract":"&lt;h2&gt;Summary&lt;/h2&gt;&lt;p&gt;Chronic kidney disease is a common disorder and its prevalence is increasing worldwide. Early diagnosis on the basis of presence of proteinuria or reduced estimated glomerular filtration rate could permit early intervention to reduce the risks of cardiovascular events, kidney failure, and death that are associated with chronic kidney disease. In developed countries, screening for the disorder is most efficient when targeted at high-risk groups including elderly people and those with concomitant illness (such as diabetes, hypertension, or cardiovascular disease) or a family history of chronic kidney disease, although the role of screening in developing countries is not yet clear. Effective strategies are available to slow the progression of chronic kidney disease and reduce cardiovascular risk. Treatment of high blood pressure is recommended for all individuals with, or at risk of, chronic kidney disease. Use of angiotensin-converting-enzyme inhibitors or angiotensin-receptor blockers is preferred for patients with diabetic chronic kidney disease or those with the proteinuric non-diabetic disorder. Glycaemic control can help prevent the onset of early stages of chronic kidney disease in individuals with diabetes. Use of statins and aspirin is beneficial for most patients with chronic kidney disease who are at high cardiovascular risk, although research is needed to ascertain how to best prevent cardiovascular disease in this cohort. Models of care that facilitate delivery of the many complex aspects of treatment simultaneously could enhance management, although effects on clinical outcomes need further assessment. Novel clinical methods to better identify patients at risk of progression to later stages of chronic kidney disease, including kidney failure, are needed to target management to high-risk subgroups.&lt;/p&gt;","author":[{"dropping-particle":"","family":"James","given":"Matthew T.","non-dropping-particle":"","parse-names":false,"suffix":""},{"dropping-particle":"","family":"Hemmelgarn","given":"Brenda R.","non-dropping-particle":"","parse-names":false,"suffix":""},{"dropping-particle":"","family":"Tonelli","given":"Marcello","non-dropping-particle":"","parse-names":false,"suffix":""}],"container-title":"The Lancet","id":"ITEM-1","issue":"9722","issued":{"date-parts":[["2010","4","10"]]},"page":"1296-1309","publisher":"Elsevier","title":"Early recognition and prevention of chronic kidney disease","type":"article-journal","volume":"375"},"uris":["http://www.mendeley.com/documents/?uuid=6c1f3592-f1bb-3d3a-9a92-63672cf09750"]},{"id":"ITEM-2","itemData":{"DOI":"10.1159/000282087","ISSN":"02572753","PMID":"20460912","abstract":"The pathogenesis of type 2 diabetes involves both insulin resistance and defects in insulin secretion. Although obesity and physical inactivity have precipitated the epidemic of type 2 diabetes, the metabolic abnormalities associated with a sedentary lifestyle are better predictors of type 2 diabetes and cardiovascular disease than obesity alone. Some of these metabolic abnormalities, which are either causes or consequences of insulin resistance, have been called the metabolic syndrome. Fat accumulation in the liver due to non-alcoholic causes (non-alcoholic fatty liver disease) has also been shown to be an obesity-independent predictor of type 2 diabetes in multiple prospective studies. Since the liver is a key site of action of insulin, it seems reasonable to postulate that subjects who deposit excessive amounts of fat in the liver are those who also are at risk of developing the metabolic syndrome. Mechanistic studies support this hypothesis. Once fatty, the liver is resistant to the actions of insulin to inhibit both production of glucose and very-low-density lipoprotein, which results in mild hyperglycemia, compensatory hyperinsulinemia and hypertriglyceridemia. The latter leads to lowering of high-density lipoprotein cholesterol and formation of atherogenic small dense low-density lipoprotein particles. These data suggest that the metabolic syndrome and non-alcoholic fatty liver disease are essentially two definitions of the same problem. In subjects who cannot sustain hyperinsulinemia to maintain glucose concentrations in the nondiabetic range, overt hyperglycemia, i.e. type 2 diabetes, develops. Copyright © 2010 S. Karger AG, Basel.","author":[{"dropping-particle":"","family":"Yki-Järvinen","given":"Hannele","non-dropping-particle":"","parse-names":false,"suffix":""}],"container-title":"Digestive Diseases","id":"ITEM-2","issue":"1","issued":{"date-parts":[["2010","5"]]},"page":"203-209","publisher":"Karger Publishers","title":"Liver fat in the pathogenesis of insulin resistance and type 2 diabetes","type":"article","volume":"28"},"uris":["http://www.mendeley.com/documents/?uuid=b0ef676f-2c89-3829-af51-17bcefcdd94f"]}],"mendeley":{"formattedCitation":"(21,22)","plainTextFormattedCitation":"(21,22)","previouslyFormattedCitation":"[21, 22]"},"properties":{"noteIndex":0},"schema":"https://github.com/citation-style-language/schema/raw/master/csl-citation.json"}</w:instrText>
      </w:r>
      <w:r w:rsidR="00E4179C" w:rsidRPr="00153006">
        <w:rPr>
          <w:rFonts w:asciiTheme="majorBidi" w:hAnsiTheme="majorBidi" w:cstheme="majorBidi"/>
        </w:rPr>
        <w:fldChar w:fldCharType="separate"/>
      </w:r>
      <w:r w:rsidR="0063099F" w:rsidRPr="00153006">
        <w:rPr>
          <w:rFonts w:asciiTheme="majorBidi" w:hAnsiTheme="majorBidi" w:cstheme="majorBidi"/>
          <w:noProof/>
        </w:rPr>
        <w:t>(21,22)</w:t>
      </w:r>
      <w:r w:rsidR="00E4179C" w:rsidRPr="00153006">
        <w:rPr>
          <w:rFonts w:asciiTheme="majorBidi" w:hAnsiTheme="majorBidi" w:cstheme="majorBidi"/>
        </w:rPr>
        <w:fldChar w:fldCharType="end"/>
      </w:r>
      <w:r w:rsidR="00E4179C" w:rsidRPr="00153006">
        <w:rPr>
          <w:rFonts w:asciiTheme="majorBidi" w:hAnsiTheme="majorBidi" w:cstheme="majorBidi"/>
        </w:rPr>
        <w:t>.</w:t>
      </w:r>
      <w:r w:rsidR="00F83FA6" w:rsidRPr="00153006">
        <w:rPr>
          <w:rFonts w:asciiTheme="majorBidi" w:hAnsiTheme="majorBidi" w:cstheme="majorBidi"/>
        </w:rPr>
        <w:t xml:space="preserve"> </w:t>
      </w:r>
      <w:r w:rsidR="0015062B">
        <w:rPr>
          <w:rFonts w:asciiTheme="majorBidi" w:hAnsiTheme="majorBidi" w:cstheme="majorBidi"/>
        </w:rPr>
        <w:t>R</w:t>
      </w:r>
      <w:r w:rsidRPr="00153006">
        <w:rPr>
          <w:rFonts w:asciiTheme="majorBidi" w:hAnsiTheme="majorBidi" w:cstheme="majorBidi"/>
        </w:rPr>
        <w:t>esearchers supposed</w:t>
      </w:r>
      <w:r w:rsidR="00F83FA6" w:rsidRPr="00153006">
        <w:rPr>
          <w:rFonts w:asciiTheme="majorBidi" w:hAnsiTheme="majorBidi" w:cstheme="majorBidi"/>
        </w:rPr>
        <w:t xml:space="preserve"> that NAFLD m</w:t>
      </w:r>
      <w:r w:rsidR="003E62F3" w:rsidRPr="00153006">
        <w:rPr>
          <w:rFonts w:asciiTheme="majorBidi" w:hAnsiTheme="majorBidi" w:cstheme="majorBidi"/>
        </w:rPr>
        <w:t>ight</w:t>
      </w:r>
      <w:r w:rsidR="00F83FA6" w:rsidRPr="00153006">
        <w:rPr>
          <w:rFonts w:asciiTheme="majorBidi" w:hAnsiTheme="majorBidi" w:cstheme="majorBidi"/>
        </w:rPr>
        <w:t xml:space="preserve"> </w:t>
      </w:r>
      <w:r w:rsidR="006D2626" w:rsidRPr="00153006">
        <w:rPr>
          <w:rFonts w:asciiTheme="majorBidi" w:hAnsiTheme="majorBidi" w:cstheme="majorBidi"/>
        </w:rPr>
        <w:t>increase</w:t>
      </w:r>
      <w:r w:rsidR="00F83FA6" w:rsidRPr="00153006">
        <w:rPr>
          <w:rFonts w:asciiTheme="majorBidi" w:hAnsiTheme="majorBidi" w:cstheme="majorBidi"/>
        </w:rPr>
        <w:t xml:space="preserve"> insulin resistance, </w:t>
      </w:r>
      <w:r w:rsidR="006D2626" w:rsidRPr="00153006">
        <w:rPr>
          <w:rFonts w:asciiTheme="majorBidi" w:hAnsiTheme="majorBidi" w:cstheme="majorBidi"/>
        </w:rPr>
        <w:t xml:space="preserve">leading to </w:t>
      </w:r>
      <w:r w:rsidR="00F83FA6" w:rsidRPr="00153006">
        <w:rPr>
          <w:rFonts w:asciiTheme="majorBidi" w:hAnsiTheme="majorBidi" w:cstheme="majorBidi"/>
        </w:rPr>
        <w:t xml:space="preserve">dyslipidemia and </w:t>
      </w:r>
      <w:r w:rsidR="006D2626" w:rsidRPr="00153006">
        <w:rPr>
          <w:rFonts w:asciiTheme="majorBidi" w:hAnsiTheme="majorBidi" w:cstheme="majorBidi"/>
        </w:rPr>
        <w:t xml:space="preserve">the release of </w:t>
      </w:r>
      <w:r w:rsidR="003E62F3" w:rsidRPr="00153006">
        <w:rPr>
          <w:rFonts w:asciiTheme="majorBidi" w:hAnsiTheme="majorBidi" w:cstheme="majorBidi"/>
        </w:rPr>
        <w:t>specific</w:t>
      </w:r>
      <w:r w:rsidR="006D2626" w:rsidRPr="00153006">
        <w:rPr>
          <w:rFonts w:asciiTheme="majorBidi" w:hAnsiTheme="majorBidi" w:cstheme="majorBidi"/>
        </w:rPr>
        <w:t xml:space="preserve"> </w:t>
      </w:r>
      <w:r w:rsidR="00F83FA6" w:rsidRPr="00153006">
        <w:rPr>
          <w:rFonts w:asciiTheme="majorBidi" w:hAnsiTheme="majorBidi" w:cstheme="majorBidi"/>
        </w:rPr>
        <w:t>pro-inflammatory, pro-oxidant, and pro-</w:t>
      </w:r>
      <w:proofErr w:type="spellStart"/>
      <w:r w:rsidR="00F83FA6" w:rsidRPr="00153006">
        <w:rPr>
          <w:rFonts w:asciiTheme="majorBidi" w:hAnsiTheme="majorBidi" w:cstheme="majorBidi"/>
        </w:rPr>
        <w:t>fibrogenic</w:t>
      </w:r>
      <w:proofErr w:type="spellEnd"/>
      <w:r w:rsidR="00F83FA6" w:rsidRPr="00153006">
        <w:rPr>
          <w:rFonts w:asciiTheme="majorBidi" w:hAnsiTheme="majorBidi" w:cstheme="majorBidi"/>
        </w:rPr>
        <w:t xml:space="preserve"> mediators </w:t>
      </w:r>
      <w:r w:rsidR="006D2626" w:rsidRPr="00153006">
        <w:rPr>
          <w:rFonts w:asciiTheme="majorBidi" w:hAnsiTheme="majorBidi" w:cstheme="majorBidi"/>
        </w:rPr>
        <w:t>contributing to the occur</w:t>
      </w:r>
      <w:r w:rsidR="00AA4DCE" w:rsidRPr="00153006">
        <w:rPr>
          <w:rFonts w:asciiTheme="majorBidi" w:hAnsiTheme="majorBidi" w:cstheme="majorBidi"/>
        </w:rPr>
        <w:t>re</w:t>
      </w:r>
      <w:r w:rsidR="006D2626" w:rsidRPr="00153006">
        <w:rPr>
          <w:rFonts w:asciiTheme="majorBidi" w:hAnsiTheme="majorBidi" w:cstheme="majorBidi"/>
        </w:rPr>
        <w:t>nce</w:t>
      </w:r>
      <w:r w:rsidR="00C7452E" w:rsidRPr="00153006">
        <w:rPr>
          <w:rFonts w:asciiTheme="majorBidi" w:hAnsiTheme="majorBidi" w:cstheme="majorBidi"/>
        </w:rPr>
        <w:t xml:space="preserve"> </w:t>
      </w:r>
      <w:r w:rsidR="006D2626" w:rsidRPr="00153006">
        <w:rPr>
          <w:rFonts w:asciiTheme="majorBidi" w:hAnsiTheme="majorBidi" w:cstheme="majorBidi"/>
        </w:rPr>
        <w:t>a</w:t>
      </w:r>
      <w:r w:rsidR="00F83FA6" w:rsidRPr="00153006">
        <w:rPr>
          <w:rFonts w:asciiTheme="majorBidi" w:hAnsiTheme="majorBidi" w:cstheme="majorBidi"/>
        </w:rPr>
        <w:t>nd progression of CKD</w:t>
      </w:r>
      <w:r w:rsidR="00F07789"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{"citationItems":[{"id":"ITEM-1","itemData":{"DOI":"10.1016/j.biochi.2013.07.017","ISSN":"03009084","PMID":"23896376","abstract":"Ectopic lipid accumulation is now known to be a mechanism that contributes to organ injury in the context of metabolic diseases. In muscle and liver, accumulation of lipids impairs insulin signaling. This hypothesis accounts for the mechanism of insulin resistance in obesity, type 2 diabetes, aging and lipodystrophy. Increasing data suggest that lipid accumulation in the kidneys could also contribute to the alteration of kidney function in the context of metabolic syndrome and obesity. Furthermore and more unexpectedly, animal models of kidney disease exhibit a decreased adiposity and ectopic lipid redistribution suggesting that kidney disease may be a state of lipodystrophy. However, whether this abnormal lipid partitioning during chronic kidney disease (CKD) may have any functional impact in these tissues needs to be investigated. Here, we provide a perspective by defining the problem and analyzing the possible causes and consequences. Further human studies are required to strengthen these observations, and provide novel therapeutic approaches. © 2013 Elsevier Masson SAS. All rights reserved.","author":[{"dropping-particle":"","family":"Guebre-Egziabher","given":"Fitsum","non-dropping-particle":"","parse-names":false,"suffix":""},{"dropping-particle":"","family":"Alix","given":"Pascaline M.","non-dropping-particle":"","parse-names":false,"suffix":""},{"dropping-particle":"","family":"Koppe","given":"Laetitia","non-dropping-particle":"","parse-names":false,"suffix":""},{"dropping-particle":"","family":"Pelletier","given":"Caroline C.","non-dropping-particle":"","parse-names":false,"suffix":""},{"dropping-particle":"","family":"Kalbacher","given":"Emilie","non-dropping-particle":"","parse-names":false,"suffix":""},{"dropping-particle":"","family":"Fouque","given":"Denis","non-dropping-particle":"","parse-names":false,"suffix":""},{"dropping-particle":"","family":"Soulage","given":"Christophe O.","non-dropping-particle":"","parse-names":false,"suffix":""}],"container-title":"Biochimie","id":"ITEM-1","issue":"11","issued":{"date-parts":[["2013","11","1"]]},"page":"1971-1979","publisher":"Elsevier","title":"Ectopic lipid accumulation: A potential cause for metabolic disturbances and a contributor to the alteration of kidney function","type":"article","volume":"95"},"uris":["http://www.mendeley.com/documents/?uuid=8ea3ab19-a9d5-3367-a8e9-d8b0474907e2"]},{"id":"ITEM-2","itemData":{"DOI":"10.1038/nrneph.2017.16","ISSN":"1759-507X","PMID":"28218263","abstract":"Non-alcoholic fatty liver disease (NAFLD) not only affects the liver, but can also increase the risk of developing extra-hepatic diseases, including type 2 diabetes mellitus, cardiovascular disease and chronic kidney disease (CKD). Here, Targher and Byrne discuss the epidemiologic and mechanistic evidence of a pathogenic link between NAFLD and CKD. Non-alcoholic fatty liver disease (NAFLD) is caused by an accumulation of fat in the liver; the condition can progress over time to increase the risk of developing cirrhosis, end-stage liver disease and hepatocellular carcinoma. The prevalence of NAFLD is increasing rapidly owing to the global epidemics of obesity and type 2 diabetes mellitus (T2DM), and NAFLD has been predicted to become the most important indication for liver transplantation over the next decade. It is now increasingly clear that NAFLD not only affects the liver but can also increase the risk of developing extra-hepatic diseases, including T2DM, cardiovascular disease and chronic kidney disease (CKD), which have a considerable impact on health-care resources. Accumulating evidence indicates that NAFLD exacerbates insulin resistance, predisposes to atherogenic dyslipidaemia and releases a variety of proinflammatory factors, prothrombotic factors and profibrogenic molecules that can promote vascular and renal damage. Furthermore, communication or 'crosstalk' between affected organs or tissues in these diseases has the potential to further harm function and worsen patient outcomes, and increasing amounts of evidence point to a strong association between NAFLD and CKD. Whether a causal relationship between NAFLD and CKD exists remains to be definitively established.","author":[{"dropping-particle":"","family":"Targher","given":"Giovanni","non-dropping-particle":"","parse-names":false,"suffix":""},{"dropping-particle":"","family":"Byrne","given":"Christopher D.","non-dropping-particle":"","parse-names":false,"suffix":""}],"container-title":"Nature Reviews Nephrology 2017 13:5","id":"ITEM-2","issue":"5","issued":{"date-parts":[["2017","2","20"]]},"page":"297-310","publisher":"Nature Publishing Group","title":"Non-alcoholic fatty liver disease: an emerging driving force in chronic kidney disease","type":"article-journal","volume":"13"},"uris":["http://www.mendeley.com/documents/?uuid=b1aab126-c9c4-31cc-96a7-5f37f3ab8f39"]}],"mendeley":{"formattedCitation":"(23,24)","plainTextFormattedCitation":"(23,24)","previouslyFormattedCitation":"[23, 24]"},"properties":{"noteIndex":0},"schema":"https://github.com/citation-style-language/schema/raw/master/csl-citation.json"}</w:instrText>
      </w:r>
      <w:r w:rsidR="00F07789" w:rsidRPr="00153006">
        <w:rPr>
          <w:rFonts w:asciiTheme="majorBidi" w:hAnsiTheme="majorBidi" w:cstheme="majorBidi"/>
        </w:rPr>
        <w:fldChar w:fldCharType="separate"/>
      </w:r>
      <w:r w:rsidR="0063099F" w:rsidRPr="00153006">
        <w:rPr>
          <w:rFonts w:asciiTheme="majorBidi" w:hAnsiTheme="majorBidi" w:cstheme="majorBidi"/>
          <w:noProof/>
        </w:rPr>
        <w:t>(23,24)</w:t>
      </w:r>
      <w:r w:rsidR="00F07789" w:rsidRPr="00153006">
        <w:rPr>
          <w:rFonts w:asciiTheme="majorBidi" w:hAnsiTheme="majorBidi" w:cstheme="majorBidi"/>
        </w:rPr>
        <w:fldChar w:fldCharType="end"/>
      </w:r>
      <w:r w:rsidR="00F83FA6" w:rsidRPr="00153006">
        <w:rPr>
          <w:rFonts w:asciiTheme="majorBidi" w:hAnsiTheme="majorBidi" w:cstheme="majorBidi"/>
        </w:rPr>
        <w:t xml:space="preserve">. </w:t>
      </w:r>
      <w:r w:rsidR="00911F1F" w:rsidRPr="00153006">
        <w:rPr>
          <w:rFonts w:asciiTheme="majorBidi" w:hAnsiTheme="majorBidi" w:cstheme="majorBidi"/>
        </w:rPr>
        <w:t>T</w:t>
      </w:r>
      <w:r w:rsidR="003E62F3" w:rsidRPr="00153006">
        <w:rPr>
          <w:rFonts w:asciiTheme="majorBidi" w:hAnsiTheme="majorBidi" w:cstheme="majorBidi"/>
        </w:rPr>
        <w:t>herefore, t</w:t>
      </w:r>
      <w:r w:rsidR="00911F1F" w:rsidRPr="00153006">
        <w:rPr>
          <w:rFonts w:asciiTheme="majorBidi" w:hAnsiTheme="majorBidi" w:cstheme="majorBidi"/>
        </w:rPr>
        <w:t xml:space="preserve">herapy to prevent or decrease </w:t>
      </w:r>
      <w:r w:rsidR="003E62F3" w:rsidRPr="00153006">
        <w:rPr>
          <w:rFonts w:asciiTheme="majorBidi" w:hAnsiTheme="majorBidi" w:cstheme="majorBidi"/>
        </w:rPr>
        <w:t xml:space="preserve">damage has </w:t>
      </w:r>
      <w:r w:rsidR="00DB133F">
        <w:rPr>
          <w:rFonts w:asciiTheme="majorBidi" w:hAnsiTheme="majorBidi" w:cstheme="majorBidi"/>
        </w:rPr>
        <w:t>yet to be</w:t>
      </w:r>
      <w:r w:rsidR="00911F1F" w:rsidRPr="00153006">
        <w:rPr>
          <w:rFonts w:asciiTheme="majorBidi" w:hAnsiTheme="majorBidi" w:cstheme="majorBidi"/>
        </w:rPr>
        <w:t xml:space="preserve"> advi</w:t>
      </w:r>
      <w:r w:rsidR="00AA4DCE" w:rsidRPr="00153006">
        <w:rPr>
          <w:rFonts w:asciiTheme="majorBidi" w:hAnsiTheme="majorBidi" w:cstheme="majorBidi"/>
        </w:rPr>
        <w:t>s</w:t>
      </w:r>
      <w:r w:rsidR="00911F1F" w:rsidRPr="00153006">
        <w:rPr>
          <w:rFonts w:asciiTheme="majorBidi" w:hAnsiTheme="majorBidi" w:cstheme="majorBidi"/>
        </w:rPr>
        <w:t xml:space="preserve">ed unless the </w:t>
      </w:r>
      <w:r w:rsidR="00F83FA6" w:rsidRPr="00153006">
        <w:rPr>
          <w:rFonts w:asciiTheme="majorBidi" w:hAnsiTheme="majorBidi" w:cstheme="majorBidi"/>
        </w:rPr>
        <w:t>mechanism</w:t>
      </w:r>
      <w:r w:rsidR="00911F1F" w:rsidRPr="00153006">
        <w:rPr>
          <w:rFonts w:asciiTheme="majorBidi" w:hAnsiTheme="majorBidi" w:cstheme="majorBidi"/>
        </w:rPr>
        <w:t>s</w:t>
      </w:r>
      <w:r w:rsidR="00F83FA6" w:rsidRPr="00153006">
        <w:rPr>
          <w:rFonts w:asciiTheme="majorBidi" w:hAnsiTheme="majorBidi" w:cstheme="majorBidi"/>
        </w:rPr>
        <w:t xml:space="preserve"> </w:t>
      </w:r>
      <w:r w:rsidR="00911F1F" w:rsidRPr="00153006">
        <w:rPr>
          <w:rFonts w:asciiTheme="majorBidi" w:hAnsiTheme="majorBidi" w:cstheme="majorBidi"/>
        </w:rPr>
        <w:t xml:space="preserve">linking </w:t>
      </w:r>
      <w:r w:rsidR="00F83FA6" w:rsidRPr="00153006">
        <w:rPr>
          <w:rFonts w:asciiTheme="majorBidi" w:hAnsiTheme="majorBidi" w:cstheme="majorBidi"/>
        </w:rPr>
        <w:t>NAFLD and CKD</w:t>
      </w:r>
      <w:r w:rsidR="00911F1F" w:rsidRPr="00153006">
        <w:rPr>
          <w:rFonts w:asciiTheme="majorBidi" w:hAnsiTheme="majorBidi" w:cstheme="majorBidi"/>
        </w:rPr>
        <w:t xml:space="preserve"> </w:t>
      </w:r>
      <w:r w:rsidR="00AA4DCE" w:rsidRPr="00153006">
        <w:rPr>
          <w:rFonts w:asciiTheme="majorBidi" w:hAnsiTheme="majorBidi" w:cstheme="majorBidi"/>
        </w:rPr>
        <w:t>are</w:t>
      </w:r>
      <w:r w:rsidR="00911F1F" w:rsidRPr="00153006">
        <w:rPr>
          <w:rFonts w:asciiTheme="majorBidi" w:hAnsiTheme="majorBidi" w:cstheme="majorBidi"/>
        </w:rPr>
        <w:t xml:space="preserve"> </w:t>
      </w:r>
      <w:r w:rsidR="003E62F3" w:rsidRPr="00153006">
        <w:rPr>
          <w:rFonts w:asciiTheme="majorBidi" w:hAnsiTheme="majorBidi" w:cstheme="majorBidi"/>
        </w:rPr>
        <w:t>entir</w:t>
      </w:r>
      <w:r w:rsidR="00911F1F" w:rsidRPr="00153006">
        <w:rPr>
          <w:rFonts w:asciiTheme="majorBidi" w:hAnsiTheme="majorBidi" w:cstheme="majorBidi"/>
        </w:rPr>
        <w:t>ely known.</w:t>
      </w:r>
      <w:r w:rsidR="006747F2" w:rsidRPr="00153006">
        <w:rPr>
          <w:rFonts w:asciiTheme="majorBidi" w:hAnsiTheme="majorBidi" w:cstheme="majorBidi"/>
        </w:rPr>
        <w:t xml:space="preserve"> However, the improvement in kid</w:t>
      </w:r>
      <w:r w:rsidR="00D91527" w:rsidRPr="00153006">
        <w:rPr>
          <w:rFonts w:asciiTheme="majorBidi" w:hAnsiTheme="majorBidi" w:cstheme="majorBidi"/>
        </w:rPr>
        <w:t xml:space="preserve">ney function tests </w:t>
      </w:r>
      <w:r w:rsidR="003E62F3" w:rsidRPr="00153006">
        <w:rPr>
          <w:rFonts w:asciiTheme="majorBidi" w:hAnsiTheme="majorBidi" w:cstheme="majorBidi"/>
        </w:rPr>
        <w:t>was</w:t>
      </w:r>
      <w:r w:rsidR="00D91527" w:rsidRPr="00153006">
        <w:rPr>
          <w:rFonts w:asciiTheme="majorBidi" w:hAnsiTheme="majorBidi" w:cstheme="majorBidi"/>
        </w:rPr>
        <w:t xml:space="preserve"> noticed after the histopathological regression in NAFLD related to changes in lifestyle for </w:t>
      </w:r>
      <w:r w:rsidR="003E62F3" w:rsidRPr="00153006">
        <w:rPr>
          <w:rFonts w:asciiTheme="majorBidi" w:hAnsiTheme="majorBidi" w:cstheme="majorBidi"/>
        </w:rPr>
        <w:t>one</w:t>
      </w:r>
      <w:r w:rsidR="00D91527" w:rsidRPr="00153006">
        <w:rPr>
          <w:rFonts w:asciiTheme="majorBidi" w:hAnsiTheme="majorBidi" w:cstheme="majorBidi"/>
        </w:rPr>
        <w:t xml:space="preserve"> year</w:t>
      </w:r>
      <w:r w:rsidR="00D15D3A"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{"citationItems":[{"id":"ITEM-1","itemData":{"DOI":"10.1111/APT.13860","ISSN":"1365-2036","PMID":"27862096","abstract":"Background: Several recent studies have shown a strong association between non-alcoholic steatohepatitis (NASH) and chronic kidney disease. Aim: To examine the relationship between changes in liver histology and renal function in patients with NASH. Methods: The present analysis represents a post hoc analysis of a recently published trial that included 261 patients with NASH who were treated with lifestyle modifications during 52 weeks. Kidney function was evaluated through Chronic Kidney Disease Epidemiology Collaboration estimated glomerular filtration rates (eGFR, mL/min/1.73 m2) overtime. We explored correlations between the kidney function and improvement in histological outcomes at 52 weeks. Results: Interestingly, a one-stage reduction in fibrosis (r = 0.20, P &lt; 0.01) and resolution of NASH (r = 0.17, P &lt; 0.01) were significantly correlated with an improvement in the kidney function. The eGFR values significantly increased in patients with fibrosis improvement (+7.6 ± 6.5 mL/min/1.73 m2), compared to those without fibrosis improvement (−1.98 ± 6.4 mL/min/1.73 m2) (P &lt; 0.01) at end of treatment (EOT). Likewise, NASH resolution was associated with an increase in eGFR compared with patients without NASH resolution (2.32 ± 7.8 mL/min/1.73 m2 vs. −1.04 ± 5.9 mL/min/1.73 m2, P = 0.04) at EOT. After controlling for the confounders, the association between fibrosis improvement, NASH resolution and eGFR change remained significant (P &lt; 0.05 for both). Conclusions: Improvement in liver histology due to lifestyle modification is independently associated with improved kidney function in NASH. As new drugs for NASH emerge, studies should address whether improvement in histology in response to pharmacotherapies yield the same improvement in kidney function as weight loss.","author":[{"dropping-particle":"","family":"Vilar-Gomez","given":"E.","non-dropping-particle":"","parse-names":false,"suffix":""},{"dropping-particle":"","family":"Calzadilla-Bertot","given":"L.","non-dropping-particle":"","parse-names":false,"suffix":""},{"dropping-particle":"","family":"Friedman","given":"S. L.","non-dropping-particle":"","parse-names":false,"suffix":""},{"dropping-particle":"","family":"Gra-Oramas","given":"B.","non-dropping-particle":"","parse-names":false,"suffix":""},{"dropping-particle":"","family":"Gonzalez-Fabian","given":"L.","non-dropping-particle":"","parse-names":false,"suffix":""},{"dropping-particle":"","family":"Villa-Jimenez","given":"O.","non-dropping-particle":"","parse-names":false,"suffix":""},{"dropping-particle":"","family":"Lazo-del Vallin","given":"S.","non-dropping-particle":"","parse-names":false,"suffix":""},{"dropping-particle":"","family":"Diago","given":"M.","non-dropping-particle":"","parse-names":false,"suffix":""},{"dropping-particle":"","family":"Adams","given":"L. A.","non-dropping-particle":"","parse-names":false,"suffix":""},{"dropping-particle":"","family":"Romero-Gomez","given":"M.","non-dropping-particle":"","parse-names":false,"suffix":""},{"dropping-particle":"","family":"Chalasani","given":"N.","non-dropping-particle":"","parse-names":false,"suffix":""}],"container-title":"Alimentary Pharmacology &amp; Therapeutics","id":"ITEM-1","issue":"2","issued":{"date-parts":[["2017","1","1"]]},"page":"332-344","publisher":"John Wiley &amp; Sons, Ltd","title":"Improvement in liver histology due to lifestyle modification is independently associated with improved kidney function in patients with non-alcoholic steatohepatitis","type":"article-journal","volume":"45"},"uris":["http://www.mendeley.com/documents/?uuid=2e7bc5a7-bb80-3c28-baf0-7ec96d51ab2d"]}],"mendeley":{"formattedCitation":"(25)","plainTextFormattedCitation":"(25)","previouslyFormattedCitation":"[25]"},"properties":{"noteIndex":0},"schema":"https://github.com/citation-style-language/schema/raw/master/csl-citation.json"}</w:instrText>
      </w:r>
      <w:r w:rsidR="00D15D3A" w:rsidRPr="00153006">
        <w:rPr>
          <w:rFonts w:asciiTheme="majorBidi" w:hAnsiTheme="majorBidi" w:cstheme="majorBidi"/>
        </w:rPr>
        <w:fldChar w:fldCharType="separate"/>
      </w:r>
      <w:r w:rsidR="0063099F" w:rsidRPr="00153006">
        <w:rPr>
          <w:rFonts w:asciiTheme="majorBidi" w:hAnsiTheme="majorBidi" w:cstheme="majorBidi"/>
          <w:noProof/>
        </w:rPr>
        <w:t>(25)</w:t>
      </w:r>
      <w:r w:rsidR="00D15D3A" w:rsidRPr="00153006">
        <w:rPr>
          <w:rFonts w:asciiTheme="majorBidi" w:hAnsiTheme="majorBidi" w:cstheme="majorBidi"/>
        </w:rPr>
        <w:fldChar w:fldCharType="end"/>
      </w:r>
      <w:r w:rsidR="00F83FA6" w:rsidRPr="00153006">
        <w:rPr>
          <w:rFonts w:asciiTheme="majorBidi" w:hAnsiTheme="majorBidi" w:cstheme="majorBidi"/>
        </w:rPr>
        <w:t>.</w:t>
      </w:r>
    </w:p>
    <w:p w14:paraId="51C00318" w14:textId="6898AD15" w:rsidR="002F4774" w:rsidRPr="00153006" w:rsidRDefault="00F83FA6" w:rsidP="002F4774">
      <w:pPr>
        <w:jc w:val="both"/>
        <w:rPr>
          <w:rFonts w:asciiTheme="majorBidi" w:hAnsiTheme="majorBidi" w:cstheme="majorBidi"/>
        </w:rPr>
      </w:pPr>
      <w:r w:rsidRPr="00153006">
        <w:rPr>
          <w:rFonts w:asciiTheme="majorBidi" w:hAnsiTheme="majorBidi" w:cstheme="majorBidi"/>
        </w:rPr>
        <w:t>On</w:t>
      </w:r>
      <w:r w:rsidR="003E62F3" w:rsidRPr="00153006">
        <w:rPr>
          <w:rFonts w:asciiTheme="majorBidi" w:hAnsiTheme="majorBidi" w:cstheme="majorBidi"/>
        </w:rPr>
        <w:t xml:space="preserve"> the</w:t>
      </w:r>
      <w:r w:rsidRPr="00153006">
        <w:rPr>
          <w:rFonts w:asciiTheme="majorBidi" w:hAnsiTheme="majorBidi" w:cstheme="majorBidi"/>
        </w:rPr>
        <w:t xml:space="preserve"> other hand,</w:t>
      </w:r>
      <w:r w:rsidR="00D91527" w:rsidRPr="00153006">
        <w:rPr>
          <w:rFonts w:asciiTheme="majorBidi" w:hAnsiTheme="majorBidi" w:cstheme="majorBidi"/>
        </w:rPr>
        <w:t xml:space="preserve"> a</w:t>
      </w:r>
      <w:r w:rsidRPr="00153006">
        <w:rPr>
          <w:rFonts w:asciiTheme="majorBidi" w:hAnsiTheme="majorBidi" w:cstheme="majorBidi"/>
        </w:rPr>
        <w:t xml:space="preserve"> study </w:t>
      </w:r>
      <w:r w:rsidR="00AA4DCE" w:rsidRPr="00153006">
        <w:rPr>
          <w:rFonts w:asciiTheme="majorBidi" w:hAnsiTheme="majorBidi" w:cstheme="majorBidi"/>
        </w:rPr>
        <w:t>of</w:t>
      </w:r>
      <w:r w:rsidRPr="00153006">
        <w:rPr>
          <w:rFonts w:asciiTheme="majorBidi" w:hAnsiTheme="majorBidi" w:cstheme="majorBidi"/>
        </w:rPr>
        <w:t xml:space="preserve"> Caucasian men from Finland found no </w:t>
      </w:r>
      <w:r w:rsidR="00D91527" w:rsidRPr="00153006">
        <w:rPr>
          <w:rFonts w:asciiTheme="majorBidi" w:hAnsiTheme="majorBidi" w:cstheme="majorBidi"/>
        </w:rPr>
        <w:t xml:space="preserve">association </w:t>
      </w:r>
      <w:r w:rsidRPr="00153006">
        <w:rPr>
          <w:rFonts w:asciiTheme="majorBidi" w:hAnsiTheme="majorBidi" w:cstheme="majorBidi"/>
        </w:rPr>
        <w:t>between NAFLD (</w:t>
      </w:r>
      <w:r w:rsidR="00D91527" w:rsidRPr="00153006">
        <w:rPr>
          <w:rFonts w:asciiTheme="majorBidi" w:hAnsiTheme="majorBidi" w:cstheme="majorBidi"/>
        </w:rPr>
        <w:t>discovered by</w:t>
      </w:r>
      <w:r w:rsidRPr="00153006">
        <w:rPr>
          <w:rFonts w:asciiTheme="majorBidi" w:hAnsiTheme="majorBidi" w:cstheme="majorBidi"/>
        </w:rPr>
        <w:t xml:space="preserve"> elevated serum gamma-</w:t>
      </w:r>
      <w:proofErr w:type="spellStart"/>
      <w:r w:rsidRPr="00153006">
        <w:rPr>
          <w:rFonts w:asciiTheme="majorBidi" w:hAnsiTheme="majorBidi" w:cstheme="majorBidi"/>
        </w:rPr>
        <w:t>glutamyltransferase</w:t>
      </w:r>
      <w:proofErr w:type="spellEnd"/>
      <w:r w:rsidRPr="00153006">
        <w:rPr>
          <w:rFonts w:asciiTheme="majorBidi" w:hAnsiTheme="majorBidi" w:cstheme="majorBidi"/>
        </w:rPr>
        <w:t>) and CKD</w:t>
      </w:r>
      <w:r w:rsidR="00D15D3A"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{"citationItems":[{"id":"ITEM-1","itemData":{"author":[{"dropping-particle":"","family":"Kunutsor","given":"Setor K.","non-dropping-particle":"","parse-names":false,"suffix":""},{"dropping-particle":"","family":"Laukkanen","given":"Jari A.","non-dropping-particle":"","parse-names":false,"suffix":""}],"container-title":"Clinica chimica acta","id":"ITEM-1","issued":{"date-parts":[["2017"]]},"page":"39-44","title":"glutamyltransferase and risk of chronic kidney disease : A prospective University of Bristol - Explore Bristol Research","type":"article-journal","volume":"473"},"uris":["http://www.mendeley.com/documents/?uuid=052bc68f-2cd1-44dd-8518-d996b4f94987"]}],"mendeley":{"formattedCitation":"(26)","plainTextFormattedCitation":"(26)","previouslyFormattedCitation":"[26]"},"properties":{"noteIndex":0},"schema":"https://github.com/citation-style-language/schema/raw/master/csl-citation.json"}</w:instrText>
      </w:r>
      <w:r w:rsidR="00D15D3A" w:rsidRPr="00153006">
        <w:rPr>
          <w:rFonts w:asciiTheme="majorBidi" w:hAnsiTheme="majorBidi" w:cstheme="majorBidi"/>
        </w:rPr>
        <w:fldChar w:fldCharType="separate"/>
      </w:r>
      <w:r w:rsidR="0063099F" w:rsidRPr="00153006">
        <w:rPr>
          <w:rFonts w:asciiTheme="majorBidi" w:hAnsiTheme="majorBidi" w:cstheme="majorBidi"/>
          <w:noProof/>
        </w:rPr>
        <w:t>(26)</w:t>
      </w:r>
      <w:r w:rsidR="00D15D3A" w:rsidRPr="00153006">
        <w:rPr>
          <w:rFonts w:asciiTheme="majorBidi" w:hAnsiTheme="majorBidi" w:cstheme="majorBidi"/>
        </w:rPr>
        <w:fldChar w:fldCharType="end"/>
      </w:r>
      <w:r w:rsidRPr="00153006">
        <w:rPr>
          <w:rFonts w:asciiTheme="majorBidi" w:hAnsiTheme="majorBidi" w:cstheme="majorBidi"/>
        </w:rPr>
        <w:t xml:space="preserve">. </w:t>
      </w:r>
      <w:r w:rsidR="00397492" w:rsidRPr="00153006">
        <w:rPr>
          <w:rFonts w:asciiTheme="majorBidi" w:hAnsiTheme="majorBidi" w:cstheme="majorBidi"/>
        </w:rPr>
        <w:t>This can be explained by</w:t>
      </w:r>
      <w:r w:rsidRPr="00153006">
        <w:rPr>
          <w:rFonts w:asciiTheme="majorBidi" w:hAnsiTheme="majorBidi" w:cstheme="majorBidi"/>
        </w:rPr>
        <w:t xml:space="preserve"> </w:t>
      </w:r>
      <w:r w:rsidR="00AA4DCE" w:rsidRPr="00153006">
        <w:rPr>
          <w:rFonts w:asciiTheme="majorBidi" w:hAnsiTheme="majorBidi" w:cstheme="majorBidi"/>
        </w:rPr>
        <w:t xml:space="preserve">the </w:t>
      </w:r>
      <w:r w:rsidRPr="00153006">
        <w:rPr>
          <w:rFonts w:asciiTheme="majorBidi" w:hAnsiTheme="majorBidi" w:cstheme="majorBidi"/>
        </w:rPr>
        <w:t xml:space="preserve">small sample size and low </w:t>
      </w:r>
      <w:r w:rsidR="00397492" w:rsidRPr="00153006">
        <w:rPr>
          <w:rFonts w:asciiTheme="majorBidi" w:hAnsiTheme="majorBidi" w:cstheme="majorBidi"/>
        </w:rPr>
        <w:t xml:space="preserve">incident </w:t>
      </w:r>
      <w:r w:rsidRPr="00153006">
        <w:rPr>
          <w:rFonts w:asciiTheme="majorBidi" w:hAnsiTheme="majorBidi" w:cstheme="majorBidi"/>
        </w:rPr>
        <w:t xml:space="preserve">rate </w:t>
      </w:r>
      <w:r w:rsidR="00AA4DCE" w:rsidRPr="00153006">
        <w:rPr>
          <w:rFonts w:asciiTheme="majorBidi" w:hAnsiTheme="majorBidi" w:cstheme="majorBidi"/>
        </w:rPr>
        <w:t>despite</w:t>
      </w:r>
      <w:r w:rsidRPr="00153006">
        <w:rPr>
          <w:rFonts w:asciiTheme="majorBidi" w:hAnsiTheme="majorBidi" w:cstheme="majorBidi"/>
        </w:rPr>
        <w:t xml:space="preserve"> </w:t>
      </w:r>
      <w:r w:rsidR="00AA4DCE" w:rsidRPr="00153006">
        <w:rPr>
          <w:rFonts w:asciiTheme="majorBidi" w:hAnsiTheme="majorBidi" w:cstheme="majorBidi"/>
        </w:rPr>
        <w:t xml:space="preserve">the </w:t>
      </w:r>
      <w:r w:rsidRPr="00153006">
        <w:rPr>
          <w:rFonts w:asciiTheme="majorBidi" w:hAnsiTheme="majorBidi" w:cstheme="majorBidi"/>
        </w:rPr>
        <w:t xml:space="preserve">long duration </w:t>
      </w:r>
      <w:r w:rsidR="00397492" w:rsidRPr="00153006">
        <w:rPr>
          <w:rFonts w:asciiTheme="majorBidi" w:hAnsiTheme="majorBidi" w:cstheme="majorBidi"/>
        </w:rPr>
        <w:t>of follow</w:t>
      </w:r>
      <w:r w:rsidR="00AA4DCE" w:rsidRPr="00153006">
        <w:rPr>
          <w:rFonts w:asciiTheme="majorBidi" w:hAnsiTheme="majorBidi" w:cstheme="majorBidi"/>
        </w:rPr>
        <w:t>-</w:t>
      </w:r>
      <w:r w:rsidR="00397492" w:rsidRPr="00153006">
        <w:rPr>
          <w:rFonts w:asciiTheme="majorBidi" w:hAnsiTheme="majorBidi" w:cstheme="majorBidi"/>
        </w:rPr>
        <w:t xml:space="preserve">up </w:t>
      </w:r>
      <w:r w:rsidRPr="00153006">
        <w:rPr>
          <w:rFonts w:asciiTheme="majorBidi" w:hAnsiTheme="majorBidi" w:cstheme="majorBidi"/>
        </w:rPr>
        <w:t>(over 20 years)</w:t>
      </w:r>
      <w:r w:rsidR="004E60CB"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{"citationItems":[{"id":"ITEM-1","itemData":{"author":[{"dropping-particle":"","family":"Kunutsor","given":"Setor K.","non-dropping-particle":"","parse-names":false,"suffix":""},{"dropping-particle":"","family":"Laukkanen","given":"Jari A.","non-dropping-particle":"","parse-names":false,"suffix":""}],"container-title":"Clinica chimica acta","id":"ITEM-1","issued":{"date-parts":[["2017"]]},"page":"39-44","title":"glutamyltransferase and risk of chronic kidney disease : A prospective University of Bristol - Explore Bristol Research","type":"article-journal","volume":"473"},"uris":["http://www.mendeley.com/documents/?uuid=052bc68f-2cd1-44dd-8518-d996b4f94987"]}],"mendeley":{"formattedCitation":"(26)","plainTextFormattedCitation":"(26)","previouslyFormattedCitation":"[26]"},"properties":{"noteIndex":0},"schema":"https://github.com/citation-style-language/schema/raw/master/csl-citation.json"}</w:instrText>
      </w:r>
      <w:r w:rsidR="004E60CB" w:rsidRPr="00153006">
        <w:rPr>
          <w:rFonts w:asciiTheme="majorBidi" w:hAnsiTheme="majorBidi" w:cstheme="majorBidi"/>
        </w:rPr>
        <w:fldChar w:fldCharType="separate"/>
      </w:r>
      <w:r w:rsidR="0063099F" w:rsidRPr="00153006">
        <w:rPr>
          <w:rFonts w:asciiTheme="majorBidi" w:hAnsiTheme="majorBidi" w:cstheme="majorBidi"/>
          <w:noProof/>
        </w:rPr>
        <w:t>(26)</w:t>
      </w:r>
      <w:r w:rsidR="004E60CB" w:rsidRPr="00153006">
        <w:rPr>
          <w:rFonts w:asciiTheme="majorBidi" w:hAnsiTheme="majorBidi" w:cstheme="majorBidi"/>
        </w:rPr>
        <w:fldChar w:fldCharType="end"/>
      </w:r>
      <w:r w:rsidRPr="00153006">
        <w:rPr>
          <w:rFonts w:asciiTheme="majorBidi" w:hAnsiTheme="majorBidi" w:cstheme="majorBidi"/>
        </w:rPr>
        <w:t>.</w:t>
      </w:r>
      <w:r w:rsidR="00351A1F" w:rsidRPr="00153006">
        <w:rPr>
          <w:rFonts w:asciiTheme="majorBidi" w:hAnsiTheme="majorBidi" w:cstheme="majorBidi"/>
        </w:rPr>
        <w:t xml:space="preserve"> Furthermore, they depend only on </w:t>
      </w:r>
      <w:r w:rsidR="00600ED7" w:rsidRPr="00153006">
        <w:rPr>
          <w:rFonts w:asciiTheme="majorBidi" w:hAnsiTheme="majorBidi" w:cstheme="majorBidi"/>
        </w:rPr>
        <w:t>elevated serum gamma-</w:t>
      </w:r>
      <w:proofErr w:type="spellStart"/>
      <w:r w:rsidR="00600ED7" w:rsidRPr="00153006">
        <w:rPr>
          <w:rFonts w:asciiTheme="majorBidi" w:hAnsiTheme="majorBidi" w:cstheme="majorBidi"/>
        </w:rPr>
        <w:t>glutamyltransferase</w:t>
      </w:r>
      <w:proofErr w:type="spellEnd"/>
      <w:r w:rsidR="003E62F3" w:rsidRPr="00153006">
        <w:rPr>
          <w:rFonts w:asciiTheme="majorBidi" w:hAnsiTheme="majorBidi" w:cstheme="majorBidi"/>
        </w:rPr>
        <w:t>,</w:t>
      </w:r>
      <w:r w:rsidR="00600ED7" w:rsidRPr="00153006">
        <w:rPr>
          <w:rFonts w:asciiTheme="majorBidi" w:hAnsiTheme="majorBidi" w:cstheme="majorBidi"/>
        </w:rPr>
        <w:t xml:space="preserve"> which </w:t>
      </w:r>
      <w:r w:rsidR="00AA4DCE" w:rsidRPr="00153006">
        <w:rPr>
          <w:rFonts w:asciiTheme="majorBidi" w:hAnsiTheme="majorBidi" w:cstheme="majorBidi"/>
        </w:rPr>
        <w:t>is</w:t>
      </w:r>
      <w:r w:rsidR="00600ED7" w:rsidRPr="00153006">
        <w:rPr>
          <w:rFonts w:asciiTheme="majorBidi" w:hAnsiTheme="majorBidi" w:cstheme="majorBidi"/>
        </w:rPr>
        <w:t xml:space="preserve"> not specific to the hepatic pathology</w:t>
      </w:r>
      <w:r w:rsidRPr="00153006">
        <w:rPr>
          <w:rFonts w:asciiTheme="majorBidi" w:hAnsiTheme="majorBidi" w:cstheme="majorBidi"/>
        </w:rPr>
        <w:t>, and</w:t>
      </w:r>
      <w:r w:rsidR="00600ED7" w:rsidRPr="00153006">
        <w:rPr>
          <w:rFonts w:asciiTheme="majorBidi" w:hAnsiTheme="majorBidi" w:cstheme="majorBidi"/>
        </w:rPr>
        <w:t xml:space="preserve"> most </w:t>
      </w:r>
      <w:r w:rsidRPr="00153006">
        <w:rPr>
          <w:rFonts w:asciiTheme="majorBidi" w:hAnsiTheme="majorBidi" w:cstheme="majorBidi"/>
        </w:rPr>
        <w:t xml:space="preserve">NAFLD </w:t>
      </w:r>
      <w:r w:rsidR="00600ED7" w:rsidRPr="00153006">
        <w:rPr>
          <w:rFonts w:asciiTheme="majorBidi" w:hAnsiTheme="majorBidi" w:cstheme="majorBidi"/>
        </w:rPr>
        <w:t>patients have normal</w:t>
      </w:r>
      <w:r w:rsidRPr="00153006">
        <w:rPr>
          <w:rFonts w:asciiTheme="majorBidi" w:hAnsiTheme="majorBidi" w:cstheme="majorBidi"/>
        </w:rPr>
        <w:t xml:space="preserve"> liver enzymes</w:t>
      </w:r>
      <w:r w:rsidR="004E60CB"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{"citationItems":[{"id":"ITEM-1","itemData":{"DOI":"10.1002/HEP.29721","ISSN":"1527-3350","PMID":"29222917","abstract":"Nonalcoholic fatty liver disease (NAFLD) is a spectrum comprised of isolated steatosis, nonalcoholic steatohepatitis (NASH), advanced fibrosis, and cirrhosis. The majority of NAFLD subjects do not have NASH and do not carry a significant risk for liver-related adverse outcomes (cirrhosis and mortality). Globally, the prevalence of NAFLD is approximately 25%. In Asia, a gradient of high to low prevalence rates is noted from urban to rural areas. Given the prevalence of NAFLD, the clinical and economic burden of NAFLD and NASH can be substantial. With increasing recognition of NASH as an important liver disease, the diagnosis of NASH still requires a liver biopsy that is suboptimal. Although liver biopsy is the most accurate modality to diagnose and stage the severity of NASH, this method suffers from being invasive, costly, associated with potential complications, and plagued with interobserver variability of individual pathological features. A number of noninvasive modalities to diagnose NASH and stage liver fibrosis are being developed. These modalities include predictive models (NAFLD fibrosis score) and serum biomarkers such as enhanced liver fibrosis (ELF). Other tests are based on radiological techniques, such as transient elastography (TE) or magnetic resonance elastography (MRE), which are used to estimate liver stiffness as a potential surrogate of hepatic fibrosis. Although a dynamic field of research, most of these diagnostic modalities have area under the curve ranging between 0.76 and 0.90%, with MRE having the best predictive performance. In summary, developing safe and easily accessible noninvasive modalities to accurately diagnose and monitor NASH and associated fibrosis is of utmost importance in clinical practice and clinical research. These tests are not only important to risk stratify subjects at the greatest risk for progressive liver disease, but also to serve as appropriate surrogate endpoints for therapeutic clinical trials of NASH. (Hepatology 2018;68:349-360).","author":[{"dropping-particle":"","family":"Younossi","given":"Zobair M.","non-dropping-particle":"","parse-names":false,"suffix":""},{"dropping-particle":"","family":"Loomba","given":"Rohit","non-dropping-particle":"","parse-names":false,"suffix":""},{"dropping-particle":"","family":"Anstee","given":"Quentin M.","non-dropping-particle":"","parse-names":false,"suffix":""},{"dropping-particle":"","family":"Rinella","given":"Mary E.","non-dropping-particle":"","parse-names":false,"suffix":""},{"dropping-particle":"","family":"Bugianesi","given":"Elisabetta","non-dropping-particle":"","parse-names":false,"suffix":""},{"dropping-particle":"","family":"Marchesini","given":"Giulio","non-dropping-particle":"","parse-names":false,"suffix":""},{"dropping-particle":"","family":"Neuschwander-Tetri","given":"Brent A.","non-dropping-particle":"","parse-names":false,"suffix":""},{"dropping-particle":"","family":"Serfaty","given":"Lawrence","non-dropping-particle":"","parse-names":false,"suffix":""},{"dropping-particle":"","family":"Negro","given":"Francesco","non-dropping-particle":"","parse-names":false,"suffix":""},{"dropping-particle":"","family":"Caldwell","given":"Stephen H.","non-dropping-particle":"","parse-names":false,"suffix":""},{"dropping-particle":"","family":"Ratziu","given":"Vlad","non-dropping-particle":"","parse-names":false,"suffix":""},{"dropping-particle":"","family":"Corey","given":"Kathleen E.","non-dropping-particle":"","parse-names":false,"suffix":""},{"dropping-particle":"","family":"Friedman","given":"Scott L.","non-dropping-particle":"","parse-names":false,"suffix":""},{"dropping-particle":"","family":"Abdelmalek","given":"Manal F.","non-dropping-particle":"","parse-names":false,"suffix":""},{"dropping-particle":"","family":"Harrison","given":"Stephen A.","non-dropping-particle":"","parse-names":false,"suffix":""},{"dropping-particle":"","family":"Sanyal","given":"Arun J.","non-dropping-particle":"","parse-names":false,"suffix":""},{"dropping-particle":"","family":"Lavine","given":"Joel E.","non-dropping-particle":"","parse-names":false,"suffix":""},{"dropping-particle":"","family":"Mathurin","given":"Philippe","non-dropping-particle":"","parse-names":false,"suffix":""},{"dropping-particle":"","family":"Charlton","given":"Michael R.","non-dropping-particle":"","parse-names":false,"suffix":""},{"dropping-particle":"","family":"Goodman","given":"Zachary D.","non-dropping-particle":"","parse-names":false,"suffix":""},{"dropping-particle":"","family":"Chalasani","given":"Naga P.","non-dropping-particle":"","parse-names":false,"suffix":""},{"dropping-particle":"V.","family":"Kowdley","given":"Kris","non-dropping-particle":"","parse-names":false,"suffix":""},{"dropping-particle":"","family":"George","given":"Jacob","non-dropping-particle":"","parse-names":false,"suffix":""},{"dropping-particle":"","family":"Lindor","given":"Keith","non-dropping-particle":"","parse-names":false,"suffix":""}],"container-title":"Hepatology","id":"ITEM-1","issue":"1","issued":{"date-parts":[["2018","7","1"]]},"page":"349-360","publisher":"John Wiley &amp; Sons, Ltd","title":"Diagnostic modalities for nonalcoholic fatty liver disease, nonalcoholic steatohepatitis, and associated fibrosis","type":"article-journal","volume":"68"},"uris":["http://www.mendeley.com/documents/?uuid=9c4908e2-0351-3c05-b7d6-7191f5b8c14f"]}],"mendeley":{"formattedCitation":"(27)","plainTextFormattedCitation":"(27)","previouslyFormattedCitation":"[27]"},"properties":{"noteIndex":0},"schema":"https://github.com/citation-style-language/schema/raw/master/csl-citation.json"}</w:instrText>
      </w:r>
      <w:r w:rsidR="004E60CB" w:rsidRPr="00153006">
        <w:rPr>
          <w:rFonts w:asciiTheme="majorBidi" w:hAnsiTheme="majorBidi" w:cstheme="majorBidi"/>
        </w:rPr>
        <w:fldChar w:fldCharType="separate"/>
      </w:r>
      <w:r w:rsidR="0063099F" w:rsidRPr="00153006">
        <w:rPr>
          <w:rFonts w:asciiTheme="majorBidi" w:hAnsiTheme="majorBidi" w:cstheme="majorBidi"/>
          <w:noProof/>
        </w:rPr>
        <w:t>(27)</w:t>
      </w:r>
      <w:r w:rsidR="004E60CB" w:rsidRPr="00153006">
        <w:rPr>
          <w:rFonts w:asciiTheme="majorBidi" w:hAnsiTheme="majorBidi" w:cstheme="majorBidi"/>
        </w:rPr>
        <w:fldChar w:fldCharType="end"/>
      </w:r>
      <w:r w:rsidRPr="00153006">
        <w:rPr>
          <w:rFonts w:asciiTheme="majorBidi" w:hAnsiTheme="majorBidi" w:cstheme="majorBidi"/>
        </w:rPr>
        <w:t xml:space="preserve">. </w:t>
      </w:r>
      <w:r w:rsidR="003E62F3" w:rsidRPr="00153006">
        <w:rPr>
          <w:rFonts w:asciiTheme="majorBidi" w:hAnsiTheme="majorBidi" w:cstheme="majorBidi"/>
        </w:rPr>
        <w:t>A European study did not recognize the connection between NAFLD and CKD as statistically significant</w:t>
      </w:r>
      <w:r w:rsidR="00406EE1" w:rsidRPr="00153006">
        <w:rPr>
          <w:rFonts w:asciiTheme="majorBidi" w:hAnsiTheme="majorBidi" w:cstheme="majorBidi"/>
        </w:rPr>
        <w:t xml:space="preserve"> due to the small sample size, </w:t>
      </w:r>
      <w:r w:rsidR="00B66A6D" w:rsidRPr="00153006">
        <w:rPr>
          <w:rFonts w:asciiTheme="majorBidi" w:hAnsiTheme="majorBidi" w:cstheme="majorBidi"/>
        </w:rPr>
        <w:t xml:space="preserve">different </w:t>
      </w:r>
      <w:r w:rsidR="002C258E" w:rsidRPr="00153006">
        <w:rPr>
          <w:rFonts w:asciiTheme="majorBidi" w:hAnsiTheme="majorBidi" w:cstheme="majorBidi"/>
        </w:rPr>
        <w:t>population</w:t>
      </w:r>
      <w:r w:rsidR="00253991" w:rsidRPr="00153006">
        <w:rPr>
          <w:rFonts w:asciiTheme="majorBidi" w:hAnsiTheme="majorBidi" w:cstheme="majorBidi"/>
        </w:rPr>
        <w:t>s</w:t>
      </w:r>
      <w:r w:rsidR="00AA4DCE" w:rsidRPr="00153006">
        <w:rPr>
          <w:rFonts w:asciiTheme="majorBidi" w:hAnsiTheme="majorBidi" w:cstheme="majorBidi"/>
        </w:rPr>
        <w:t>,</w:t>
      </w:r>
      <w:r w:rsidR="002C258E" w:rsidRPr="00153006">
        <w:rPr>
          <w:rFonts w:asciiTheme="majorBidi" w:hAnsiTheme="majorBidi" w:cstheme="majorBidi"/>
        </w:rPr>
        <w:t xml:space="preserve"> </w:t>
      </w:r>
      <w:r w:rsidR="00406EE1" w:rsidRPr="00153006">
        <w:rPr>
          <w:rFonts w:asciiTheme="majorBidi" w:hAnsiTheme="majorBidi" w:cstheme="majorBidi"/>
        </w:rPr>
        <w:t xml:space="preserve">and absence of thorough adjustment for variables </w:t>
      </w:r>
      <w:r w:rsidR="004E60CB"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{"citationItems":[{"id":"ITEM-1","itemData":{"DOI":"10.1016/J.METABOL.2017.11.003","ISSN":"0026-0495","PMID":"29137912","abstract":"&lt;h2&gt;Abstract&lt;/h2&gt;&lt;h3&gt;Background&lt;/h3&gt;&lt;p&gt;Recent studies examined the prognostic impact of nonalcoholic fatty liver disease (NAFLD) on the risk of incident chronic kidney disease (CKD). However, the extent to which NAFLD may confer risk of incident CKD is uncertain. We performed a meta-analysis of relevant studies to quantify the magnitude of the association between NAFLD and risk of incident CKD.&lt;/p&gt;&lt;h3&gt;Methods&lt;/h3&gt;&lt;p&gt;We searched PubMed, Scopus and Web of Science from January 1, 2000 to August 31, 2017 using pre-defined keywords to identify large observational cohort studies with a follow-up duration of at least 1year, in which NAFLD was diagnosed by biochemistry, fatty liver index or ultrasonography. No studies with biopsy-proven NAFLD were available for the analysis. Data from selected studies were extracted, and meta-analysis was performed using random-eff</w:instrText>
      </w:r>
      <w:r w:rsidR="0063099F" w:rsidRPr="00153006">
        <w:rPr>
          <w:rFonts w:asciiTheme="majorBidi" w:hAnsiTheme="majorBidi" w:cstheme="majorBidi" w:hint="eastAsia"/>
        </w:rPr>
        <w:instrText xml:space="preserve">ects modeling.&lt;/p&gt;&lt;h3&gt;Results&lt;/h3&gt;&lt;p&gt;A total of 9 observational studies with 96,595 adult individuals (34.1% with NAFLD) of predominantly Asian descent, and 4653 cases of incident CKD stage </w:instrText>
      </w:r>
      <w:r w:rsidR="0063099F" w:rsidRPr="00153006">
        <w:rPr>
          <w:rFonts w:asciiTheme="majorBidi" w:hAnsiTheme="majorBidi" w:cstheme="majorBidi" w:hint="eastAsia"/>
        </w:rPr>
        <w:instrText>≥</w:instrText>
      </w:r>
      <w:r w:rsidR="0063099F" w:rsidRPr="00153006">
        <w:rPr>
          <w:rFonts w:asciiTheme="majorBidi" w:hAnsiTheme="majorBidi" w:cstheme="majorBidi" w:hint="eastAsia"/>
        </w:rPr>
        <w:instrText>3 (i.e., defined as occurrence of estimated glomerular filtratio</w:instrText>
      </w:r>
      <w:r w:rsidR="0063099F" w:rsidRPr="00153006">
        <w:rPr>
          <w:rFonts w:asciiTheme="majorBidi" w:hAnsiTheme="majorBidi" w:cstheme="majorBidi"/>
        </w:rPr>
        <w:instrText>n rate&lt;60ml/min/1.73m&lt;sup&gt;2&lt;/sup&gt;, with or without accompanying overt proteinuria) over a median period of 5.2years were included in the final analysis. Patients with NAFLD had a significantly higher risk of incident CKD than those without NAFLD (random-effects hazard ratio [HR] 1.37, 95% CI 1.20–1.53; &lt;i&gt;I&lt;/i&gt;&lt;sup&gt;2&lt;/sup&gt;=33.5%). Patients with more ‘severe' NAFLD (according to ultrasonography and non-invasive fibrosis markers) were also more likely to develop incident CKD (&lt;i&gt;n&lt;/i&gt;=2 studies; random-effects HR 1.50, 95% CI 1.25–1.74; &lt;i&gt;I&lt;/i&gt;&lt;sup&gt;2&lt;/sup&gt;=0%); this risk appeared to be even greater among those with ultrasound-diagnosed NAFLD and a high-intermediate NAFLD fibrosis score (&lt;i&gt;n&lt;/i&gt;=1 study; random-effects HR 1.59, 95% CI 1.31–1.93). Sensitivity analyses did not alter these findings. Funnel plot and Egger's test did not reveal significant publication bias.&lt;/p&gt;&lt;h3&gt;Conclusions&lt;/h3&gt;&lt;p&gt;This largest and most updated meta-analysis to date shows that NAFLD (detected by biochemistry, fatty liver index or ultrasonography) is associated with a nearly 40% increase in the long-term risk of incident CKD. However, the observational nature of the eligible studies does not allow for proving causality. Our findings pave the way for future large, prospective, histologically-based studies.&lt;/p&gt;","author":[{"dropping-particle":"","family":"Mantovani","given":"Alessandro","non-dropping-particle":"","parse-names":false,"suffix":""},{"dropping-particle":"","family":"Zaza","given":"Gianluigi","non-dropping-particle":"","parse-names":false,"suffix":""},{"dropping-particle":"","family":"Byrne","given":"Christopher D.","non-dropping-particle":"","parse-names":false,"suffix":""},{"dropping-particle":"","family":"Lonardo","given":"Amedeo","non-dropping-particle":"","parse-names":false,"suffix":""},{"dropping-particle":"","family":"Zoppini","given":"Giacomo","non-dropping-particle":"","parse-names":false,"suffix":""},{"dropping-particle":"","family":"Bonora","given":"Enzo","non-dropping-particle":"","parse-names":false,"suffix":""},{"dropping-particle":"","family":"Targher","given":"Giovanni","non-dropping-particle":"","parse-names":false,"suffix":""}],"container-title":"Metabolism - Clinical and Experimental","id":"ITEM-1","issued":{"date-parts":[["2018","2","1"]]},"page":"64-76","publisher":"Elsevier","title":"Nonalcoholic fatty liver disease increases risk of incident chronic kidney disease: A systematic review and meta-analysis","type":"article-journal","volume":"79"},"uris":["http://www.mendeley.com/documents/?uuid=c3426ec6-fe1b-3999-a119-073aa1ea6208"]}],"mendeley":{"formattedCitation":"(28)","plainTextFormattedCitation":"(28)","previouslyFormattedCitation":"[28]"},"properties":{"noteIndex":0},"schema":"https://github.com/citation-style-language/schema/raw/master/csl-citation.json"}</w:instrText>
      </w:r>
      <w:r w:rsidR="004E60CB" w:rsidRPr="00153006">
        <w:rPr>
          <w:rFonts w:asciiTheme="majorBidi" w:hAnsiTheme="majorBidi" w:cstheme="majorBidi"/>
        </w:rPr>
        <w:fldChar w:fldCharType="separate"/>
      </w:r>
      <w:r w:rsidR="0063099F" w:rsidRPr="00153006">
        <w:rPr>
          <w:rFonts w:asciiTheme="majorBidi" w:hAnsiTheme="majorBidi" w:cstheme="majorBidi"/>
          <w:noProof/>
        </w:rPr>
        <w:t>(28)</w:t>
      </w:r>
      <w:r w:rsidR="004E60CB" w:rsidRPr="00153006">
        <w:rPr>
          <w:rFonts w:asciiTheme="majorBidi" w:hAnsiTheme="majorBidi" w:cstheme="majorBidi"/>
        </w:rPr>
        <w:fldChar w:fldCharType="end"/>
      </w:r>
      <w:r w:rsidRPr="00153006">
        <w:rPr>
          <w:rFonts w:asciiTheme="majorBidi" w:hAnsiTheme="majorBidi" w:cstheme="majorBidi"/>
        </w:rPr>
        <w:t>.</w:t>
      </w:r>
      <w:r w:rsidR="002F4774" w:rsidRPr="00153006">
        <w:rPr>
          <w:rFonts w:asciiTheme="majorBidi" w:hAnsiTheme="majorBidi" w:cstheme="majorBidi"/>
        </w:rPr>
        <w:t xml:space="preserve"> Furthermore, according to Qin et al., liver stiffness measurement(LSM) by transient elastography (TE) is a possible indication of CKD in patients with NAFLD; patients with a </w:t>
      </w:r>
      <w:r w:rsidR="003E62F3" w:rsidRPr="00153006">
        <w:rPr>
          <w:rFonts w:asciiTheme="majorBidi" w:hAnsiTheme="majorBidi" w:cstheme="majorBidi"/>
        </w:rPr>
        <w:t>more excellent</w:t>
      </w:r>
      <w:r w:rsidR="002F4774" w:rsidRPr="00153006">
        <w:rPr>
          <w:rFonts w:asciiTheme="majorBidi" w:hAnsiTheme="majorBidi" w:cstheme="majorBidi"/>
        </w:rPr>
        <w:t xml:space="preserve"> value of LSM have a higher chance of developing CKD</w:t>
      </w:r>
      <w:r w:rsidR="002F4774" w:rsidRPr="00153006">
        <w:rPr>
          <w:rFonts w:asciiTheme="majorBidi" w:hAnsiTheme="majorBidi" w:cstheme="majorBidi"/>
        </w:rPr>
        <w:fldChar w:fldCharType="begin" w:fldLock="1"/>
      </w:r>
      <w:r w:rsidR="0063099F" w:rsidRPr="00153006">
        <w:rPr>
          <w:rFonts w:asciiTheme="majorBidi" w:hAnsiTheme="majorBidi" w:cstheme="majorBidi"/>
        </w:rPr>
        <w:instrText>ADDIN CSL_CITATION {"citationItems":[{"id":"ITEM-1","itemData":{"DOI":"10.1002/jcla.22657","ISSN":"10982825","PMID":"30239032","abstract":"Background: This study was designed to determine the diagnostic value of liver stiffness measured by transient elastography (TE) in identifying chronic kidney disease (CKD) in individuals with ultrasonography-diagnosed NAFLD. Methods: A total of 1439 adult patients with ultrasonography-diagnosed NAFLD between October 2015 and August 2017 in China-Japan union hospital of Jilin university were initially eligible. According to the exclusion criteria, 24 patients were excluded, and eventually, a total of 1415 patients were included in the study. The AST/ALT ratio and FIB-4 score were calculated from blood tests, and liver stiffness was measured using TE. Results: The liver stiffness measured by TE, FIB-4 score, ALT/AST ratio were significantly elevated in CKD patients, compared with those without CKD (P &lt; 0.001). The areas under the curve (AUROC) of liver stiffness, FIB-4 score and AST/ALT ratio were 0.694 (0.670-0.718), 0.707 (0.682-0.730), 0.712 (0.688-0.736), showing no statistically significant difference between these three tests. Further, multivariate analysis identified four independent risk factors for CKD: age, diabetes mellitus, serum uric acid, and liver stiffness. Also, the performance of these four independent variables taken together in a logistic regression model for identifying CKD was 0.834 (AUROC; 95%CI: 0.814-0.853), showing a higher diagnostic performance than that of a single application of liver stiffness. Conclusions: Liver stiffness assessed by TE is a potential indicator for CKD in ultrasonography-diagnosed NAFLD patients. Further, a four-variable model (liver stiffness, age, serum uric acid, and diabetes mellitus) could be a useful tool for identifying subjects at high risk for CKD in NAFLD patients.","author":[{"dropping-particle":"","family":"Qin","given":"Shaoyou","non-dropping-particle":"","parse-names":false,"suffix":""},{"dropping-particle":"","family":"Wang","given":"Song","non-dropping-particle":"","parse-names":false,"suffix":""},{"dropping-particle":"","family":"Wang","given":"Xu","non-dropping-particle":"","parse-names":false,"suffix":""},{"dropping-particle":"","family":"Wang","given":"Jiangbin","non-dropping-particle":"","parse-names":false,"suffix":""}],"container-title":"Journal of Clinical Laboratory Analysis","id":"ITEM-1","issue":"2","issued":{"date-parts":[["2019"]]},"page":"1-8","title":"Liver stiffness assessed by transient elastography as a potential indicator of chronic kidney disease in patients with nonalcoholic fatty liver disease","type":"article-journal","volume":"33"},"uris":["http://www.mendeley.com/documents/?uuid=2951d5a1-3774-4c25-9c32-feb39a4b674a"]}],"mendeley":{"formattedCitation":"(29)","plainTextFormattedCitation":"(29)","previouslyFormattedCitation":"[29]"},"properties":{"noteIndex":0},"schema":"https://github.com/citation-style-language/schema/raw/master/csl-citation.json"}</w:instrText>
      </w:r>
      <w:r w:rsidR="002F4774" w:rsidRPr="00153006">
        <w:rPr>
          <w:rFonts w:asciiTheme="majorBidi" w:hAnsiTheme="majorBidi" w:cstheme="majorBidi"/>
        </w:rPr>
        <w:fldChar w:fldCharType="separate"/>
      </w:r>
      <w:r w:rsidR="0063099F" w:rsidRPr="00153006">
        <w:rPr>
          <w:rFonts w:asciiTheme="majorBidi" w:hAnsiTheme="majorBidi" w:cstheme="majorBidi"/>
          <w:noProof/>
        </w:rPr>
        <w:t>(29)</w:t>
      </w:r>
      <w:r w:rsidR="002F4774" w:rsidRPr="00153006">
        <w:rPr>
          <w:rFonts w:asciiTheme="majorBidi" w:hAnsiTheme="majorBidi" w:cstheme="majorBidi"/>
        </w:rPr>
        <w:fldChar w:fldCharType="end"/>
      </w:r>
      <w:r w:rsidR="002F4774" w:rsidRPr="00153006">
        <w:rPr>
          <w:rFonts w:asciiTheme="majorBidi" w:hAnsiTheme="majorBidi" w:cstheme="majorBidi"/>
        </w:rPr>
        <w:t xml:space="preserve">. Therefore, the risk of CKD might rise with the advancement in the hepatic fibrosis stage. </w:t>
      </w:r>
    </w:p>
    <w:p w14:paraId="0977DE70" w14:textId="4E4385BC" w:rsidR="00F83FA6" w:rsidRPr="00153006" w:rsidRDefault="00F83FA6" w:rsidP="004D799D">
      <w:pPr>
        <w:jc w:val="both"/>
        <w:rPr>
          <w:rFonts w:asciiTheme="majorBidi" w:hAnsiTheme="majorBidi" w:cstheme="majorBidi"/>
        </w:rPr>
      </w:pPr>
    </w:p>
    <w:p w14:paraId="569D2AC7" w14:textId="3CA2AFB0" w:rsidR="00F83FA6" w:rsidRPr="00153006" w:rsidRDefault="00722EBD" w:rsidP="004D799D">
      <w:pPr>
        <w:jc w:val="both"/>
        <w:rPr>
          <w:rFonts w:asciiTheme="majorBidi" w:hAnsiTheme="majorBidi" w:cstheme="majorBidi"/>
        </w:rPr>
      </w:pPr>
      <w:r w:rsidRPr="00153006">
        <w:rPr>
          <w:rFonts w:asciiTheme="majorBidi" w:hAnsiTheme="majorBidi" w:cstheme="majorBidi"/>
        </w:rPr>
        <w:t xml:space="preserve">This </w:t>
      </w:r>
      <w:r w:rsidR="00F83FA6" w:rsidRPr="00153006">
        <w:rPr>
          <w:rFonts w:asciiTheme="majorBidi" w:hAnsiTheme="majorBidi" w:cstheme="majorBidi"/>
        </w:rPr>
        <w:t>study ha</w:t>
      </w:r>
      <w:r w:rsidRPr="00153006">
        <w:rPr>
          <w:rFonts w:asciiTheme="majorBidi" w:hAnsiTheme="majorBidi" w:cstheme="majorBidi"/>
        </w:rPr>
        <w:t>d</w:t>
      </w:r>
      <w:r w:rsidR="00F83FA6" w:rsidRPr="00153006">
        <w:rPr>
          <w:rFonts w:asciiTheme="majorBidi" w:hAnsiTheme="majorBidi" w:cstheme="majorBidi"/>
        </w:rPr>
        <w:t xml:space="preserve"> </w:t>
      </w:r>
      <w:r w:rsidR="00EA6B57" w:rsidRPr="00153006">
        <w:rPr>
          <w:rFonts w:asciiTheme="majorBidi" w:hAnsiTheme="majorBidi" w:cstheme="majorBidi"/>
        </w:rPr>
        <w:t>some</w:t>
      </w:r>
      <w:r w:rsidR="00F83FA6" w:rsidRPr="00153006">
        <w:rPr>
          <w:rFonts w:asciiTheme="majorBidi" w:hAnsiTheme="majorBidi" w:cstheme="majorBidi"/>
        </w:rPr>
        <w:t xml:space="preserve"> limitations. First,</w:t>
      </w:r>
      <w:r w:rsidR="001063AA" w:rsidRPr="00153006">
        <w:rPr>
          <w:rFonts w:asciiTheme="majorBidi" w:hAnsiTheme="majorBidi" w:cstheme="majorBidi"/>
        </w:rPr>
        <w:t xml:space="preserve"> a cross-sectional design</w:t>
      </w:r>
      <w:r w:rsidRPr="00153006">
        <w:rPr>
          <w:rFonts w:asciiTheme="majorBidi" w:hAnsiTheme="majorBidi" w:cstheme="majorBidi"/>
        </w:rPr>
        <w:t xml:space="preserve"> of the study</w:t>
      </w:r>
      <w:r w:rsidR="001063AA" w:rsidRPr="00153006">
        <w:rPr>
          <w:rFonts w:asciiTheme="majorBidi" w:hAnsiTheme="majorBidi" w:cstheme="majorBidi"/>
        </w:rPr>
        <w:t xml:space="preserve"> did not determine if NAFLD </w:t>
      </w:r>
      <w:r w:rsidR="00B76B43" w:rsidRPr="00153006">
        <w:rPr>
          <w:rFonts w:asciiTheme="majorBidi" w:hAnsiTheme="majorBidi" w:cstheme="majorBidi"/>
        </w:rPr>
        <w:t xml:space="preserve">affects </w:t>
      </w:r>
      <w:r w:rsidR="001063AA" w:rsidRPr="00153006">
        <w:rPr>
          <w:rFonts w:asciiTheme="majorBidi" w:hAnsiTheme="majorBidi" w:cstheme="majorBidi"/>
        </w:rPr>
        <w:t xml:space="preserve">CKD </w:t>
      </w:r>
      <w:r w:rsidR="00B76B43" w:rsidRPr="00153006">
        <w:rPr>
          <w:rFonts w:asciiTheme="majorBidi" w:hAnsiTheme="majorBidi" w:cstheme="majorBidi"/>
        </w:rPr>
        <w:t xml:space="preserve">progression </w:t>
      </w:r>
      <w:r w:rsidR="001063AA" w:rsidRPr="00153006">
        <w:rPr>
          <w:rFonts w:asciiTheme="majorBidi" w:hAnsiTheme="majorBidi" w:cstheme="majorBidi"/>
        </w:rPr>
        <w:t>on its own</w:t>
      </w:r>
      <w:r w:rsidR="00F83FA6" w:rsidRPr="00153006">
        <w:rPr>
          <w:rFonts w:asciiTheme="majorBidi" w:hAnsiTheme="majorBidi" w:cstheme="majorBidi"/>
        </w:rPr>
        <w:t xml:space="preserve">. Second, we had a small sample </w:t>
      </w:r>
      <w:r w:rsidR="002F56EB" w:rsidRPr="00153006">
        <w:rPr>
          <w:rFonts w:asciiTheme="majorBidi" w:hAnsiTheme="majorBidi" w:cstheme="majorBidi"/>
        </w:rPr>
        <w:t>siz</w:t>
      </w:r>
      <w:r w:rsidRPr="00153006">
        <w:rPr>
          <w:rFonts w:asciiTheme="majorBidi" w:hAnsiTheme="majorBidi" w:cstheme="majorBidi"/>
        </w:rPr>
        <w:t xml:space="preserve">e </w:t>
      </w:r>
      <w:r w:rsidR="001063AA" w:rsidRPr="00153006">
        <w:rPr>
          <w:rFonts w:asciiTheme="majorBidi" w:hAnsiTheme="majorBidi" w:cstheme="majorBidi"/>
        </w:rPr>
        <w:t xml:space="preserve">and </w:t>
      </w:r>
      <w:r w:rsidR="00AA4DCE" w:rsidRPr="00153006">
        <w:rPr>
          <w:rFonts w:asciiTheme="majorBidi" w:hAnsiTheme="majorBidi" w:cstheme="majorBidi"/>
        </w:rPr>
        <w:t xml:space="preserve">a </w:t>
      </w:r>
      <w:r w:rsidR="001063AA" w:rsidRPr="00153006">
        <w:rPr>
          <w:rFonts w:asciiTheme="majorBidi" w:hAnsiTheme="majorBidi" w:cstheme="majorBidi"/>
        </w:rPr>
        <w:t>single</w:t>
      </w:r>
      <w:r w:rsidR="00AA4DCE" w:rsidRPr="00153006">
        <w:rPr>
          <w:rFonts w:asciiTheme="majorBidi" w:hAnsiTheme="majorBidi" w:cstheme="majorBidi"/>
        </w:rPr>
        <w:t>-</w:t>
      </w:r>
      <w:r w:rsidR="001063AA" w:rsidRPr="00153006">
        <w:rPr>
          <w:rFonts w:asciiTheme="majorBidi" w:hAnsiTheme="majorBidi" w:cstheme="majorBidi"/>
        </w:rPr>
        <w:t>cent</w:t>
      </w:r>
      <w:r w:rsidR="00AA4DCE" w:rsidRPr="00153006">
        <w:rPr>
          <w:rFonts w:asciiTheme="majorBidi" w:hAnsiTheme="majorBidi" w:cstheme="majorBidi"/>
        </w:rPr>
        <w:t>er</w:t>
      </w:r>
      <w:r w:rsidR="001063AA" w:rsidRPr="00153006">
        <w:rPr>
          <w:rFonts w:asciiTheme="majorBidi" w:hAnsiTheme="majorBidi" w:cstheme="majorBidi"/>
        </w:rPr>
        <w:t xml:space="preserve"> study</w:t>
      </w:r>
      <w:r w:rsidR="00F83FA6" w:rsidRPr="00153006">
        <w:rPr>
          <w:rFonts w:asciiTheme="majorBidi" w:hAnsiTheme="majorBidi" w:cstheme="majorBidi"/>
        </w:rPr>
        <w:t xml:space="preserve">. Third, we used only the eGFR and albumin creatinine ratio </w:t>
      </w:r>
      <w:r w:rsidR="003E62F3" w:rsidRPr="00153006">
        <w:rPr>
          <w:rFonts w:asciiTheme="majorBidi" w:hAnsiTheme="majorBidi" w:cstheme="majorBidi"/>
        </w:rPr>
        <w:t>to identify</w:t>
      </w:r>
      <w:r w:rsidR="00F83FA6" w:rsidRPr="00153006">
        <w:rPr>
          <w:rFonts w:asciiTheme="majorBidi" w:hAnsiTheme="majorBidi" w:cstheme="majorBidi"/>
        </w:rPr>
        <w:t xml:space="preserve"> CKD</w:t>
      </w:r>
      <w:r w:rsidR="00EA6B57" w:rsidRPr="00153006">
        <w:rPr>
          <w:rFonts w:asciiTheme="majorBidi" w:hAnsiTheme="majorBidi" w:cstheme="majorBidi"/>
        </w:rPr>
        <w:t xml:space="preserve"> </w:t>
      </w:r>
      <w:r w:rsidR="003E62F3" w:rsidRPr="00153006">
        <w:rPr>
          <w:rFonts w:asciiTheme="majorBidi" w:hAnsiTheme="majorBidi" w:cstheme="majorBidi"/>
        </w:rPr>
        <w:t>without</w:t>
      </w:r>
      <w:r w:rsidR="00EA6B57" w:rsidRPr="00153006">
        <w:rPr>
          <w:rFonts w:asciiTheme="majorBidi" w:hAnsiTheme="majorBidi" w:cstheme="majorBidi"/>
        </w:rPr>
        <w:t xml:space="preserve"> renal biopsy</w:t>
      </w:r>
      <w:r w:rsidR="00F83FA6" w:rsidRPr="00153006">
        <w:rPr>
          <w:rFonts w:asciiTheme="majorBidi" w:hAnsiTheme="majorBidi" w:cstheme="majorBidi"/>
        </w:rPr>
        <w:t xml:space="preserve">. </w:t>
      </w:r>
      <w:r w:rsidR="00EA6B57" w:rsidRPr="00153006">
        <w:rPr>
          <w:rFonts w:asciiTheme="majorBidi" w:hAnsiTheme="majorBidi" w:cstheme="majorBidi"/>
        </w:rPr>
        <w:t>However, eGFR is the most prevalent variable assessed for CKD in clinical practi</w:t>
      </w:r>
      <w:r w:rsidR="00AA4DCE" w:rsidRPr="00153006">
        <w:rPr>
          <w:rFonts w:asciiTheme="majorBidi" w:hAnsiTheme="majorBidi" w:cstheme="majorBidi"/>
        </w:rPr>
        <w:t>c</w:t>
      </w:r>
      <w:r w:rsidR="00EA6B57" w:rsidRPr="00153006">
        <w:rPr>
          <w:rFonts w:asciiTheme="majorBidi" w:hAnsiTheme="majorBidi" w:cstheme="majorBidi"/>
        </w:rPr>
        <w:t>e and epidemiological investigations, and eGFR is utili</w:t>
      </w:r>
      <w:r w:rsidR="00AA4DCE" w:rsidRPr="00153006">
        <w:rPr>
          <w:rFonts w:asciiTheme="majorBidi" w:hAnsiTheme="majorBidi" w:cstheme="majorBidi"/>
        </w:rPr>
        <w:t>z</w:t>
      </w:r>
      <w:r w:rsidR="00EA6B57" w:rsidRPr="00153006">
        <w:rPr>
          <w:rFonts w:asciiTheme="majorBidi" w:hAnsiTheme="majorBidi" w:cstheme="majorBidi"/>
        </w:rPr>
        <w:t>ed for CKD classification.</w:t>
      </w:r>
    </w:p>
    <w:p w14:paraId="4548F741" w14:textId="663CF2EB" w:rsidR="003E509B" w:rsidRPr="00153006" w:rsidRDefault="002F4774" w:rsidP="002F4774">
      <w:pPr>
        <w:jc w:val="both"/>
        <w:rPr>
          <w:rFonts w:asciiTheme="majorBidi" w:hAnsiTheme="majorBidi" w:cstheme="majorBidi"/>
        </w:rPr>
      </w:pPr>
      <w:r w:rsidRPr="00153006">
        <w:rPr>
          <w:rFonts w:asciiTheme="majorBidi" w:hAnsiTheme="majorBidi" w:cstheme="majorBidi"/>
        </w:rPr>
        <w:t>Fourth</w:t>
      </w:r>
      <w:r w:rsidR="00076C71" w:rsidRPr="00153006">
        <w:rPr>
          <w:rFonts w:asciiTheme="majorBidi" w:hAnsiTheme="majorBidi" w:cstheme="majorBidi"/>
        </w:rPr>
        <w:t>, the</w:t>
      </w:r>
      <w:r w:rsidR="00316A41" w:rsidRPr="00153006">
        <w:rPr>
          <w:rFonts w:asciiTheme="majorBidi" w:hAnsiTheme="majorBidi" w:cstheme="majorBidi"/>
        </w:rPr>
        <w:t xml:space="preserve"> authors </w:t>
      </w:r>
      <w:r w:rsidR="002F56EB" w:rsidRPr="00153006">
        <w:rPr>
          <w:rFonts w:asciiTheme="majorBidi" w:hAnsiTheme="majorBidi" w:cstheme="majorBidi"/>
        </w:rPr>
        <w:t>did</w:t>
      </w:r>
      <w:r w:rsidR="003E62F3" w:rsidRPr="00153006">
        <w:rPr>
          <w:rFonts w:asciiTheme="majorBidi" w:hAnsiTheme="majorBidi" w:cstheme="majorBidi"/>
        </w:rPr>
        <w:t xml:space="preserve"> no</w:t>
      </w:r>
      <w:r w:rsidR="002F56EB" w:rsidRPr="00153006">
        <w:rPr>
          <w:rFonts w:asciiTheme="majorBidi" w:hAnsiTheme="majorBidi" w:cstheme="majorBidi"/>
        </w:rPr>
        <w:t>t do</w:t>
      </w:r>
      <w:r w:rsidR="00076C71" w:rsidRPr="00153006">
        <w:rPr>
          <w:rFonts w:asciiTheme="majorBidi" w:hAnsiTheme="majorBidi" w:cstheme="majorBidi"/>
        </w:rPr>
        <w:t xml:space="preserve"> </w:t>
      </w:r>
      <w:r w:rsidR="00253991" w:rsidRPr="00153006">
        <w:rPr>
          <w:rFonts w:asciiTheme="majorBidi" w:hAnsiTheme="majorBidi" w:cstheme="majorBidi"/>
        </w:rPr>
        <w:t xml:space="preserve">a </w:t>
      </w:r>
      <w:r w:rsidR="00F83FA6" w:rsidRPr="00153006">
        <w:rPr>
          <w:rFonts w:asciiTheme="majorBidi" w:hAnsiTheme="majorBidi" w:cstheme="majorBidi"/>
        </w:rPr>
        <w:t xml:space="preserve">liver biopsy </w:t>
      </w:r>
      <w:r w:rsidR="00316A41" w:rsidRPr="00153006">
        <w:rPr>
          <w:rFonts w:asciiTheme="majorBidi" w:hAnsiTheme="majorBidi" w:cstheme="majorBidi"/>
        </w:rPr>
        <w:t>which is the princip</w:t>
      </w:r>
      <w:r w:rsidR="00AA4DCE" w:rsidRPr="00153006">
        <w:rPr>
          <w:rFonts w:asciiTheme="majorBidi" w:hAnsiTheme="majorBidi" w:cstheme="majorBidi"/>
        </w:rPr>
        <w:t>al</w:t>
      </w:r>
      <w:r w:rsidR="00316A41" w:rsidRPr="00153006">
        <w:rPr>
          <w:rFonts w:asciiTheme="majorBidi" w:hAnsiTheme="majorBidi" w:cstheme="majorBidi"/>
        </w:rPr>
        <w:t xml:space="preserve"> method in</w:t>
      </w:r>
      <w:r w:rsidR="00EA6B57" w:rsidRPr="00153006">
        <w:rPr>
          <w:rFonts w:asciiTheme="majorBidi" w:hAnsiTheme="majorBidi" w:cstheme="majorBidi"/>
        </w:rPr>
        <w:t xml:space="preserve"> determining the severity of hepatic fibrosis and inflammation</w:t>
      </w:r>
      <w:r w:rsidR="00316A41" w:rsidRPr="00153006">
        <w:rPr>
          <w:rFonts w:asciiTheme="majorBidi" w:hAnsiTheme="majorBidi" w:cstheme="majorBidi"/>
        </w:rPr>
        <w:t xml:space="preserve">. </w:t>
      </w:r>
      <w:r w:rsidR="003E62F3" w:rsidRPr="00153006">
        <w:rPr>
          <w:rFonts w:asciiTheme="majorBidi" w:hAnsiTheme="majorBidi" w:cstheme="majorBidi"/>
        </w:rPr>
        <w:t>Unfortunately, w</w:t>
      </w:r>
      <w:r w:rsidR="00316A41" w:rsidRPr="00153006">
        <w:rPr>
          <w:rFonts w:asciiTheme="majorBidi" w:hAnsiTheme="majorBidi" w:cstheme="majorBidi"/>
        </w:rPr>
        <w:t xml:space="preserve">e </w:t>
      </w:r>
      <w:r w:rsidR="003E62F3" w:rsidRPr="00153006">
        <w:rPr>
          <w:rFonts w:asciiTheme="majorBidi" w:hAnsiTheme="majorBidi" w:cstheme="majorBidi"/>
        </w:rPr>
        <w:t>could not do a liver biopsy since most</w:t>
      </w:r>
      <w:r w:rsidR="00316A41" w:rsidRPr="00153006">
        <w:rPr>
          <w:rFonts w:asciiTheme="majorBidi" w:hAnsiTheme="majorBidi" w:cstheme="majorBidi"/>
        </w:rPr>
        <w:t xml:space="preserve"> participants were not eligible</w:t>
      </w:r>
      <w:r w:rsidR="00F83FA6" w:rsidRPr="00153006">
        <w:rPr>
          <w:rFonts w:asciiTheme="majorBidi" w:hAnsiTheme="majorBidi" w:cstheme="majorBidi"/>
        </w:rPr>
        <w:t>.</w:t>
      </w:r>
      <w:r w:rsidR="00316A41" w:rsidRPr="00153006">
        <w:rPr>
          <w:rFonts w:asciiTheme="majorBidi" w:hAnsiTheme="majorBidi" w:cstheme="majorBidi"/>
        </w:rPr>
        <w:t xml:space="preserve"> </w:t>
      </w:r>
      <w:r w:rsidR="003E509B" w:rsidRPr="00153006">
        <w:rPr>
          <w:rFonts w:asciiTheme="majorBidi" w:hAnsiTheme="majorBidi" w:cstheme="majorBidi"/>
        </w:rPr>
        <w:t>Finally, autoimmune liver disorders such as autoimmune hepatitis and primary biliary cholangitis were not ruled out. However, because of its rarity, this may have little impact on the study's findings.</w:t>
      </w:r>
    </w:p>
    <w:p w14:paraId="5631D6ED" w14:textId="77777777" w:rsidR="00A4298C" w:rsidRPr="00153006" w:rsidRDefault="00A4298C" w:rsidP="004D799D">
      <w:pPr>
        <w:spacing w:after="200"/>
        <w:contextualSpacing/>
        <w:jc w:val="both"/>
        <w:rPr>
          <w:rFonts w:asciiTheme="majorBidi" w:hAnsiTheme="majorBidi" w:cstheme="majorBidi"/>
          <w:b/>
          <w:bCs/>
        </w:rPr>
      </w:pPr>
      <w:r w:rsidRPr="00153006">
        <w:rPr>
          <w:rFonts w:asciiTheme="majorBidi" w:hAnsiTheme="majorBidi" w:cstheme="majorBidi"/>
          <w:b/>
          <w:bCs/>
        </w:rPr>
        <w:t>C</w:t>
      </w:r>
      <w:r w:rsidR="00F83FA6" w:rsidRPr="00153006">
        <w:rPr>
          <w:rFonts w:asciiTheme="majorBidi" w:hAnsiTheme="majorBidi" w:cstheme="majorBidi"/>
          <w:b/>
          <w:bCs/>
        </w:rPr>
        <w:t>onclusion</w:t>
      </w:r>
      <w:r w:rsidRPr="00153006">
        <w:rPr>
          <w:rFonts w:asciiTheme="majorBidi" w:hAnsiTheme="majorBidi" w:cstheme="majorBidi"/>
          <w:b/>
          <w:bCs/>
        </w:rPr>
        <w:t xml:space="preserve">: </w:t>
      </w:r>
    </w:p>
    <w:p w14:paraId="3937F743" w14:textId="195023C6" w:rsidR="0079289B" w:rsidRPr="00153006" w:rsidRDefault="00A4298C" w:rsidP="00153006">
      <w:pPr>
        <w:jc w:val="both"/>
        <w:rPr>
          <w:rFonts w:asciiTheme="majorBidi" w:hAnsiTheme="majorBidi" w:cstheme="majorBidi"/>
        </w:rPr>
      </w:pPr>
      <w:r w:rsidRPr="00153006">
        <w:rPr>
          <w:rFonts w:asciiTheme="majorBidi" w:hAnsiTheme="majorBidi" w:cstheme="majorBidi"/>
        </w:rPr>
        <w:t>O</w:t>
      </w:r>
      <w:r w:rsidR="00795BD1" w:rsidRPr="00153006">
        <w:rPr>
          <w:rFonts w:asciiTheme="majorBidi" w:hAnsiTheme="majorBidi" w:cstheme="majorBidi"/>
        </w:rPr>
        <w:t>ur</w:t>
      </w:r>
      <w:r w:rsidR="003E509B" w:rsidRPr="00153006">
        <w:rPr>
          <w:rFonts w:asciiTheme="majorBidi" w:hAnsiTheme="majorBidi" w:cstheme="majorBidi"/>
        </w:rPr>
        <w:t xml:space="preserve"> findings show</w:t>
      </w:r>
      <w:r w:rsidR="00795BD1" w:rsidRPr="00153006">
        <w:rPr>
          <w:rFonts w:asciiTheme="majorBidi" w:hAnsiTheme="majorBidi" w:cstheme="majorBidi"/>
        </w:rPr>
        <w:t>ed</w:t>
      </w:r>
      <w:r w:rsidR="003E509B" w:rsidRPr="00153006">
        <w:rPr>
          <w:rFonts w:asciiTheme="majorBidi" w:hAnsiTheme="majorBidi" w:cstheme="majorBidi"/>
        </w:rPr>
        <w:t xml:space="preserve"> that NAFLD</w:t>
      </w:r>
      <w:r w:rsidR="00460CB2" w:rsidRPr="00153006">
        <w:rPr>
          <w:rFonts w:asciiTheme="majorBidi" w:hAnsiTheme="majorBidi" w:cstheme="majorBidi"/>
        </w:rPr>
        <w:t xml:space="preserve"> </w:t>
      </w:r>
      <w:r w:rsidR="009C51EB" w:rsidRPr="00153006">
        <w:rPr>
          <w:rFonts w:asciiTheme="majorBidi" w:hAnsiTheme="majorBidi" w:cstheme="majorBidi"/>
        </w:rPr>
        <w:t>diagnosis</w:t>
      </w:r>
      <w:r w:rsidR="003E509B" w:rsidRPr="00153006">
        <w:rPr>
          <w:rFonts w:asciiTheme="majorBidi" w:hAnsiTheme="majorBidi" w:cstheme="majorBidi"/>
        </w:rPr>
        <w:t xml:space="preserve"> is associated with a considerably higher risk of CKD.</w:t>
      </w:r>
      <w:r w:rsidR="00F83FA6" w:rsidRPr="00153006">
        <w:rPr>
          <w:rFonts w:asciiTheme="majorBidi" w:hAnsiTheme="majorBidi" w:cstheme="majorBidi"/>
        </w:rPr>
        <w:t xml:space="preserve"> </w:t>
      </w:r>
      <w:r w:rsidR="003E509B" w:rsidRPr="00153006">
        <w:rPr>
          <w:rFonts w:asciiTheme="majorBidi" w:hAnsiTheme="majorBidi" w:cstheme="majorBidi"/>
        </w:rPr>
        <w:t>Our results indicated that screen</w:t>
      </w:r>
      <w:r w:rsidR="004478C6" w:rsidRPr="00153006">
        <w:rPr>
          <w:rFonts w:asciiTheme="majorBidi" w:hAnsiTheme="majorBidi" w:cstheme="majorBidi"/>
        </w:rPr>
        <w:t>ing</w:t>
      </w:r>
      <w:r w:rsidR="003E509B" w:rsidRPr="00153006">
        <w:rPr>
          <w:rFonts w:asciiTheme="majorBidi" w:hAnsiTheme="majorBidi" w:cstheme="majorBidi"/>
        </w:rPr>
        <w:t xml:space="preserve"> for CKD</w:t>
      </w:r>
      <w:r w:rsidR="004478C6" w:rsidRPr="00153006">
        <w:rPr>
          <w:rFonts w:asciiTheme="majorBidi" w:hAnsiTheme="majorBidi" w:cstheme="majorBidi"/>
        </w:rPr>
        <w:t xml:space="preserve"> in NAFLD patients is needed</w:t>
      </w:r>
      <w:r w:rsidR="003E509B" w:rsidRPr="00153006">
        <w:rPr>
          <w:rFonts w:asciiTheme="majorBidi" w:hAnsiTheme="majorBidi" w:cstheme="majorBidi"/>
        </w:rPr>
        <w:t>.</w:t>
      </w:r>
      <w:r w:rsidR="00F83FA6" w:rsidRPr="00153006">
        <w:rPr>
          <w:rFonts w:asciiTheme="majorBidi" w:hAnsiTheme="majorBidi" w:cstheme="majorBidi"/>
        </w:rPr>
        <w:t xml:space="preserve"> </w:t>
      </w:r>
      <w:r w:rsidR="003A51F3" w:rsidRPr="00153006">
        <w:rPr>
          <w:rFonts w:asciiTheme="majorBidi" w:hAnsiTheme="majorBidi" w:cstheme="majorBidi"/>
        </w:rPr>
        <w:t xml:space="preserve">More studies are </w:t>
      </w:r>
      <w:r w:rsidR="004478C6" w:rsidRPr="00153006">
        <w:rPr>
          <w:rFonts w:asciiTheme="majorBidi" w:hAnsiTheme="majorBidi" w:cstheme="majorBidi"/>
        </w:rPr>
        <w:t>recommended</w:t>
      </w:r>
      <w:r w:rsidR="003A51F3" w:rsidRPr="00153006">
        <w:rPr>
          <w:rFonts w:asciiTheme="majorBidi" w:hAnsiTheme="majorBidi" w:cstheme="majorBidi"/>
        </w:rPr>
        <w:t xml:space="preserve"> to establish the underlying mechanism of this link and the therapies required to treat people with NAFLD who are at increased risk of getting CKD.</w:t>
      </w:r>
      <w:r w:rsidR="0079289B" w:rsidRPr="00153006">
        <w:rPr>
          <w:rFonts w:asciiTheme="majorBidi" w:hAnsiTheme="majorBidi" w:cstheme="majorBidi"/>
        </w:rPr>
        <w:t xml:space="preserve"> </w:t>
      </w:r>
    </w:p>
    <w:p w14:paraId="0E2003F4" w14:textId="3E1D6169" w:rsidR="003A51F3" w:rsidRDefault="003A51F3" w:rsidP="004D799D">
      <w:pPr>
        <w:jc w:val="both"/>
        <w:rPr>
          <w:rFonts w:asciiTheme="majorBidi" w:hAnsiTheme="majorBidi" w:cstheme="majorBidi"/>
          <w:sz w:val="20"/>
          <w:szCs w:val="20"/>
        </w:rPr>
      </w:pPr>
    </w:p>
    <w:p w14:paraId="6DFE16CC" w14:textId="77777777" w:rsidR="001B3247" w:rsidRPr="001B3247" w:rsidRDefault="001B3247" w:rsidP="001B3247">
      <w:pPr>
        <w:spacing w:after="160" w:line="256" w:lineRule="auto"/>
        <w:rPr>
          <w:rFonts w:eastAsia="Times New Roman"/>
          <w:b/>
          <w:bCs/>
          <w:sz w:val="22"/>
          <w:szCs w:val="22"/>
          <w:lang w:eastAsia="en-US" w:bidi="ar-EG"/>
        </w:rPr>
      </w:pPr>
      <w:r w:rsidRPr="001B3247">
        <w:rPr>
          <w:rFonts w:eastAsia="Times New Roman"/>
          <w:b/>
          <w:bCs/>
          <w:sz w:val="22"/>
          <w:szCs w:val="22"/>
          <w:lang w:eastAsia="en-US" w:bidi="ar-EG"/>
        </w:rPr>
        <w:t>Footnotes.</w:t>
      </w:r>
    </w:p>
    <w:p w14:paraId="47BD87EB" w14:textId="77777777" w:rsidR="001B3247" w:rsidRPr="001B3247" w:rsidRDefault="001B3247" w:rsidP="001B3247">
      <w:pPr>
        <w:spacing w:after="160" w:line="256" w:lineRule="auto"/>
        <w:rPr>
          <w:rFonts w:eastAsia="Times New Roman"/>
          <w:sz w:val="22"/>
          <w:szCs w:val="22"/>
          <w:lang w:eastAsia="en-US" w:bidi="ar-EG"/>
        </w:rPr>
      </w:pPr>
      <w:r w:rsidRPr="001B3247">
        <w:rPr>
          <w:rFonts w:eastAsia="Times New Roman"/>
          <w:b/>
          <w:bCs/>
          <w:sz w:val="22"/>
          <w:szCs w:val="22"/>
          <w:lang w:eastAsia="en-US" w:bidi="ar-EG"/>
        </w:rPr>
        <w:t>Funding source:</w:t>
      </w:r>
      <w:r w:rsidRPr="001B3247">
        <w:rPr>
          <w:rFonts w:eastAsia="Times New Roman"/>
          <w:sz w:val="22"/>
          <w:szCs w:val="22"/>
          <w:lang w:eastAsia="en-US" w:bidi="ar-EG"/>
        </w:rPr>
        <w:t xml:space="preserve"> This research received no specific grant from any funding agency in the public, commercial, or not-for-profit sectors.</w:t>
      </w:r>
    </w:p>
    <w:p w14:paraId="4D142D4B" w14:textId="77777777" w:rsidR="001B3247" w:rsidRPr="001B3247" w:rsidRDefault="001B3247" w:rsidP="001B3247">
      <w:pPr>
        <w:spacing w:after="160" w:line="360" w:lineRule="auto"/>
        <w:rPr>
          <w:rFonts w:eastAsia="Calibri"/>
          <w:b/>
          <w:bCs/>
          <w:iCs/>
          <w:lang w:eastAsia="en-US"/>
        </w:rPr>
      </w:pPr>
      <w:r w:rsidRPr="001B3247">
        <w:rPr>
          <w:rFonts w:eastAsia="Calibri"/>
          <w:b/>
          <w:bCs/>
          <w:iCs/>
          <w:lang w:eastAsia="en-US"/>
        </w:rPr>
        <w:t>Declaration of competing interest</w:t>
      </w:r>
    </w:p>
    <w:p w14:paraId="1A1A77CE" w14:textId="77777777" w:rsidR="001B3247" w:rsidRPr="001B3247" w:rsidRDefault="001B3247" w:rsidP="001B3247">
      <w:pPr>
        <w:spacing w:after="160" w:line="360" w:lineRule="auto"/>
        <w:rPr>
          <w:rFonts w:eastAsia="Calibri"/>
          <w:bCs/>
          <w:iCs/>
          <w:lang w:eastAsia="en-US"/>
        </w:rPr>
      </w:pPr>
      <w:r w:rsidRPr="001B3247">
        <w:rPr>
          <w:rFonts w:eastAsia="Calibri"/>
          <w:bCs/>
          <w:iCs/>
          <w:lang w:eastAsia="en-US"/>
        </w:rPr>
        <w:t>There are no conflicts of interest related to this study.</w:t>
      </w:r>
    </w:p>
    <w:p w14:paraId="0472E059" w14:textId="02142B8C" w:rsidR="001B3247" w:rsidRDefault="001B3247" w:rsidP="001B3247">
      <w:pPr>
        <w:spacing w:after="160" w:line="360" w:lineRule="auto"/>
        <w:jc w:val="both"/>
        <w:rPr>
          <w:rFonts w:eastAsia="Calibri"/>
          <w:bCs/>
          <w:iCs/>
          <w:lang w:eastAsia="en-US"/>
        </w:rPr>
      </w:pPr>
      <w:r w:rsidRPr="001B3247">
        <w:rPr>
          <w:rFonts w:eastAsia="Calibri"/>
          <w:b/>
          <w:bCs/>
          <w:iCs/>
          <w:lang w:eastAsia="en-US"/>
        </w:rPr>
        <w:t xml:space="preserve">Authors' contributions: </w:t>
      </w:r>
      <w:r w:rsidRPr="001B3247">
        <w:rPr>
          <w:rFonts w:eastAsia="Calibri"/>
          <w:bCs/>
          <w:iCs/>
          <w:lang w:eastAsia="en-US"/>
        </w:rPr>
        <w:t>All authors contributed equally to this work.</w:t>
      </w:r>
    </w:p>
    <w:p w14:paraId="2FACD67B" w14:textId="77777777" w:rsidR="00C62A56" w:rsidRPr="002F4774" w:rsidRDefault="00C62A56" w:rsidP="00C62A56">
      <w:pPr>
        <w:spacing w:after="200" w:line="480" w:lineRule="auto"/>
        <w:contextualSpacing/>
        <w:jc w:val="both"/>
        <w:rPr>
          <w:rFonts w:asciiTheme="majorBidi" w:hAnsiTheme="majorBidi" w:cstheme="majorBidi"/>
          <w:sz w:val="20"/>
          <w:szCs w:val="20"/>
        </w:rPr>
      </w:pPr>
      <w:r w:rsidRPr="00C62A56">
        <w:rPr>
          <w:rFonts w:eastAsia="Calibri"/>
          <w:b/>
          <w:bCs/>
          <w:iCs/>
          <w:lang w:eastAsia="en-US"/>
        </w:rPr>
        <w:t>ClinicalTrials.gov Identifier:</w:t>
      </w:r>
      <w:r w:rsidRPr="002F4774">
        <w:rPr>
          <w:rFonts w:asciiTheme="majorBidi" w:hAnsiTheme="majorBidi" w:cstheme="majorBidi"/>
          <w:sz w:val="20"/>
          <w:szCs w:val="20"/>
        </w:rPr>
        <w:t xml:space="preserve"> NCT04779905.</w:t>
      </w:r>
    </w:p>
    <w:p w14:paraId="461566E3" w14:textId="371BB0D9" w:rsidR="001B3247" w:rsidRPr="001B3247" w:rsidRDefault="001B3247" w:rsidP="001B3247">
      <w:pPr>
        <w:spacing w:after="160" w:line="360" w:lineRule="auto"/>
        <w:jc w:val="both"/>
        <w:rPr>
          <w:rFonts w:eastAsia="Calibri"/>
          <w:b/>
          <w:bCs/>
          <w:iCs/>
          <w:lang w:eastAsia="en-US"/>
        </w:rPr>
      </w:pPr>
      <w:r w:rsidRPr="001B3247">
        <w:rPr>
          <w:rFonts w:eastAsia="Calibri"/>
          <w:bCs/>
          <w:iCs/>
          <w:lang w:eastAsia="en-US"/>
        </w:rPr>
        <w:t xml:space="preserve">The institutional review board of </w:t>
      </w:r>
      <w:proofErr w:type="spellStart"/>
      <w:r w:rsidR="00C62A56">
        <w:rPr>
          <w:rFonts w:eastAsia="Calibri"/>
          <w:bCs/>
          <w:iCs/>
          <w:lang w:eastAsia="en-US"/>
        </w:rPr>
        <w:t>Sohag</w:t>
      </w:r>
      <w:proofErr w:type="spellEnd"/>
      <w:r w:rsidRPr="001B3247">
        <w:rPr>
          <w:rFonts w:eastAsia="Calibri"/>
          <w:bCs/>
          <w:iCs/>
          <w:lang w:eastAsia="en-US"/>
        </w:rPr>
        <w:t xml:space="preserve"> University, Faculty of Medicine, approved this research.</w:t>
      </w:r>
    </w:p>
    <w:p w14:paraId="3E18E0EA" w14:textId="77777777" w:rsidR="001B3247" w:rsidRPr="001B3247" w:rsidRDefault="001B3247" w:rsidP="001B3247">
      <w:pPr>
        <w:spacing w:after="160" w:line="360" w:lineRule="auto"/>
        <w:jc w:val="both"/>
        <w:rPr>
          <w:rFonts w:eastAsia="Calibri"/>
          <w:bCs/>
          <w:iCs/>
          <w:lang w:eastAsia="en-US"/>
        </w:rPr>
      </w:pPr>
      <w:r w:rsidRPr="001B3247">
        <w:rPr>
          <w:rFonts w:eastAsia="Calibri"/>
          <w:b/>
          <w:bCs/>
          <w:iCs/>
          <w:lang w:eastAsia="en-US"/>
        </w:rPr>
        <w:t xml:space="preserve">Data Availability Statement: </w:t>
      </w:r>
      <w:r w:rsidRPr="001B3247">
        <w:rPr>
          <w:rFonts w:eastAsia="Calibri"/>
          <w:bCs/>
          <w:iCs/>
          <w:lang w:eastAsia="en-US"/>
        </w:rPr>
        <w:t>Available upon reasonable request from the corresponding author.</w:t>
      </w:r>
    </w:p>
    <w:p w14:paraId="5B7951AA" w14:textId="6DD04168" w:rsidR="001B3247" w:rsidRDefault="001B3247" w:rsidP="001B3247">
      <w:pPr>
        <w:spacing w:after="160" w:line="360" w:lineRule="auto"/>
        <w:rPr>
          <w:rFonts w:eastAsia="Calibri"/>
          <w:bCs/>
          <w:iCs/>
          <w:lang w:eastAsia="en-US"/>
        </w:rPr>
      </w:pPr>
      <w:r w:rsidRPr="001B3247">
        <w:rPr>
          <w:rFonts w:eastAsia="Calibri"/>
          <w:bCs/>
          <w:iCs/>
          <w:lang w:eastAsia="en-US"/>
        </w:rPr>
        <w:t>All authors had direct exposure to the study data and read and agreed with the final text.</w:t>
      </w:r>
    </w:p>
    <w:p w14:paraId="4A707F0A" w14:textId="77777777" w:rsidR="0015062B" w:rsidRPr="004D799D" w:rsidRDefault="0015062B" w:rsidP="0015062B">
      <w:pPr>
        <w:spacing w:after="200"/>
        <w:contextualSpacing/>
        <w:rPr>
          <w:rFonts w:asciiTheme="majorBidi" w:hAnsiTheme="majorBidi" w:cstheme="majorBidi"/>
          <w:sz w:val="20"/>
          <w:szCs w:val="20"/>
        </w:rPr>
      </w:pPr>
      <w:r w:rsidRPr="00153006">
        <w:rPr>
          <w:rFonts w:asciiTheme="majorBidi" w:hAnsiTheme="majorBidi" w:cstheme="majorBidi"/>
          <w:b/>
          <w:bCs/>
        </w:rPr>
        <w:t>Acknowledgments:</w:t>
      </w:r>
      <w:r w:rsidRPr="004D799D">
        <w:rPr>
          <w:rFonts w:asciiTheme="majorBidi" w:hAnsiTheme="majorBidi" w:cstheme="majorBidi"/>
          <w:b/>
          <w:bCs/>
          <w:sz w:val="20"/>
          <w:szCs w:val="20"/>
        </w:rPr>
        <w:t xml:space="preserve"> </w:t>
      </w:r>
      <w:r w:rsidRPr="00153006">
        <w:rPr>
          <w:rFonts w:asciiTheme="majorBidi" w:hAnsiTheme="majorBidi" w:cstheme="majorBidi"/>
        </w:rPr>
        <w:t>We thank our healthcare workers and patients who helped us collect data.</w:t>
      </w:r>
    </w:p>
    <w:p w14:paraId="583ECCBC" w14:textId="300D1CBC" w:rsidR="001B3247" w:rsidRPr="001B3247" w:rsidRDefault="001B3247" w:rsidP="00C62A56">
      <w:pPr>
        <w:spacing w:after="160" w:line="360" w:lineRule="auto"/>
        <w:rPr>
          <w:rFonts w:eastAsia="Calibri"/>
          <w:bCs/>
          <w:iCs/>
          <w:lang w:eastAsia="en-US"/>
        </w:rPr>
      </w:pPr>
      <w:r w:rsidRPr="001B3247">
        <w:rPr>
          <w:rFonts w:eastAsia="Calibri"/>
          <w:b/>
          <w:iCs/>
          <w:lang w:eastAsia="en-US"/>
        </w:rPr>
        <w:t>Peer-Reviewers:</w:t>
      </w:r>
      <w:r w:rsidRPr="001B3247">
        <w:rPr>
          <w:rFonts w:eastAsia="Calibri"/>
          <w:bCs/>
          <w:iCs/>
          <w:lang w:eastAsia="en-US"/>
        </w:rPr>
        <w:t xml:space="preserve"> </w:t>
      </w:r>
      <w:proofErr w:type="spellStart"/>
      <w:r w:rsidR="00C62A56">
        <w:rPr>
          <w:rFonts w:eastAsia="Calibri"/>
          <w:bCs/>
          <w:iCs/>
          <w:lang w:eastAsia="en-US"/>
        </w:rPr>
        <w:t>Maysaa</w:t>
      </w:r>
      <w:proofErr w:type="spellEnd"/>
      <w:r w:rsidR="00C62A56">
        <w:rPr>
          <w:rFonts w:eastAsia="Calibri"/>
          <w:bCs/>
          <w:iCs/>
          <w:lang w:eastAsia="en-US"/>
        </w:rPr>
        <w:t xml:space="preserve"> Saeed</w:t>
      </w:r>
      <w:r w:rsidRPr="001B3247">
        <w:rPr>
          <w:rFonts w:eastAsia="Calibri"/>
          <w:bCs/>
          <w:iCs/>
          <w:lang w:eastAsia="en-US"/>
        </w:rPr>
        <w:t xml:space="preserve"> (professor of </w:t>
      </w:r>
      <w:r w:rsidR="00C62A56">
        <w:rPr>
          <w:rFonts w:eastAsia="Calibri"/>
          <w:bCs/>
          <w:iCs/>
          <w:lang w:eastAsia="en-US"/>
        </w:rPr>
        <w:t xml:space="preserve">tropical </w:t>
      </w:r>
      <w:r w:rsidRPr="001B3247">
        <w:rPr>
          <w:rFonts w:eastAsia="Calibri"/>
          <w:bCs/>
          <w:iCs/>
          <w:lang w:eastAsia="en-US"/>
        </w:rPr>
        <w:t xml:space="preserve">medicine), </w:t>
      </w:r>
      <w:proofErr w:type="spellStart"/>
      <w:r w:rsidR="00C62A56">
        <w:rPr>
          <w:rFonts w:eastAsia="Calibri"/>
          <w:bCs/>
          <w:iCs/>
          <w:lang w:eastAsia="en-US"/>
        </w:rPr>
        <w:t>Sameh</w:t>
      </w:r>
      <w:proofErr w:type="spellEnd"/>
      <w:r w:rsidR="00C62A56">
        <w:rPr>
          <w:rFonts w:eastAsia="Calibri"/>
          <w:bCs/>
          <w:iCs/>
          <w:lang w:eastAsia="en-US"/>
        </w:rPr>
        <w:t xml:space="preserve"> </w:t>
      </w:r>
      <w:proofErr w:type="spellStart"/>
      <w:r w:rsidR="00C62A56">
        <w:rPr>
          <w:rFonts w:eastAsia="Calibri"/>
          <w:bCs/>
          <w:iCs/>
          <w:lang w:eastAsia="en-US"/>
        </w:rPr>
        <w:t>Abdelazeem</w:t>
      </w:r>
      <w:proofErr w:type="spellEnd"/>
      <w:r w:rsidR="00C62A56">
        <w:rPr>
          <w:rFonts w:eastAsia="Calibri"/>
          <w:bCs/>
          <w:iCs/>
          <w:lang w:eastAsia="en-US"/>
        </w:rPr>
        <w:t xml:space="preserve"> Soliman</w:t>
      </w:r>
      <w:r w:rsidRPr="001B3247">
        <w:rPr>
          <w:rFonts w:eastAsia="Calibri"/>
          <w:bCs/>
          <w:iCs/>
          <w:lang w:eastAsia="en-US"/>
        </w:rPr>
        <w:t xml:space="preserve"> </w:t>
      </w:r>
      <w:r w:rsidR="00C62A56" w:rsidRPr="001B3247">
        <w:rPr>
          <w:rFonts w:eastAsia="Calibri"/>
          <w:bCs/>
          <w:iCs/>
          <w:lang w:eastAsia="en-US"/>
        </w:rPr>
        <w:t>(</w:t>
      </w:r>
      <w:r w:rsidR="00C62A56">
        <w:rPr>
          <w:rFonts w:eastAsia="Calibri"/>
          <w:bCs/>
          <w:iCs/>
          <w:lang w:eastAsia="en-US"/>
        </w:rPr>
        <w:t xml:space="preserve">Assistant </w:t>
      </w:r>
      <w:r w:rsidR="00C62A56" w:rsidRPr="001B3247">
        <w:rPr>
          <w:rFonts w:eastAsia="Calibri"/>
          <w:bCs/>
          <w:iCs/>
          <w:lang w:eastAsia="en-US"/>
        </w:rPr>
        <w:t>professor of internal medicine</w:t>
      </w:r>
      <w:r w:rsidRPr="001B3247">
        <w:rPr>
          <w:rFonts w:eastAsia="Calibri"/>
          <w:bCs/>
          <w:iCs/>
          <w:lang w:eastAsia="en-US"/>
        </w:rPr>
        <w:t xml:space="preserve">), </w:t>
      </w:r>
      <w:bookmarkStart w:id="9" w:name="_Hlk122539296"/>
      <w:r w:rsidR="00C62A56">
        <w:rPr>
          <w:rFonts w:eastAsia="Calibri"/>
          <w:bCs/>
          <w:iCs/>
          <w:lang w:eastAsia="en-US"/>
        </w:rPr>
        <w:t>Ahmed Fathy</w:t>
      </w:r>
      <w:r w:rsidRPr="001B3247">
        <w:rPr>
          <w:rFonts w:eastAsia="Calibri"/>
          <w:bCs/>
          <w:iCs/>
          <w:lang w:eastAsia="en-US"/>
        </w:rPr>
        <w:t xml:space="preserve"> (</w:t>
      </w:r>
      <w:bookmarkStart w:id="10" w:name="_Hlk123932150"/>
      <w:r w:rsidR="00C62A56">
        <w:rPr>
          <w:rFonts w:eastAsia="Calibri"/>
          <w:bCs/>
          <w:iCs/>
          <w:lang w:eastAsia="en-US"/>
        </w:rPr>
        <w:t xml:space="preserve">assistant </w:t>
      </w:r>
      <w:r w:rsidRPr="001B3247">
        <w:rPr>
          <w:rFonts w:eastAsia="Calibri"/>
          <w:bCs/>
          <w:iCs/>
          <w:lang w:eastAsia="en-US"/>
        </w:rPr>
        <w:t>professor of internal medicine</w:t>
      </w:r>
      <w:bookmarkEnd w:id="10"/>
      <w:r w:rsidRPr="001B3247">
        <w:rPr>
          <w:rFonts w:eastAsia="Calibri"/>
          <w:bCs/>
          <w:iCs/>
          <w:lang w:eastAsia="en-US"/>
        </w:rPr>
        <w:t>)</w:t>
      </w:r>
      <w:bookmarkEnd w:id="9"/>
      <w:r w:rsidR="00C62A56">
        <w:rPr>
          <w:rFonts w:eastAsia="Calibri"/>
          <w:bCs/>
          <w:iCs/>
          <w:lang w:eastAsia="en-US"/>
        </w:rPr>
        <w:t>.</w:t>
      </w:r>
      <w:r w:rsidRPr="001B3247">
        <w:rPr>
          <w:rFonts w:eastAsia="Calibri"/>
          <w:bCs/>
          <w:iCs/>
          <w:lang w:eastAsia="en-US"/>
        </w:rPr>
        <w:t xml:space="preserve"> </w:t>
      </w:r>
    </w:p>
    <w:p w14:paraId="7C412A4D" w14:textId="3C2B6C0A" w:rsidR="001B3247" w:rsidRPr="001B3247" w:rsidRDefault="001B3247" w:rsidP="001B3247">
      <w:pPr>
        <w:spacing w:after="160" w:line="360" w:lineRule="auto"/>
        <w:rPr>
          <w:rFonts w:eastAsia="Calibri"/>
          <w:bCs/>
          <w:iCs/>
          <w:lang w:eastAsia="en-US"/>
        </w:rPr>
      </w:pPr>
      <w:r w:rsidRPr="001B3247">
        <w:rPr>
          <w:rFonts w:eastAsia="Calibri"/>
          <w:b/>
          <w:iCs/>
          <w:lang w:eastAsia="en-US"/>
        </w:rPr>
        <w:t>E- Editor:</w:t>
      </w:r>
      <w:r w:rsidRPr="001B3247">
        <w:rPr>
          <w:rFonts w:eastAsia="Calibri"/>
          <w:bCs/>
          <w:iCs/>
          <w:lang w:eastAsia="en-US"/>
        </w:rPr>
        <w:t xml:space="preserve"> Salem Youssef Mohamed</w:t>
      </w:r>
      <w:r w:rsidR="00E47BB4">
        <w:rPr>
          <w:rFonts w:eastAsia="Calibri"/>
          <w:bCs/>
          <w:iCs/>
          <w:lang w:eastAsia="en-US"/>
        </w:rPr>
        <w:t>, Osama Ahmed Khalil.</w:t>
      </w:r>
    </w:p>
    <w:p w14:paraId="6B00BC4A" w14:textId="77777777" w:rsidR="001B3247" w:rsidRPr="001B3247" w:rsidRDefault="001B3247" w:rsidP="001B3247">
      <w:pPr>
        <w:spacing w:after="160" w:line="360" w:lineRule="auto"/>
        <w:rPr>
          <w:rFonts w:eastAsia="Calibri"/>
          <w:bCs/>
          <w:iCs/>
          <w:lang w:eastAsia="en-US"/>
        </w:rPr>
      </w:pPr>
      <w:r w:rsidRPr="001B3247">
        <w:rPr>
          <w:rFonts w:eastAsia="Calibri"/>
          <w:b/>
          <w:iCs/>
          <w:lang w:eastAsia="en-US"/>
        </w:rPr>
        <w:t>Copyright ©.</w:t>
      </w:r>
      <w:r w:rsidRPr="001B3247">
        <w:rPr>
          <w:rFonts w:eastAsia="Calibri"/>
          <w:bCs/>
          <w:iCs/>
          <w:lang w:eastAsia="en-US"/>
        </w:rPr>
        <w:t xml:space="preserve"> This open-access article is distributed under the </w:t>
      </w:r>
      <w:hyperlink r:id="rId22" w:history="1">
        <w:r w:rsidRPr="001B3247">
          <w:rPr>
            <w:rFonts w:eastAsia="Calibri"/>
            <w:bCs/>
            <w:iCs/>
            <w:color w:val="0563C1"/>
            <w:u w:val="single"/>
            <w:lang w:eastAsia="en-US"/>
          </w:rPr>
          <w:t>Creative Commons Attribution License (CC BY)</w:t>
        </w:r>
      </w:hyperlink>
      <w:r w:rsidRPr="001B3247">
        <w:rPr>
          <w:rFonts w:eastAsia="Calibri"/>
          <w:bCs/>
          <w:iCs/>
          <w:lang w:eastAsia="en-US"/>
        </w:rPr>
        <w:t>.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16444784" w14:textId="77777777" w:rsidR="001B3247" w:rsidRPr="001B3247" w:rsidRDefault="001B3247" w:rsidP="001B3247">
      <w:pPr>
        <w:spacing w:after="160" w:line="360" w:lineRule="auto"/>
        <w:rPr>
          <w:rFonts w:eastAsia="Calibri"/>
          <w:b/>
          <w:bCs/>
          <w:lang w:eastAsia="en-US"/>
        </w:rPr>
      </w:pPr>
      <w:r w:rsidRPr="001B3247">
        <w:rPr>
          <w:rFonts w:eastAsia="Calibri"/>
          <w:b/>
          <w:iCs/>
          <w:lang w:eastAsia="en-US"/>
        </w:rPr>
        <w:t>Disclaimer:</w:t>
      </w:r>
      <w:r w:rsidRPr="001B3247">
        <w:rPr>
          <w:rFonts w:eastAsia="Calibri"/>
          <w:bCs/>
          <w:iCs/>
          <w:lang w:eastAsia="en-US"/>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54784454" w14:textId="77777777" w:rsidR="001B3247" w:rsidRPr="001B3247" w:rsidRDefault="001B3247" w:rsidP="001B3247">
      <w:pPr>
        <w:spacing w:before="240" w:after="200" w:line="360" w:lineRule="auto"/>
        <w:jc w:val="both"/>
        <w:rPr>
          <w:rFonts w:eastAsia="Calibri"/>
          <w:b/>
          <w:bCs/>
          <w:shd w:val="clear" w:color="auto" w:fill="FFFFFF"/>
          <w:lang w:eastAsia="en-US"/>
        </w:rPr>
      </w:pPr>
      <w:r w:rsidRPr="001B3247">
        <w:rPr>
          <w:rFonts w:eastAsia="Calibri"/>
          <w:b/>
          <w:bCs/>
          <w:shd w:val="clear" w:color="auto" w:fill="FFFFFF"/>
          <w:lang w:eastAsia="en-US"/>
        </w:rPr>
        <w:t xml:space="preserve">Data availability </w:t>
      </w:r>
    </w:p>
    <w:p w14:paraId="24E23F42" w14:textId="77777777" w:rsidR="001B3247" w:rsidRPr="001B3247" w:rsidRDefault="001B3247" w:rsidP="001B3247">
      <w:pPr>
        <w:spacing w:before="240" w:after="200" w:line="360" w:lineRule="auto"/>
        <w:jc w:val="both"/>
        <w:rPr>
          <w:rFonts w:eastAsia="Calibri"/>
          <w:lang w:eastAsia="en-US"/>
        </w:rPr>
      </w:pPr>
      <w:r w:rsidRPr="001B3247">
        <w:rPr>
          <w:rFonts w:eastAsia="Calibri"/>
          <w:lang w:eastAsia="en-US"/>
        </w:rPr>
        <w:t>The corresponding author will supply the data supporting our study's findings upon reasonable request.</w:t>
      </w:r>
    </w:p>
    <w:p w14:paraId="65CDA636" w14:textId="65206A6E" w:rsidR="004B5CD8" w:rsidRPr="004D799D" w:rsidRDefault="004B5CD8" w:rsidP="004D799D">
      <w:pPr>
        <w:jc w:val="both"/>
        <w:rPr>
          <w:rFonts w:asciiTheme="majorBidi" w:hAnsiTheme="majorBidi" w:cstheme="majorBidi"/>
          <w:b/>
          <w:bCs/>
          <w:sz w:val="20"/>
          <w:szCs w:val="20"/>
        </w:rPr>
      </w:pPr>
      <w:r w:rsidRPr="004D799D">
        <w:rPr>
          <w:rFonts w:asciiTheme="majorBidi" w:hAnsiTheme="majorBidi" w:cstheme="majorBidi"/>
          <w:b/>
          <w:bCs/>
          <w:sz w:val="20"/>
          <w:szCs w:val="20"/>
        </w:rPr>
        <w:t>References</w:t>
      </w:r>
      <w:r w:rsidR="00CC09BA" w:rsidRPr="004D799D">
        <w:rPr>
          <w:rFonts w:asciiTheme="majorBidi" w:hAnsiTheme="majorBidi" w:cstheme="majorBidi"/>
          <w:b/>
          <w:bCs/>
          <w:sz w:val="20"/>
          <w:szCs w:val="20"/>
        </w:rPr>
        <w:t>:</w:t>
      </w:r>
    </w:p>
    <w:p w14:paraId="4155502E" w14:textId="21817180" w:rsidR="0063099F" w:rsidRPr="0063099F" w:rsidRDefault="00CC09BA" w:rsidP="0063099F">
      <w:pPr>
        <w:widowControl w:val="0"/>
        <w:autoSpaceDE w:val="0"/>
        <w:autoSpaceDN w:val="0"/>
        <w:adjustRightInd w:val="0"/>
        <w:ind w:left="640" w:hanging="640"/>
        <w:rPr>
          <w:noProof/>
          <w:sz w:val="20"/>
        </w:rPr>
      </w:pPr>
      <w:r w:rsidRPr="004D799D">
        <w:rPr>
          <w:rFonts w:asciiTheme="majorBidi" w:hAnsiTheme="majorBidi" w:cstheme="majorBidi"/>
          <w:b/>
          <w:bCs/>
          <w:sz w:val="20"/>
          <w:szCs w:val="20"/>
        </w:rPr>
        <w:fldChar w:fldCharType="begin" w:fldLock="1"/>
      </w:r>
      <w:r w:rsidRPr="004D799D">
        <w:rPr>
          <w:rFonts w:asciiTheme="majorBidi" w:hAnsiTheme="majorBidi" w:cstheme="majorBidi"/>
          <w:b/>
          <w:bCs/>
          <w:sz w:val="20"/>
          <w:szCs w:val="20"/>
        </w:rPr>
        <w:instrText xml:space="preserve">ADDIN Mendeley Bibliography CSL_BIBLIOGRAPHY </w:instrText>
      </w:r>
      <w:r w:rsidRPr="004D799D">
        <w:rPr>
          <w:rFonts w:asciiTheme="majorBidi" w:hAnsiTheme="majorBidi" w:cstheme="majorBidi"/>
          <w:b/>
          <w:bCs/>
          <w:sz w:val="20"/>
          <w:szCs w:val="20"/>
        </w:rPr>
        <w:fldChar w:fldCharType="separate"/>
      </w:r>
      <w:r w:rsidR="0063099F" w:rsidRPr="0063099F">
        <w:rPr>
          <w:noProof/>
          <w:sz w:val="20"/>
        </w:rPr>
        <w:t xml:space="preserve">1. </w:t>
      </w:r>
      <w:r w:rsidR="0063099F" w:rsidRPr="0063099F">
        <w:rPr>
          <w:noProof/>
          <w:sz w:val="20"/>
        </w:rPr>
        <w:tab/>
        <w:t xml:space="preserve">Vernon G, Baranova A, Younossi ZM. Systematic review: The epidemiology and natural history of non-alcoholic fatty liver disease and non-alcoholic steatohepatitis in adults. Alimentary Pharmacology and Therapeutics. 2011;34(3):274–85. </w:t>
      </w:r>
    </w:p>
    <w:p w14:paraId="00F1D9DE" w14:textId="6229FCBD"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 </w:t>
      </w:r>
      <w:r w:rsidRPr="0063099F">
        <w:rPr>
          <w:noProof/>
          <w:sz w:val="20"/>
        </w:rPr>
        <w:tab/>
        <w:t xml:space="preserve">Chalasani N, Younossi Z, Lavine JE, Diehl AM, Brunt EM, Cusi K, et al. The diagnosis and management of non-alcoholic fatty liver disease: Practice Guideline by the American Association for the Study of Liver Diseases, American College of Gastroenterology, and the American Gastroenterological Association. Hepatology. 2012;55(6):2005–23. </w:t>
      </w:r>
    </w:p>
    <w:p w14:paraId="593FD55D" w14:textId="303EF3F1"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3. </w:t>
      </w:r>
      <w:r w:rsidRPr="0063099F">
        <w:rPr>
          <w:noProof/>
          <w:sz w:val="20"/>
        </w:rPr>
        <w:tab/>
        <w:t xml:space="preserve">Wedemeyer H, Thursz M. The role of different EASL-papers: Clinical practice guidelines vs. position papers vs. conference summaries [Internet]. Vol. 53, Journal of Hepatology. J Hepatol; 2010 [cited 2022 </w:t>
      </w:r>
      <w:r w:rsidR="0015062B">
        <w:rPr>
          <w:noProof/>
          <w:sz w:val="20"/>
        </w:rPr>
        <w:t>7 May</w:t>
      </w:r>
      <w:r w:rsidRPr="0063099F">
        <w:rPr>
          <w:noProof/>
          <w:sz w:val="20"/>
        </w:rPr>
        <w:t>]. p. 372–84. Available from: https://pubmed.ncbi.nlm.nih.gov/20494470/</w:t>
      </w:r>
    </w:p>
    <w:p w14:paraId="00E94814" w14:textId="5A041E3B"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4. </w:t>
      </w:r>
      <w:r w:rsidRPr="0063099F">
        <w:rPr>
          <w:noProof/>
          <w:sz w:val="20"/>
        </w:rPr>
        <w:tab/>
        <w:t xml:space="preserve">Loomba R, Sanyal AJ. The global NAFLD epidemic. Nature Reviews Gastroenterology and Hepatology. 2013;10(11):686–90. </w:t>
      </w:r>
    </w:p>
    <w:p w14:paraId="107EC670" w14:textId="4795773F"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5. </w:t>
      </w:r>
      <w:r w:rsidRPr="0063099F">
        <w:rPr>
          <w:noProof/>
          <w:sz w:val="20"/>
        </w:rPr>
        <w:tab/>
        <w:t>Marcuccilli M, Chonchol M. NAFLD</w:t>
      </w:r>
      <w:r w:rsidR="00DB133F">
        <w:rPr>
          <w:noProof/>
          <w:sz w:val="20"/>
        </w:rPr>
        <w:t>,</w:t>
      </w:r>
      <w:r w:rsidRPr="0063099F">
        <w:rPr>
          <w:noProof/>
          <w:sz w:val="20"/>
        </w:rPr>
        <w:t xml:space="preserve"> and chronic kidney disease. International Journal of Molecular Sciences. 2016;17(4):1–15. </w:t>
      </w:r>
    </w:p>
    <w:p w14:paraId="6A8F7FBE" w14:textId="225F9796"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6. </w:t>
      </w:r>
      <w:r w:rsidRPr="0063099F">
        <w:rPr>
          <w:noProof/>
          <w:sz w:val="20"/>
        </w:rPr>
        <w:tab/>
        <w:t xml:space="preserve">McCullough K, Sharma P, Ali T, Khan I, Smith WCS, MacLeod A, et al. Measuring the population burden of chronic kidney disease: a systematic literature review of the estimated prevalence of impaired kidney function. Vol. 27, Nephrology, dialysis, transplantation : official publication of the European Dialysis and Transplant Association - European Renal Association. 2012. p. 1812–21. </w:t>
      </w:r>
    </w:p>
    <w:p w14:paraId="1E248530" w14:textId="6107D3AB"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7. </w:t>
      </w:r>
      <w:r w:rsidRPr="0063099F">
        <w:rPr>
          <w:noProof/>
          <w:sz w:val="20"/>
        </w:rPr>
        <w:tab/>
        <w:t>Targher G, Chonchol MB, Byrne CD. CKD and Nonalcoholic Fatty Liver Disease. American Journal of Kidney Diseases [Internet]. 2014 Oct 1 [cited 2022 May 7];64(4):638–52. Available from: http://www.ajkd.org/article/S0272638614009718/fulltext</w:t>
      </w:r>
    </w:p>
    <w:p w14:paraId="7A164678" w14:textId="13FE6D29"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8. </w:t>
      </w:r>
      <w:r w:rsidRPr="0063099F">
        <w:rPr>
          <w:noProof/>
          <w:sz w:val="20"/>
        </w:rPr>
        <w:tab/>
        <w:t xml:space="preserve">Black C, Sharma P, Scotland G, McCullough K, McGurn D, Robertson L, et al. Early referral strategies for management of people with markers of renal disease: A systematic review of the evidence of clinical effectiveness, cost-effectiveness and economic analysis. Health Technology Assessment. 2010;14(21):1–184. </w:t>
      </w:r>
    </w:p>
    <w:p w14:paraId="439A6719" w14:textId="185A2588"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9. </w:t>
      </w:r>
      <w:r w:rsidRPr="0063099F">
        <w:rPr>
          <w:noProof/>
          <w:sz w:val="20"/>
        </w:rPr>
        <w:tab/>
        <w:t>Yasui K, Sumida Y, Mori Y, Mitsuyoshi H, Minami M, Itoh Y, et al. Nonalcoholic steatohepatitis and increased risk of chronic kidney disease. Metabolism - Clinical and Experimental [Internet]. 2011 May 1 [cited 2022 May 7];60(5):735–9. Available from: http://www.metabolismjournal.com/article/S0026049510002507/fulltext</w:t>
      </w:r>
    </w:p>
    <w:p w14:paraId="15720D84" w14:textId="299B9A3C"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10. </w:t>
      </w:r>
      <w:r w:rsidRPr="0063099F">
        <w:rPr>
          <w:noProof/>
          <w:sz w:val="20"/>
        </w:rPr>
        <w:tab/>
        <w:t>Chang Y, Ryu S, Sung E, Woo HY, Oh E, Cha K, et al. Nonalcoholic fatty liver disease predicts chronic kidney disease in nonhypertensive and nondiabetic Korean men. Metabolism - Clinical and Experimental [Internet]. 2008 Apr 1 [cited 2022 May 7];57(4):569–76. Available from: http://www.metabolismjournal.com/article/S0026049507004167/fulltext</w:t>
      </w:r>
    </w:p>
    <w:p w14:paraId="537D35DA" w14:textId="21B9C571"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11. </w:t>
      </w:r>
      <w:r w:rsidRPr="0063099F">
        <w:rPr>
          <w:noProof/>
          <w:sz w:val="20"/>
        </w:rPr>
        <w:tab/>
        <w:t xml:space="preserve">Levey AS, Coresh J, Balk E, Kausz AT, Levin A, Steffes MW, et al. National Kidney Foundation Practice Guidelines for Chronic Kidney Disease: Evaluation, Classification, and Stratification. Annals of Internal Medicine. 2003 Jul 15;139(2). </w:t>
      </w:r>
    </w:p>
    <w:p w14:paraId="0587CF2E" w14:textId="78D5C159"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12. </w:t>
      </w:r>
      <w:r w:rsidRPr="0063099F">
        <w:rPr>
          <w:noProof/>
          <w:sz w:val="20"/>
        </w:rPr>
        <w:tab/>
        <w:t xml:space="preserve">Silveiro SP, Araújo GN, Ferreira MN, Souza FDS, Yamaguchi HM, Camargo EG. Chronic Kidney Disease Epidemiology Collaboration (CKD-EPI) equation pronouncedly underestimates glomerular filtration rate in type 2 diabetes. Diabetes Care. 2011;34(11):2353–5. </w:t>
      </w:r>
    </w:p>
    <w:p w14:paraId="4623C92A" w14:textId="0941321C"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13. </w:t>
      </w:r>
      <w:r w:rsidRPr="0063099F">
        <w:rPr>
          <w:noProof/>
          <w:sz w:val="20"/>
        </w:rPr>
        <w:tab/>
        <w:t xml:space="preserve">Cuatrecasas G, de Cabo F, Coves MJ, Patrascioiu I, Aguilar G, March S, et al. Ultrasound measures of abdominal fat layers correlate with metabolic syndrome features in patients with obesity. Obesity Science and Practice. 2020;6(6):660–7. </w:t>
      </w:r>
    </w:p>
    <w:p w14:paraId="65E92599" w14:textId="251C5398"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14. </w:t>
      </w:r>
      <w:r w:rsidRPr="0063099F">
        <w:rPr>
          <w:noProof/>
          <w:sz w:val="20"/>
        </w:rPr>
        <w:tab/>
        <w:t xml:space="preserve">Pathik P, Ravindra S, Ajay C, Prasad B, Jatin P, Prabha S. Fibroscan versus simple noninvasive screening tools in predicting fibrosis in high-risk nonalcoholic fatty liver disease patients from western India. Annals of Gastroenterology. 2015;28(2):281–6. </w:t>
      </w:r>
    </w:p>
    <w:p w14:paraId="3C545A84" w14:textId="1E59CE87"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15. </w:t>
      </w:r>
      <w:r w:rsidRPr="0063099F">
        <w:rPr>
          <w:noProof/>
          <w:sz w:val="20"/>
        </w:rPr>
        <w:tab/>
        <w:t xml:space="preserve">Zhang X, Wong GLH, Wong VWS. Application of transient elastography in nonalcoholic fatty liver disease. Clinical and Molecular Hepatology. 2020;26(2):128–41. </w:t>
      </w:r>
    </w:p>
    <w:p w14:paraId="0B213E11" w14:textId="2EEC9E01"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16. </w:t>
      </w:r>
      <w:r w:rsidRPr="0063099F">
        <w:rPr>
          <w:noProof/>
          <w:sz w:val="20"/>
        </w:rPr>
        <w:tab/>
        <w:t>Kazanciog R, Lu ˘. Risk factors for chronic kidney disease: An update. Kidney International Supplements [Internet]. 2013 Dec 1 [cited 2022 May 10];3(4):368–71. Available from: http://www.kidney-international.org</w:t>
      </w:r>
    </w:p>
    <w:p w14:paraId="1556C9ED" w14:textId="67B40A46"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17. </w:t>
      </w:r>
      <w:r w:rsidRPr="0063099F">
        <w:rPr>
          <w:noProof/>
          <w:sz w:val="20"/>
        </w:rPr>
        <w:tab/>
        <w:t xml:space="preserve">Sarwar R, Pierce N, Koppe S. Obesity and nonalcoholic fatty liver disease: current perspectives. Diabetes, Metabolic Syndrome and Obesity: Targets and Therapy [Internet]. 2018 [cited 2022 </w:t>
      </w:r>
      <w:r w:rsidR="0015062B">
        <w:rPr>
          <w:noProof/>
          <w:sz w:val="20"/>
        </w:rPr>
        <w:t>10 May</w:t>
      </w:r>
      <w:r w:rsidRPr="0063099F">
        <w:rPr>
          <w:noProof/>
          <w:sz w:val="20"/>
        </w:rPr>
        <w:t>];11:533. Available from: /pmc/articles/PMC6163009/</w:t>
      </w:r>
    </w:p>
    <w:p w14:paraId="3D8D41F8" w14:textId="6AA6E37D"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18. </w:t>
      </w:r>
      <w:r w:rsidRPr="0063099F">
        <w:rPr>
          <w:noProof/>
          <w:sz w:val="20"/>
        </w:rPr>
        <w:tab/>
        <w:t xml:space="preserve">Kovesdy CP, Furth SL, Zoccali C. Obesity and Kidney Disease: Hidden Consequences of the Epidemic. Canadian Journal of Kidney Health and Disease. 2017;4. </w:t>
      </w:r>
    </w:p>
    <w:p w14:paraId="6F289BC3" w14:textId="0C9E0A71"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19. </w:t>
      </w:r>
      <w:r w:rsidRPr="0063099F">
        <w:rPr>
          <w:noProof/>
          <w:sz w:val="20"/>
        </w:rPr>
        <w:tab/>
        <w:t>Chalasani N, Younossi Z, Lavine JE, Charlton M, Cusi K, Rinella M, et al. The diagnosis and management of nonalcoholic fatty liver disease: Practice guidance from the American Association for the Study of Liver Diseases. Hepatology [Internet]. 2018 Jan 1 [cited 2022 May 7];67(1):328–57. Available from: https://onlinelibrary.wiley.com/doi/full/10.1002/hep.29367</w:t>
      </w:r>
    </w:p>
    <w:p w14:paraId="03EC6B6C" w14:textId="65A54982"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20. </w:t>
      </w:r>
      <w:r w:rsidRPr="0063099F">
        <w:rPr>
          <w:noProof/>
          <w:sz w:val="20"/>
        </w:rPr>
        <w:tab/>
        <w:t>Sinn DH, Kang D, Jang HR, Gu S, Cho SJ, Paik SW, et al. Development of chronic kidney disease in patients with non-alcoholic fatty liver disease: A cohort study. Journal of Hepatology [Internet]. 2017 Dec 1 [cited 2022 May 7];67(6):1274–80. Available from: http://www.journal-of-hepatology.eu/article/S016882781732264X/fulltext</w:t>
      </w:r>
    </w:p>
    <w:p w14:paraId="1FE1D126" w14:textId="10C6BC74"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21. </w:t>
      </w:r>
      <w:r w:rsidRPr="0063099F">
        <w:rPr>
          <w:noProof/>
          <w:sz w:val="20"/>
        </w:rPr>
        <w:tab/>
        <w:t>James MT, Hemmelgarn BR, Tonelli M. Early recognition and prevention of chronic kidney disease. The Lancet [Internet]. 2010 Apr 10 [cited 2022 May 7];375(9722):1296–309. Available from: http://www.thelancet.com/article/S0140673609620043/fulltext</w:t>
      </w:r>
    </w:p>
    <w:p w14:paraId="35215A26" w14:textId="39A0C210"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22. </w:t>
      </w:r>
      <w:r w:rsidRPr="0063099F">
        <w:rPr>
          <w:noProof/>
          <w:sz w:val="20"/>
        </w:rPr>
        <w:tab/>
        <w:t xml:space="preserve">Yki-Järvinen H. Liver fat in the pathogenesis of insulin resistance and type 2 diabetes [Internet]. Vol. 28, Digestive Diseases. Karger Publishers; 2010 [cited 2022 </w:t>
      </w:r>
      <w:r w:rsidR="0015062B">
        <w:rPr>
          <w:noProof/>
          <w:sz w:val="20"/>
        </w:rPr>
        <w:t>7 May</w:t>
      </w:r>
      <w:r w:rsidRPr="0063099F">
        <w:rPr>
          <w:noProof/>
          <w:sz w:val="20"/>
        </w:rPr>
        <w:t>]. p. 203–9. Available from: https://www.karger.com/Article/FullText/282087</w:t>
      </w:r>
    </w:p>
    <w:p w14:paraId="5B8C383F" w14:textId="558DC6A9"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23. </w:t>
      </w:r>
      <w:r w:rsidRPr="0063099F">
        <w:rPr>
          <w:noProof/>
          <w:sz w:val="20"/>
        </w:rPr>
        <w:tab/>
        <w:t xml:space="preserve">Guebre-Egziabher F, Alix PM, Koppe L, Pelletier CC, Kalbacher E, Fouque D, et al. Ectopic lipid accumulation: A potential cause for metabolic disturbances and a contributor to the alteration of kidney function. Vol. 95, Biochimie. Elsevier; 2013. p. 1971–9. </w:t>
      </w:r>
    </w:p>
    <w:p w14:paraId="2D56BDED" w14:textId="509387C4"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24. </w:t>
      </w:r>
      <w:r w:rsidRPr="0063099F">
        <w:rPr>
          <w:noProof/>
          <w:sz w:val="20"/>
        </w:rPr>
        <w:tab/>
        <w:t>Targher G, Byrne CD. Non-alcoholic fatty liver disease: an emerging driving force in chronic kidney disease. Nature Reviews Nephrology 2017 13:5 [Internet]. 2017 Feb 20 [cited 2022 May 7];13(5):297–310. Available from: https://www.nature.com/articles/nrneph.2017.16</w:t>
      </w:r>
    </w:p>
    <w:p w14:paraId="73C0FC4B" w14:textId="2752350A"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25. </w:t>
      </w:r>
      <w:r w:rsidRPr="0063099F">
        <w:rPr>
          <w:noProof/>
          <w:sz w:val="20"/>
        </w:rPr>
        <w:tab/>
        <w:t>Vilar-Gomez E, Calzadilla-Bertot L, Friedman SL, Gra-Oramas B, Gonzalez-Fabian L, Villa-Jimenez O, et al. Improvement in liver histology due to lifestyle modification is independently associated with improved kidney function in patients with non-alcoholic steatohepatitis. Alimentary Pharmacology &amp; Therapeutics [Internet]. 2017 Jan 1 [cited 2022 May 7];45(2):332–44. Available from: https://onlinelibrary.wiley.com/doi/full/10.1111/apt.13860</w:t>
      </w:r>
    </w:p>
    <w:p w14:paraId="4D9BC939" w14:textId="77777777"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26. </w:t>
      </w:r>
      <w:r w:rsidRPr="0063099F">
        <w:rPr>
          <w:noProof/>
          <w:sz w:val="20"/>
        </w:rPr>
        <w:tab/>
        <w:t xml:space="preserve">Kunutsor SK, Laukkanen JA. glutamyltransferase and risk of chronic kidney disease : A prospective University of Bristol - Explore Bristol Research. Clinica chimica acta. 2017;473:39–44. </w:t>
      </w:r>
    </w:p>
    <w:p w14:paraId="6C8372D6" w14:textId="278EFB4D"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27. </w:t>
      </w:r>
      <w:r w:rsidRPr="0063099F">
        <w:rPr>
          <w:noProof/>
          <w:sz w:val="20"/>
        </w:rPr>
        <w:tab/>
        <w:t>Younossi ZM, Loomba R, Anstee QM, Rinella ME, Bugianesi E, Marchesini G, et al. Diagnostic modalities for nonalcoholic fatty liver disease, nonalcoholic steatohepatitis, and associated fibrosis. Hepatology [Internet]. 2018 Jul 1 [cited 2022 May 7];68(1):349–60. Available from: https://onlinelibrary.wiley.com/doi/full/10.1002/hep.29721</w:t>
      </w:r>
    </w:p>
    <w:p w14:paraId="09D96180" w14:textId="743A9D21"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28. </w:t>
      </w:r>
      <w:r w:rsidRPr="0063099F">
        <w:rPr>
          <w:noProof/>
          <w:sz w:val="20"/>
        </w:rPr>
        <w:tab/>
        <w:t xml:space="preserve">Mantovani A, Zaza G, Byrne CD, Lonardo A, Zoppini G, Bonora E, et al. Nonalcoholic fatty liver disease increases risk of incident chronic kidney disease: A systematic review and meta-analysis. Metabolism - Clinical and Experimental [Internet]. 2018 </w:t>
      </w:r>
      <w:r w:rsidR="0015062B">
        <w:rPr>
          <w:noProof/>
          <w:sz w:val="20"/>
        </w:rPr>
        <w:t>1 February</w:t>
      </w:r>
      <w:r w:rsidRPr="0063099F">
        <w:rPr>
          <w:noProof/>
          <w:sz w:val="20"/>
        </w:rPr>
        <w:t xml:space="preserve"> [cited 2022 </w:t>
      </w:r>
      <w:r w:rsidR="0015062B">
        <w:rPr>
          <w:noProof/>
          <w:sz w:val="20"/>
        </w:rPr>
        <w:t>7 May</w:t>
      </w:r>
      <w:r w:rsidRPr="0063099F">
        <w:rPr>
          <w:noProof/>
          <w:sz w:val="20"/>
        </w:rPr>
        <w:t>];79:64–76. Available from: http://www.metabolismjournal.com/article/S0026049517303062/fulltext</w:t>
      </w:r>
    </w:p>
    <w:p w14:paraId="737E1263" w14:textId="251252E2" w:rsidR="0063099F" w:rsidRPr="0063099F" w:rsidRDefault="0063099F" w:rsidP="0063099F">
      <w:pPr>
        <w:widowControl w:val="0"/>
        <w:autoSpaceDE w:val="0"/>
        <w:autoSpaceDN w:val="0"/>
        <w:adjustRightInd w:val="0"/>
        <w:ind w:left="640" w:hanging="640"/>
        <w:rPr>
          <w:noProof/>
          <w:sz w:val="20"/>
        </w:rPr>
      </w:pPr>
      <w:r w:rsidRPr="0063099F">
        <w:rPr>
          <w:noProof/>
          <w:sz w:val="20"/>
        </w:rPr>
        <w:t xml:space="preserve">29. </w:t>
      </w:r>
      <w:r w:rsidRPr="0063099F">
        <w:rPr>
          <w:noProof/>
          <w:sz w:val="20"/>
        </w:rPr>
        <w:tab/>
        <w:t>Qin S, Wang S, Wang X, Wang J. Liver stiffness assessed by transient elastography as a potential indicator of chronic kidney disease in patients with nonalcoholic fatty liver disease. Journal of Clinical Laboratory Analysis. 2019;33(2):1–8.</w:t>
      </w:r>
    </w:p>
    <w:p w14:paraId="5BC34236" w14:textId="4B0266AB" w:rsidR="00F83FA6" w:rsidRPr="00905CAA" w:rsidRDefault="00CC09BA" w:rsidP="001B3247">
      <w:pPr>
        <w:jc w:val="both"/>
        <w:rPr>
          <w:b/>
          <w:bCs/>
          <w:sz w:val="28"/>
          <w:szCs w:val="28"/>
        </w:rPr>
      </w:pPr>
      <w:r w:rsidRPr="004D799D">
        <w:rPr>
          <w:rFonts w:asciiTheme="majorBidi" w:hAnsiTheme="majorBidi" w:cstheme="majorBidi"/>
          <w:b/>
          <w:bCs/>
          <w:sz w:val="20"/>
          <w:szCs w:val="20"/>
        </w:rPr>
        <w:fldChar w:fldCharType="end"/>
      </w:r>
    </w:p>
    <w:sectPr w:rsidR="00F83FA6" w:rsidRPr="00905CAA" w:rsidSect="000B29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DF36" w14:textId="77777777" w:rsidR="00545C62" w:rsidRDefault="00545C62" w:rsidP="000B2965">
      <w:r>
        <w:separator/>
      </w:r>
    </w:p>
  </w:endnote>
  <w:endnote w:type="continuationSeparator" w:id="0">
    <w:p w14:paraId="68CF7553" w14:textId="77777777" w:rsidR="00545C62" w:rsidRDefault="00545C62" w:rsidP="000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NeueLTStd-Roman">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sz w:val="28"/>
        <w:szCs w:val="28"/>
        <w:lang w:eastAsia="en-US"/>
      </w:rPr>
      <w:id w:val="-1146124694"/>
      <w:docPartObj>
        <w:docPartGallery w:val="Page Numbers (Bottom of Page)"/>
        <w:docPartUnique/>
      </w:docPartObj>
    </w:sdtPr>
    <w:sdtEndPr>
      <w:rPr>
        <w:noProof/>
      </w:rPr>
    </w:sdtEndPr>
    <w:sdtContent>
      <w:p w14:paraId="006D2A90" w14:textId="49DB11CE" w:rsidR="001B3247" w:rsidRPr="001B3247" w:rsidRDefault="001B3247" w:rsidP="001B3247">
        <w:pPr>
          <w:pBdr>
            <w:top w:val="thinThickSmallGap" w:sz="24" w:space="1" w:color="823B0B"/>
          </w:pBdr>
          <w:tabs>
            <w:tab w:val="center" w:pos="4320"/>
            <w:tab w:val="right" w:pos="8640"/>
          </w:tabs>
          <w:spacing w:after="240"/>
          <w:ind w:firstLine="357"/>
          <w:rPr>
            <w:rFonts w:ascii="Calibri" w:eastAsia="Times New Roman" w:hAnsi="Calibri"/>
            <w:noProof/>
            <w:sz w:val="28"/>
            <w:szCs w:val="28"/>
            <w:lang w:eastAsia="en-US"/>
          </w:rPr>
        </w:pPr>
        <w:r w:rsidRPr="003E62F3">
          <w:rPr>
            <w:rFonts w:ascii="Calibri" w:eastAsia="Calibri" w:hAnsi="Calibri" w:cs="Arial"/>
            <w:sz w:val="22"/>
            <w:szCs w:val="22"/>
            <w:lang w:eastAsia="en-US"/>
          </w:rPr>
          <w:t>Abdelrahman</w:t>
        </w:r>
        <w:r w:rsidRPr="001B3247">
          <w:rPr>
            <w:rFonts w:ascii="Calibri" w:eastAsia="Calibri" w:hAnsi="Calibri" w:cs="Arial"/>
            <w:sz w:val="22"/>
            <w:szCs w:val="22"/>
            <w:lang w:eastAsia="en-US"/>
          </w:rPr>
          <w:t xml:space="preserve"> MM</w:t>
        </w:r>
        <w:r w:rsidRPr="001B3247">
          <w:rPr>
            <w:rFonts w:eastAsia="Calibri"/>
            <w:lang w:eastAsia="en-US" w:bidi="ar-EG"/>
          </w:rPr>
          <w:t xml:space="preserve"> </w:t>
        </w:r>
        <w:r w:rsidRPr="001B3247">
          <w:rPr>
            <w:rFonts w:ascii="Calibri" w:eastAsia="Calibri" w:hAnsi="Calibri" w:cs="Arial"/>
            <w:sz w:val="22"/>
            <w:szCs w:val="22"/>
            <w:lang w:eastAsia="en-US"/>
          </w:rPr>
          <w:t>et al.2022</w:t>
        </w:r>
        <w:r w:rsidRPr="001B3247">
          <w:rPr>
            <w:rFonts w:ascii="Calibri Light" w:eastAsia="Times New Roman" w:hAnsi="Calibri Light"/>
            <w:sz w:val="22"/>
            <w:szCs w:val="22"/>
            <w:lang w:eastAsia="en-US"/>
          </w:rPr>
          <w:ptab w:relativeTo="margin" w:alignment="right" w:leader="none"/>
        </w:r>
        <w:r w:rsidRPr="001B3247">
          <w:rPr>
            <w:rFonts w:ascii="Calibri" w:eastAsia="Times New Roman" w:hAnsi="Calibri" w:cs="Arial"/>
            <w:sz w:val="22"/>
            <w:szCs w:val="22"/>
            <w:lang w:eastAsia="en-US"/>
          </w:rPr>
          <w:fldChar w:fldCharType="begin"/>
        </w:r>
        <w:r w:rsidRPr="001B3247">
          <w:rPr>
            <w:rFonts w:ascii="Calibri" w:eastAsia="Calibri" w:hAnsi="Calibri" w:cs="Arial"/>
            <w:sz w:val="22"/>
            <w:szCs w:val="22"/>
            <w:lang w:eastAsia="en-US"/>
          </w:rPr>
          <w:instrText xml:space="preserve"> PAGE   \* MERGEFORMAT </w:instrText>
        </w:r>
        <w:r w:rsidRPr="001B3247">
          <w:rPr>
            <w:rFonts w:ascii="Calibri" w:eastAsia="Times New Roman" w:hAnsi="Calibri" w:cs="Arial"/>
            <w:sz w:val="22"/>
            <w:szCs w:val="22"/>
            <w:lang w:eastAsia="en-US"/>
          </w:rPr>
          <w:fldChar w:fldCharType="separate"/>
        </w:r>
        <w:r w:rsidRPr="001B3247">
          <w:rPr>
            <w:rFonts w:ascii="Calibri" w:eastAsia="Times New Roman" w:hAnsi="Calibri" w:cs="Arial"/>
            <w:sz w:val="22"/>
            <w:szCs w:val="22"/>
            <w:lang w:eastAsia="en-US"/>
          </w:rPr>
          <w:t>16</w:t>
        </w:r>
        <w:r w:rsidRPr="001B3247">
          <w:rPr>
            <w:rFonts w:ascii="Calibri Light" w:eastAsia="Times New Roman" w:hAnsi="Calibri Light"/>
            <w:noProof/>
            <w:sz w:val="22"/>
            <w:szCs w:val="22"/>
            <w:lang w:eastAsia="en-US"/>
          </w:rPr>
          <w:fldChar w:fldCharType="end"/>
        </w:r>
      </w:p>
    </w:sdtContent>
  </w:sdt>
  <w:p w14:paraId="3F9C9CD0" w14:textId="77777777" w:rsidR="001B3247" w:rsidRDefault="001B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3517" w14:textId="77777777" w:rsidR="00545C62" w:rsidRDefault="00545C62" w:rsidP="000B2965">
      <w:r>
        <w:separator/>
      </w:r>
    </w:p>
  </w:footnote>
  <w:footnote w:type="continuationSeparator" w:id="0">
    <w:p w14:paraId="5F40EF90" w14:textId="77777777" w:rsidR="00545C62" w:rsidRDefault="00545C62" w:rsidP="000B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52C0" w14:textId="77777777" w:rsidR="001B3247" w:rsidRPr="001B3247" w:rsidRDefault="001B3247" w:rsidP="001B3247">
    <w:pPr>
      <w:pBdr>
        <w:bottom w:val="thickThinSmallGap" w:sz="24" w:space="21" w:color="622423"/>
      </w:pBdr>
      <w:tabs>
        <w:tab w:val="right" w:pos="8640"/>
      </w:tabs>
      <w:rPr>
        <w:rFonts w:ascii="Cambria" w:eastAsia="Times New Roman" w:hAnsi="Cambria"/>
        <w:sz w:val="18"/>
        <w:szCs w:val="18"/>
        <w:lang w:eastAsia="en-US"/>
      </w:rPr>
    </w:pPr>
    <w:r w:rsidRPr="001B3247">
      <w:rPr>
        <w:rFonts w:ascii="Calibri" w:eastAsia="Calibri" w:hAnsi="Calibri" w:cs="Arial"/>
        <w:noProof/>
        <w:sz w:val="22"/>
        <w:szCs w:val="22"/>
        <w:lang w:eastAsia="en-US"/>
      </w:rPr>
      <mc:AlternateContent>
        <mc:Choice Requires="wps">
          <w:drawing>
            <wp:anchor distT="0" distB="0" distL="114300" distR="114300" simplePos="0" relativeHeight="251659264" behindDoc="0" locked="0" layoutInCell="1" allowOverlap="1" wp14:anchorId="5F06A90F" wp14:editId="1D908350">
              <wp:simplePos x="0" y="0"/>
              <wp:positionH relativeFrom="column">
                <wp:posOffset>15875</wp:posOffset>
              </wp:positionH>
              <wp:positionV relativeFrom="page">
                <wp:posOffset>977265</wp:posOffset>
              </wp:positionV>
              <wp:extent cx="1301750" cy="321310"/>
              <wp:effectExtent l="0" t="0" r="1270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321310"/>
                      </a:xfrm>
                      <a:prstGeom prst="rect">
                        <a:avLst/>
                      </a:prstGeom>
                      <a:solidFill>
                        <a:srgbClr val="00B0F0"/>
                      </a:solidFill>
                      <a:ln w="6350">
                        <a:solidFill>
                          <a:prstClr val="black"/>
                        </a:solidFill>
                      </a:ln>
                    </wps:spPr>
                    <wps:txbx>
                      <w:txbxContent>
                        <w:p w14:paraId="284E0992" w14:textId="77777777" w:rsidR="001B3247" w:rsidRDefault="001B3247" w:rsidP="001B3247">
                          <w: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6A90F" id="_x0000_t202" coordsize="21600,21600" o:spt="202" path="m,l,21600r21600,l21600,xe">
              <v:stroke joinstyle="miter"/>
              <v:path gradientshapeok="t" o:connecttype="rect"/>
            </v:shapetype>
            <v:shape id="Text Box 2" o:spid="_x0000_s1026" type="#_x0000_t202" style="position:absolute;margin-left:1.25pt;margin-top:76.95pt;width:102.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" fillcolor="#00b0f0" strokeweight=".5pt">
              <v:path arrowok="t"/>
              <v:textbox>
                <w:txbxContent>
                  <w:p w14:paraId="284E0992" w14:textId="77777777" w:rsidR="001B3247" w:rsidRDefault="001B3247" w:rsidP="001B3247">
                    <w:r>
                      <w:t>Original research</w:t>
                    </w:r>
                  </w:p>
                </w:txbxContent>
              </v:textbox>
              <w10:wrap anchory="page"/>
            </v:shape>
          </w:pict>
        </mc:Fallback>
      </mc:AlternateContent>
    </w:r>
    <w:r w:rsidRPr="001B3247">
      <w:rPr>
        <w:rFonts w:ascii="Cambria" w:eastAsia="Times New Roman" w:hAnsi="Cambria"/>
        <w:sz w:val="18"/>
        <w:szCs w:val="18"/>
        <w:lang w:eastAsia="en-US"/>
      </w:rPr>
      <w:t>African journal of gastroenterology and hepatology</w:t>
    </w:r>
    <w:r w:rsidRPr="001B3247">
      <w:rPr>
        <w:rFonts w:ascii="Cambria" w:eastAsia="Times New Roman" w:hAnsi="Cambria"/>
        <w:sz w:val="18"/>
        <w:szCs w:val="18"/>
        <w:lang w:eastAsia="en-US"/>
      </w:rPr>
      <w:tab/>
    </w:r>
    <w:r w:rsidRPr="001B3247">
      <w:rPr>
        <w:rFonts w:ascii="Calibri Light" w:eastAsia="Times New Roman" w:hAnsi="Calibri Light"/>
        <w:noProof/>
        <w:sz w:val="32"/>
        <w:szCs w:val="32"/>
        <w:lang w:eastAsia="en-US"/>
      </w:rPr>
      <w:drawing>
        <wp:inline distT="0" distB="0" distL="0" distR="0" wp14:anchorId="4C0A45E4" wp14:editId="41280DA6">
          <wp:extent cx="1444625" cy="20764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07645"/>
                  </a:xfrm>
                  <a:prstGeom prst="rect">
                    <a:avLst/>
                  </a:prstGeom>
                  <a:noFill/>
                  <a:ln>
                    <a:noFill/>
                  </a:ln>
                </pic:spPr>
              </pic:pic>
            </a:graphicData>
          </a:graphic>
        </wp:inline>
      </w:drawing>
    </w:r>
  </w:p>
  <w:p w14:paraId="2B044CE5" w14:textId="77777777" w:rsidR="001B3247" w:rsidRPr="001B3247" w:rsidRDefault="001B3247" w:rsidP="001B3247">
    <w:pPr>
      <w:tabs>
        <w:tab w:val="center" w:pos="4680"/>
        <w:tab w:val="right" w:pos="9360"/>
      </w:tabs>
      <w:rPr>
        <w:rFonts w:ascii="Calibri" w:eastAsia="Calibri" w:hAnsi="Calibri" w:cs="Arial"/>
        <w:sz w:val="22"/>
        <w:szCs w:val="22"/>
        <w:lang w:eastAsia="en-US"/>
      </w:rPr>
    </w:pPr>
  </w:p>
  <w:p w14:paraId="1D5EAE9C" w14:textId="77777777" w:rsidR="001B3247" w:rsidRDefault="001B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E3"/>
    <w:multiLevelType w:val="hybridMultilevel"/>
    <w:tmpl w:val="6ECE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C191B"/>
    <w:multiLevelType w:val="hybridMultilevel"/>
    <w:tmpl w:val="9FF4036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 w15:restartNumberingAfterBreak="0">
    <w:nsid w:val="184A08B3"/>
    <w:multiLevelType w:val="hybridMultilevel"/>
    <w:tmpl w:val="BE6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A1D1D"/>
    <w:multiLevelType w:val="hybridMultilevel"/>
    <w:tmpl w:val="A5DC7430"/>
    <w:lvl w:ilvl="0" w:tplc="9D703B0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2250BB"/>
    <w:multiLevelType w:val="hybridMultilevel"/>
    <w:tmpl w:val="288C0690"/>
    <w:lvl w:ilvl="0" w:tplc="0B2CE088">
      <w:start w:val="1"/>
      <w:numFmt w:val="decimal"/>
      <w:lvlText w:val="%1."/>
      <w:lvlJc w:val="left"/>
      <w:pPr>
        <w:ind w:left="45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529293">
    <w:abstractNumId w:val="4"/>
  </w:num>
  <w:num w:numId="2" w16cid:durableId="300380618">
    <w:abstractNumId w:val="1"/>
  </w:num>
  <w:num w:numId="3" w16cid:durableId="4787184">
    <w:abstractNumId w:val="2"/>
  </w:num>
  <w:num w:numId="4" w16cid:durableId="1350722593">
    <w:abstractNumId w:val="3"/>
  </w:num>
  <w:num w:numId="5" w16cid:durableId="52155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tLC0MLE0NTayMDBS0lEKTi0uzszPAykwNK0FAJklud4tAAAA"/>
  </w:docVars>
  <w:rsids>
    <w:rsidRoot w:val="00F44B20"/>
    <w:rsid w:val="00000904"/>
    <w:rsid w:val="0000228F"/>
    <w:rsid w:val="000100E3"/>
    <w:rsid w:val="000263F9"/>
    <w:rsid w:val="00050C8C"/>
    <w:rsid w:val="00054508"/>
    <w:rsid w:val="0006159D"/>
    <w:rsid w:val="00076C71"/>
    <w:rsid w:val="000A5E50"/>
    <w:rsid w:val="000B2965"/>
    <w:rsid w:val="000B3883"/>
    <w:rsid w:val="00104FAE"/>
    <w:rsid w:val="001063AA"/>
    <w:rsid w:val="0010699E"/>
    <w:rsid w:val="00113F9B"/>
    <w:rsid w:val="00147A84"/>
    <w:rsid w:val="0015062B"/>
    <w:rsid w:val="00153006"/>
    <w:rsid w:val="00154861"/>
    <w:rsid w:val="00170A8F"/>
    <w:rsid w:val="00181C94"/>
    <w:rsid w:val="001876E2"/>
    <w:rsid w:val="0019455A"/>
    <w:rsid w:val="00196F86"/>
    <w:rsid w:val="00197CB0"/>
    <w:rsid w:val="001A1C21"/>
    <w:rsid w:val="001A2B8A"/>
    <w:rsid w:val="001B3247"/>
    <w:rsid w:val="002018C6"/>
    <w:rsid w:val="00205F23"/>
    <w:rsid w:val="00224EB1"/>
    <w:rsid w:val="00253991"/>
    <w:rsid w:val="00254D57"/>
    <w:rsid w:val="00256559"/>
    <w:rsid w:val="00266F99"/>
    <w:rsid w:val="0027452F"/>
    <w:rsid w:val="00282CBB"/>
    <w:rsid w:val="002A12E4"/>
    <w:rsid w:val="002C258E"/>
    <w:rsid w:val="002C67A0"/>
    <w:rsid w:val="002D7A3D"/>
    <w:rsid w:val="002F4774"/>
    <w:rsid w:val="002F56EB"/>
    <w:rsid w:val="002F5EE5"/>
    <w:rsid w:val="00306623"/>
    <w:rsid w:val="00316A41"/>
    <w:rsid w:val="00341B43"/>
    <w:rsid w:val="00351A1F"/>
    <w:rsid w:val="00363E96"/>
    <w:rsid w:val="00365FB1"/>
    <w:rsid w:val="00387956"/>
    <w:rsid w:val="00391099"/>
    <w:rsid w:val="00392B92"/>
    <w:rsid w:val="00397492"/>
    <w:rsid w:val="003A1701"/>
    <w:rsid w:val="003A51F3"/>
    <w:rsid w:val="003C2A5B"/>
    <w:rsid w:val="003C32D6"/>
    <w:rsid w:val="003D122B"/>
    <w:rsid w:val="003E1062"/>
    <w:rsid w:val="003E509B"/>
    <w:rsid w:val="003E62F3"/>
    <w:rsid w:val="003E6DE3"/>
    <w:rsid w:val="00401005"/>
    <w:rsid w:val="00406EE1"/>
    <w:rsid w:val="004478C6"/>
    <w:rsid w:val="0045764C"/>
    <w:rsid w:val="00460CB2"/>
    <w:rsid w:val="00463C36"/>
    <w:rsid w:val="00466C8F"/>
    <w:rsid w:val="004904A7"/>
    <w:rsid w:val="00495065"/>
    <w:rsid w:val="004A0254"/>
    <w:rsid w:val="004B2153"/>
    <w:rsid w:val="004B23AD"/>
    <w:rsid w:val="004B5911"/>
    <w:rsid w:val="004B5CD8"/>
    <w:rsid w:val="004D2F88"/>
    <w:rsid w:val="004D51FE"/>
    <w:rsid w:val="004D56C9"/>
    <w:rsid w:val="004D799D"/>
    <w:rsid w:val="004E60CB"/>
    <w:rsid w:val="004E67BF"/>
    <w:rsid w:val="004F7A03"/>
    <w:rsid w:val="005014FA"/>
    <w:rsid w:val="00511C8F"/>
    <w:rsid w:val="005172FC"/>
    <w:rsid w:val="00520225"/>
    <w:rsid w:val="00524C54"/>
    <w:rsid w:val="00545C62"/>
    <w:rsid w:val="00564553"/>
    <w:rsid w:val="005857A5"/>
    <w:rsid w:val="00592047"/>
    <w:rsid w:val="005A04B4"/>
    <w:rsid w:val="005A5F5C"/>
    <w:rsid w:val="005B4EA4"/>
    <w:rsid w:val="005B4EC9"/>
    <w:rsid w:val="005C49D5"/>
    <w:rsid w:val="005C5E1E"/>
    <w:rsid w:val="005D0221"/>
    <w:rsid w:val="005E7138"/>
    <w:rsid w:val="005F04E3"/>
    <w:rsid w:val="005F1892"/>
    <w:rsid w:val="00600ED7"/>
    <w:rsid w:val="006069C5"/>
    <w:rsid w:val="00620947"/>
    <w:rsid w:val="006213CE"/>
    <w:rsid w:val="0063099F"/>
    <w:rsid w:val="006343AA"/>
    <w:rsid w:val="00637840"/>
    <w:rsid w:val="00641102"/>
    <w:rsid w:val="00651167"/>
    <w:rsid w:val="0066640E"/>
    <w:rsid w:val="006747F2"/>
    <w:rsid w:val="006827BD"/>
    <w:rsid w:val="00691A8C"/>
    <w:rsid w:val="0069500B"/>
    <w:rsid w:val="006B02AD"/>
    <w:rsid w:val="006C29F7"/>
    <w:rsid w:val="006C6A71"/>
    <w:rsid w:val="006D2626"/>
    <w:rsid w:val="006E6DC1"/>
    <w:rsid w:val="006F7A43"/>
    <w:rsid w:val="0070063B"/>
    <w:rsid w:val="00715D61"/>
    <w:rsid w:val="00722EBD"/>
    <w:rsid w:val="007249D6"/>
    <w:rsid w:val="00735644"/>
    <w:rsid w:val="00745132"/>
    <w:rsid w:val="0074713D"/>
    <w:rsid w:val="0077355D"/>
    <w:rsid w:val="007903D0"/>
    <w:rsid w:val="0079289B"/>
    <w:rsid w:val="00795BD1"/>
    <w:rsid w:val="007C0AF5"/>
    <w:rsid w:val="007C3303"/>
    <w:rsid w:val="007C4403"/>
    <w:rsid w:val="007D1A4E"/>
    <w:rsid w:val="007F1B00"/>
    <w:rsid w:val="007F4748"/>
    <w:rsid w:val="0080627F"/>
    <w:rsid w:val="00811398"/>
    <w:rsid w:val="00826325"/>
    <w:rsid w:val="008312B3"/>
    <w:rsid w:val="00832B05"/>
    <w:rsid w:val="0087275E"/>
    <w:rsid w:val="00880882"/>
    <w:rsid w:val="008A2F2C"/>
    <w:rsid w:val="008A668B"/>
    <w:rsid w:val="008B5FF7"/>
    <w:rsid w:val="008B6AEE"/>
    <w:rsid w:val="008C0523"/>
    <w:rsid w:val="008C3FB7"/>
    <w:rsid w:val="008E560F"/>
    <w:rsid w:val="008E578E"/>
    <w:rsid w:val="00904E5B"/>
    <w:rsid w:val="00905CAA"/>
    <w:rsid w:val="00911F1F"/>
    <w:rsid w:val="009245A5"/>
    <w:rsid w:val="00930591"/>
    <w:rsid w:val="0093606B"/>
    <w:rsid w:val="0095320D"/>
    <w:rsid w:val="00963AC9"/>
    <w:rsid w:val="00971795"/>
    <w:rsid w:val="00992621"/>
    <w:rsid w:val="0099591B"/>
    <w:rsid w:val="009965D7"/>
    <w:rsid w:val="009B2436"/>
    <w:rsid w:val="009C51EB"/>
    <w:rsid w:val="009D47DD"/>
    <w:rsid w:val="00A02928"/>
    <w:rsid w:val="00A13392"/>
    <w:rsid w:val="00A179BB"/>
    <w:rsid w:val="00A207EB"/>
    <w:rsid w:val="00A36839"/>
    <w:rsid w:val="00A37F74"/>
    <w:rsid w:val="00A4298C"/>
    <w:rsid w:val="00A44856"/>
    <w:rsid w:val="00A47BC9"/>
    <w:rsid w:val="00A536DA"/>
    <w:rsid w:val="00A81A85"/>
    <w:rsid w:val="00A82D15"/>
    <w:rsid w:val="00AA29C9"/>
    <w:rsid w:val="00AA3D05"/>
    <w:rsid w:val="00AA4496"/>
    <w:rsid w:val="00AA4DCE"/>
    <w:rsid w:val="00AB5EC2"/>
    <w:rsid w:val="00AC1237"/>
    <w:rsid w:val="00AC5F8E"/>
    <w:rsid w:val="00AF4472"/>
    <w:rsid w:val="00AF5BCD"/>
    <w:rsid w:val="00B020FE"/>
    <w:rsid w:val="00B036D7"/>
    <w:rsid w:val="00B0745C"/>
    <w:rsid w:val="00B10614"/>
    <w:rsid w:val="00B66A6D"/>
    <w:rsid w:val="00B738BE"/>
    <w:rsid w:val="00B76B43"/>
    <w:rsid w:val="00B80F09"/>
    <w:rsid w:val="00BA0BD5"/>
    <w:rsid w:val="00BA1477"/>
    <w:rsid w:val="00BB3A49"/>
    <w:rsid w:val="00BD089C"/>
    <w:rsid w:val="00BD21BF"/>
    <w:rsid w:val="00BE1181"/>
    <w:rsid w:val="00BF710C"/>
    <w:rsid w:val="00C03C7C"/>
    <w:rsid w:val="00C30633"/>
    <w:rsid w:val="00C4038C"/>
    <w:rsid w:val="00C62A56"/>
    <w:rsid w:val="00C72D5D"/>
    <w:rsid w:val="00C7452E"/>
    <w:rsid w:val="00C747D5"/>
    <w:rsid w:val="00C841B7"/>
    <w:rsid w:val="00C9789B"/>
    <w:rsid w:val="00CC09BA"/>
    <w:rsid w:val="00CD69DE"/>
    <w:rsid w:val="00CE79F7"/>
    <w:rsid w:val="00CF3E48"/>
    <w:rsid w:val="00D0261D"/>
    <w:rsid w:val="00D15D3A"/>
    <w:rsid w:val="00D2051A"/>
    <w:rsid w:val="00D258B2"/>
    <w:rsid w:val="00D3701C"/>
    <w:rsid w:val="00D625E5"/>
    <w:rsid w:val="00D70327"/>
    <w:rsid w:val="00D75A2C"/>
    <w:rsid w:val="00D91527"/>
    <w:rsid w:val="00DA136F"/>
    <w:rsid w:val="00DA5D6B"/>
    <w:rsid w:val="00DB133F"/>
    <w:rsid w:val="00DC23AD"/>
    <w:rsid w:val="00DD7A25"/>
    <w:rsid w:val="00DE6BFB"/>
    <w:rsid w:val="00DF1FFA"/>
    <w:rsid w:val="00DF5843"/>
    <w:rsid w:val="00E07EBE"/>
    <w:rsid w:val="00E12D95"/>
    <w:rsid w:val="00E4179C"/>
    <w:rsid w:val="00E42BB8"/>
    <w:rsid w:val="00E457FB"/>
    <w:rsid w:val="00E47BB4"/>
    <w:rsid w:val="00E507C8"/>
    <w:rsid w:val="00E5773D"/>
    <w:rsid w:val="00E63C40"/>
    <w:rsid w:val="00E730B5"/>
    <w:rsid w:val="00E87139"/>
    <w:rsid w:val="00E90BFA"/>
    <w:rsid w:val="00EA6B57"/>
    <w:rsid w:val="00EB508F"/>
    <w:rsid w:val="00ED256B"/>
    <w:rsid w:val="00ED79D2"/>
    <w:rsid w:val="00EF4AEE"/>
    <w:rsid w:val="00F07789"/>
    <w:rsid w:val="00F12280"/>
    <w:rsid w:val="00F23C6E"/>
    <w:rsid w:val="00F27BCA"/>
    <w:rsid w:val="00F44B20"/>
    <w:rsid w:val="00F51A65"/>
    <w:rsid w:val="00F540FB"/>
    <w:rsid w:val="00F72A3E"/>
    <w:rsid w:val="00F83FA6"/>
    <w:rsid w:val="00F94A74"/>
    <w:rsid w:val="00F94ADF"/>
    <w:rsid w:val="00FA7F09"/>
    <w:rsid w:val="00FC0300"/>
    <w:rsid w:val="00FE0368"/>
    <w:rsid w:val="00FF7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B1CA"/>
  <w15:docId w15:val="{DBA5B634-4665-4D4A-B0AB-61D2C258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90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65"/>
    <w:pPr>
      <w:tabs>
        <w:tab w:val="center" w:pos="4680"/>
        <w:tab w:val="right" w:pos="9360"/>
      </w:tabs>
    </w:pPr>
  </w:style>
  <w:style w:type="character" w:customStyle="1" w:styleId="HeaderChar">
    <w:name w:val="Header Char"/>
    <w:basedOn w:val="DefaultParagraphFont"/>
    <w:link w:val="Header"/>
    <w:uiPriority w:val="99"/>
    <w:rsid w:val="000B2965"/>
  </w:style>
  <w:style w:type="paragraph" w:styleId="Footer">
    <w:name w:val="footer"/>
    <w:basedOn w:val="Normal"/>
    <w:link w:val="FooterChar"/>
    <w:uiPriority w:val="99"/>
    <w:unhideWhenUsed/>
    <w:rsid w:val="000B2965"/>
    <w:pPr>
      <w:tabs>
        <w:tab w:val="center" w:pos="4680"/>
        <w:tab w:val="right" w:pos="9360"/>
      </w:tabs>
    </w:pPr>
  </w:style>
  <w:style w:type="character" w:customStyle="1" w:styleId="FooterChar">
    <w:name w:val="Footer Char"/>
    <w:basedOn w:val="DefaultParagraphFont"/>
    <w:link w:val="Footer"/>
    <w:uiPriority w:val="99"/>
    <w:rsid w:val="000B2965"/>
  </w:style>
  <w:style w:type="character" w:customStyle="1" w:styleId="apple-style-span">
    <w:name w:val="apple-style-span"/>
    <w:rsid w:val="00F83FA6"/>
  </w:style>
  <w:style w:type="paragraph" w:styleId="ListParagraph">
    <w:name w:val="List Paragraph"/>
    <w:basedOn w:val="Normal"/>
    <w:uiPriority w:val="34"/>
    <w:qFormat/>
    <w:rsid w:val="00F83FA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F83FA6"/>
    <w:rPr>
      <w:sz w:val="16"/>
      <w:szCs w:val="16"/>
    </w:rPr>
  </w:style>
  <w:style w:type="paragraph" w:styleId="CommentText">
    <w:name w:val="annotation text"/>
    <w:basedOn w:val="Normal"/>
    <w:link w:val="CommentTextChar"/>
    <w:uiPriority w:val="99"/>
    <w:semiHidden/>
    <w:unhideWhenUsed/>
    <w:rsid w:val="00F83FA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83FA6"/>
    <w:rPr>
      <w:sz w:val="20"/>
      <w:szCs w:val="20"/>
    </w:rPr>
  </w:style>
  <w:style w:type="table" w:styleId="TableGrid">
    <w:name w:val="Table Grid"/>
    <w:basedOn w:val="TableNormal"/>
    <w:uiPriority w:val="59"/>
    <w:rsid w:val="004D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7EB"/>
    <w:rPr>
      <w:color w:val="0000FF" w:themeColor="hyperlink"/>
      <w:u w:val="single"/>
    </w:rPr>
  </w:style>
  <w:style w:type="character" w:styleId="UnresolvedMention">
    <w:name w:val="Unresolved Mention"/>
    <w:basedOn w:val="DefaultParagraphFont"/>
    <w:uiPriority w:val="99"/>
    <w:semiHidden/>
    <w:unhideWhenUsed/>
    <w:rsid w:val="00A207EB"/>
    <w:rPr>
      <w:color w:val="605E5C"/>
      <w:shd w:val="clear" w:color="auto" w:fill="E1DFDD"/>
    </w:rPr>
  </w:style>
  <w:style w:type="paragraph" w:styleId="Caption">
    <w:name w:val="caption"/>
    <w:basedOn w:val="Normal"/>
    <w:next w:val="Normal"/>
    <w:uiPriority w:val="35"/>
    <w:unhideWhenUsed/>
    <w:qFormat/>
    <w:rsid w:val="00ED79D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1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gh.journals.ekb.eg/" TargetMode="Externa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hyperlink" Target="https://ajgh.journals.ekb.e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jgh.journals.ekb.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ntTable" Target="fontTable.xml"/><Relationship Id="rId10" Type="http://schemas.openxmlformats.org/officeDocument/2006/relationships/hyperlink" Target="mailto:monamohamed@med.sohag.edu.eg" TargetMode="External"/><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hyperlink" Target="https://ajgh.journals.ekb.eg/" TargetMode="External"/><Relationship Id="rId14" Type="http://schemas.openxmlformats.org/officeDocument/2006/relationships/footer" Target="footer1.xml"/><Relationship Id="rId22" Type="http://schemas.openxmlformats.org/officeDocument/2006/relationships/hyperlink" Target="file:///F:\ajgh.2022\Hepatocellular%20Carcinoma%20Post%20Direct%20Anti%20Hepatitis%20C%20Viral%20Agents;%20Clinical%20Features%20and%20Risk%20Factors\after%20author%20revision\AbdAll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A414-3AA1-4CFB-BFE5-EDDC11EC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17258</Words>
  <Characters>98373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Mohamed</dc:creator>
  <cp:keywords/>
  <dc:description/>
  <cp:lastModifiedBy>SYSalem</cp:lastModifiedBy>
  <cp:revision>9</cp:revision>
  <cp:lastPrinted>2023-01-07T20:57:00Z</cp:lastPrinted>
  <dcterms:created xsi:type="dcterms:W3CDTF">2023-01-07T13:52:00Z</dcterms:created>
  <dcterms:modified xsi:type="dcterms:W3CDTF">2023-01-07T20:58:00Z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http://www.zotero.org/styles/annals-of-hematology</vt:lpwstr>
  </property>
  <property fmtid="{D5CDD505-2E9C-101B-9397-08002B2CF9AE}" pid="3" name="Mendeley Recent Style Name 0_1">
    <vt:lpwstr>Annals of Hematology</vt:lpwstr>
  </property>
  <property fmtid="{D5CDD505-2E9C-101B-9397-08002B2CF9AE}" pid="4" name="Mendeley Recent Style Id 1_1">
    <vt:lpwstr>http://www.zotero.org/styles/annals-of-saudi-medicine</vt:lpwstr>
  </property>
  <property fmtid="{D5CDD505-2E9C-101B-9397-08002B2CF9AE}" pid="5" name="Mendeley Recent Style Name 1_1">
    <vt:lpwstr>Annals of Saudi Medicine</vt:lpwstr>
  </property>
  <property fmtid="{D5CDD505-2E9C-101B-9397-08002B2CF9AE}" pid="6" name="Mendeley Recent Style Id 2_1">
    <vt:lpwstr>http://www.zotero.org/styles/clinical-and-molecular-allergy</vt:lpwstr>
  </property>
  <property fmtid="{D5CDD505-2E9C-101B-9397-08002B2CF9AE}" pid="7" name="Mendeley Recent Style Name 2_1">
    <vt:lpwstr>Clinical and Molecular Allergy</vt:lpwstr>
  </property>
  <property fmtid="{D5CDD505-2E9C-101B-9397-08002B2CF9AE}" pid="8" name="Mendeley Recent Style Id 3_1">
    <vt:lpwstr>http://www.zotero.org/styles/entomologia-experimentalis-et-applicata</vt:lpwstr>
  </property>
  <property fmtid="{D5CDD505-2E9C-101B-9397-08002B2CF9AE}" pid="9" name="Mendeley Recent Style Name 3_1">
    <vt:lpwstr>Entomologia Experimentalis et Applicata</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http://www.zotero.org/styles/journal-of-medical-virology</vt:lpwstr>
  </property>
  <property fmtid="{D5CDD505-2E9C-101B-9397-08002B2CF9AE}" pid="13" name="Mendeley Recent Style Name 5_1">
    <vt:lpwstr>Journal of Medical Virology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b4f096dd-ac1c-33f4-a495-635a4e40a14e</vt:lpwstr>
  </property>
  <property fmtid="{D5CDD505-2E9C-101B-9397-08002B2CF9AE}" pid="25" name="GrammarlyDocumentId">
    <vt:lpwstr>8e23d6e37ec37b7df329bc06a1745ca1518a98054abfb1c1010591487c847307</vt:lpwstr>
  </property>
</Properties>
</file>