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B31C" w14:textId="1E7BA706" w:rsidR="00B20681" w:rsidRPr="00E30642" w:rsidRDefault="00871AC8" w:rsidP="00E30642">
      <w:pPr>
        <w:spacing w:line="360" w:lineRule="auto"/>
        <w:jc w:val="center"/>
        <w:rPr>
          <w:rFonts w:asciiTheme="majorBidi" w:hAnsiTheme="majorBidi" w:cstheme="majorBidi"/>
          <w:b/>
          <w:bCs/>
          <w:sz w:val="24"/>
          <w:szCs w:val="24"/>
        </w:rPr>
      </w:pPr>
      <w:r w:rsidRPr="00E30642">
        <w:rPr>
          <w:rFonts w:asciiTheme="majorBidi" w:hAnsiTheme="majorBidi" w:cstheme="majorBidi"/>
          <w:b/>
          <w:bCs/>
          <w:sz w:val="24"/>
          <w:szCs w:val="24"/>
        </w:rPr>
        <w:t xml:space="preserve">Assessment </w:t>
      </w:r>
      <w:r w:rsidR="00A959B2" w:rsidRPr="00E30642">
        <w:rPr>
          <w:rFonts w:asciiTheme="majorBidi" w:hAnsiTheme="majorBidi" w:cstheme="majorBidi"/>
          <w:b/>
          <w:bCs/>
          <w:sz w:val="24"/>
          <w:szCs w:val="24"/>
        </w:rPr>
        <w:t>of miR</w:t>
      </w:r>
      <w:r w:rsidR="00FE603F" w:rsidRPr="00E30642">
        <w:rPr>
          <w:rFonts w:asciiTheme="majorBidi" w:hAnsiTheme="majorBidi" w:cstheme="majorBidi"/>
          <w:b/>
          <w:bCs/>
          <w:sz w:val="24"/>
          <w:szCs w:val="24"/>
        </w:rPr>
        <w:t xml:space="preserve">-150-5 p </w:t>
      </w:r>
      <w:r w:rsidRPr="00E30642">
        <w:rPr>
          <w:rFonts w:asciiTheme="majorBidi" w:hAnsiTheme="majorBidi" w:cstheme="majorBidi"/>
          <w:b/>
          <w:bCs/>
          <w:sz w:val="24"/>
          <w:szCs w:val="24"/>
        </w:rPr>
        <w:t>as diagnostic and prognostic marker</w:t>
      </w:r>
      <w:r w:rsidRPr="004149D2">
        <w:rPr>
          <w:rFonts w:asciiTheme="majorBidi" w:hAnsiTheme="majorBidi" w:cstheme="majorBidi"/>
          <w:b/>
          <w:bCs/>
          <w:sz w:val="24"/>
          <w:szCs w:val="24"/>
        </w:rPr>
        <w:t>s</w:t>
      </w:r>
      <w:r w:rsidRPr="00E30642">
        <w:rPr>
          <w:rFonts w:asciiTheme="majorBidi" w:hAnsiTheme="majorBidi" w:cstheme="majorBidi"/>
          <w:b/>
          <w:bCs/>
          <w:sz w:val="24"/>
          <w:szCs w:val="24"/>
        </w:rPr>
        <w:t xml:space="preserve"> of </w:t>
      </w:r>
      <w:r w:rsidR="006436F0" w:rsidRPr="00E30642">
        <w:rPr>
          <w:rFonts w:asciiTheme="majorBidi" w:hAnsiTheme="majorBidi" w:cstheme="majorBidi"/>
          <w:b/>
          <w:bCs/>
          <w:sz w:val="24"/>
          <w:szCs w:val="24"/>
        </w:rPr>
        <w:t>B- chronic Lymphocytic Leukemia</w:t>
      </w:r>
      <w:r w:rsidR="00E75E51" w:rsidRPr="00E30642">
        <w:rPr>
          <w:rFonts w:asciiTheme="majorBidi" w:hAnsiTheme="majorBidi" w:cstheme="majorBidi"/>
          <w:b/>
          <w:bCs/>
          <w:sz w:val="24"/>
          <w:szCs w:val="24"/>
        </w:rPr>
        <w:t xml:space="preserve"> in chronic hepatitis C</w:t>
      </w:r>
    </w:p>
    <w:p w14:paraId="20F632F8" w14:textId="200E2970" w:rsidR="00335011" w:rsidRPr="00E30642" w:rsidRDefault="00335011" w:rsidP="00E30642">
      <w:pPr>
        <w:spacing w:line="360" w:lineRule="auto"/>
        <w:jc w:val="center"/>
        <w:rPr>
          <w:rFonts w:asciiTheme="majorBidi" w:hAnsiTheme="majorBidi" w:cstheme="majorBidi"/>
          <w:b/>
          <w:bCs/>
          <w:sz w:val="24"/>
          <w:szCs w:val="24"/>
        </w:rPr>
      </w:pPr>
    </w:p>
    <w:p w14:paraId="6030E2B6" w14:textId="10107DAF" w:rsidR="00AC28F8" w:rsidRPr="00E30642" w:rsidRDefault="00871AC8" w:rsidP="00E30642">
      <w:pPr>
        <w:spacing w:after="200" w:line="360" w:lineRule="auto"/>
        <w:jc w:val="center"/>
        <w:rPr>
          <w:rFonts w:asciiTheme="majorBidi" w:eastAsia="Calibri" w:hAnsiTheme="majorBidi" w:cstheme="majorBidi"/>
          <w:sz w:val="24"/>
          <w:szCs w:val="24"/>
          <w:vertAlign w:val="superscript"/>
          <w:lang w:bidi="ar-EG"/>
        </w:rPr>
      </w:pPr>
      <w:proofErr w:type="spellStart"/>
      <w:r w:rsidRPr="00E30642">
        <w:rPr>
          <w:rFonts w:asciiTheme="majorBidi" w:eastAsia="Calibri" w:hAnsiTheme="majorBidi" w:cstheme="majorBidi"/>
          <w:sz w:val="24"/>
          <w:szCs w:val="24"/>
          <w:lang w:bidi="ar-EG"/>
        </w:rPr>
        <w:t>Nearmeen</w:t>
      </w:r>
      <w:proofErr w:type="spellEnd"/>
      <w:r w:rsidRPr="00E30642">
        <w:rPr>
          <w:rFonts w:asciiTheme="majorBidi" w:eastAsia="Calibri" w:hAnsiTheme="majorBidi" w:cstheme="majorBidi"/>
          <w:sz w:val="24"/>
          <w:szCs w:val="24"/>
          <w:lang w:bidi="ar-EG"/>
        </w:rPr>
        <w:t xml:space="preserve"> M. Rashad</w:t>
      </w:r>
      <w:r w:rsidRPr="00E30642">
        <w:rPr>
          <w:rFonts w:asciiTheme="majorBidi" w:eastAsia="Calibri" w:hAnsiTheme="majorBidi" w:cstheme="majorBidi"/>
          <w:sz w:val="24"/>
          <w:szCs w:val="24"/>
          <w:vertAlign w:val="superscript"/>
          <w:lang w:bidi="ar-EG"/>
        </w:rPr>
        <w:t>1*</w:t>
      </w:r>
      <w:r w:rsidRPr="00E30642">
        <w:rPr>
          <w:rFonts w:asciiTheme="majorBidi" w:eastAsia="Calibri" w:hAnsiTheme="majorBidi" w:cstheme="majorBidi"/>
          <w:sz w:val="24"/>
          <w:szCs w:val="24"/>
          <w:lang w:bidi="ar-EG"/>
        </w:rPr>
        <w:t xml:space="preserve">, </w:t>
      </w:r>
      <w:proofErr w:type="spellStart"/>
      <w:r w:rsidRPr="00E30642">
        <w:rPr>
          <w:rFonts w:asciiTheme="majorBidi" w:eastAsiaTheme="minorEastAsia" w:hAnsiTheme="majorBidi" w:cstheme="majorBidi"/>
          <w:sz w:val="24"/>
          <w:szCs w:val="24"/>
        </w:rPr>
        <w:t>Sameh</w:t>
      </w:r>
      <w:proofErr w:type="spellEnd"/>
      <w:r w:rsidRPr="00E30642">
        <w:rPr>
          <w:rFonts w:asciiTheme="majorBidi" w:eastAsiaTheme="minorEastAsia" w:hAnsiTheme="majorBidi" w:cstheme="majorBidi"/>
          <w:sz w:val="24"/>
          <w:szCs w:val="24"/>
        </w:rPr>
        <w:t xml:space="preserve"> A. Soliman</w:t>
      </w:r>
      <w:r w:rsidRPr="00E30642">
        <w:rPr>
          <w:rFonts w:asciiTheme="majorBidi" w:eastAsiaTheme="minorEastAsia" w:hAnsiTheme="majorBidi" w:cstheme="majorBidi"/>
          <w:sz w:val="24"/>
          <w:szCs w:val="24"/>
          <w:vertAlign w:val="superscript"/>
        </w:rPr>
        <w:t>1</w:t>
      </w:r>
      <w:r w:rsidRPr="00E30642">
        <w:rPr>
          <w:rFonts w:asciiTheme="majorBidi" w:eastAsiaTheme="minorEastAsia" w:hAnsiTheme="majorBidi" w:cstheme="majorBidi"/>
          <w:sz w:val="24"/>
          <w:szCs w:val="24"/>
        </w:rPr>
        <w:t xml:space="preserve"> </w:t>
      </w:r>
      <w:r w:rsidRPr="00E30642">
        <w:rPr>
          <w:rFonts w:asciiTheme="majorBidi" w:eastAsia="Calibri" w:hAnsiTheme="majorBidi" w:cstheme="majorBidi"/>
          <w:sz w:val="24"/>
          <w:szCs w:val="24"/>
          <w:lang w:bidi="ar-EG"/>
        </w:rPr>
        <w:t>Ahmed Ali obaya</w:t>
      </w:r>
      <w:r w:rsidRPr="00E30642">
        <w:rPr>
          <w:rFonts w:asciiTheme="majorBidi" w:eastAsia="Calibri" w:hAnsiTheme="majorBidi" w:cstheme="majorBidi"/>
          <w:sz w:val="24"/>
          <w:szCs w:val="24"/>
          <w:vertAlign w:val="superscript"/>
          <w:lang w:bidi="ar-EG"/>
        </w:rPr>
        <w:t>2</w:t>
      </w:r>
      <w:r w:rsidRPr="00E30642">
        <w:rPr>
          <w:rFonts w:asciiTheme="majorBidi" w:eastAsia="Calibri" w:hAnsiTheme="majorBidi" w:cstheme="majorBidi"/>
          <w:sz w:val="24"/>
          <w:szCs w:val="24"/>
          <w:lang w:bidi="ar-EG"/>
        </w:rPr>
        <w:t xml:space="preserve">, </w:t>
      </w:r>
      <w:proofErr w:type="spellStart"/>
      <w:r w:rsidRPr="00E30642">
        <w:rPr>
          <w:rFonts w:asciiTheme="majorBidi" w:eastAsia="Calibri" w:hAnsiTheme="majorBidi" w:cstheme="majorBidi"/>
          <w:sz w:val="24"/>
          <w:szCs w:val="24"/>
          <w:lang w:bidi="ar-EG"/>
        </w:rPr>
        <w:t>Abdelmonem</w:t>
      </w:r>
      <w:proofErr w:type="spellEnd"/>
      <w:r w:rsidRPr="00E30642">
        <w:rPr>
          <w:rFonts w:asciiTheme="majorBidi" w:eastAsia="Calibri" w:hAnsiTheme="majorBidi" w:cstheme="majorBidi"/>
          <w:sz w:val="24"/>
          <w:szCs w:val="24"/>
          <w:lang w:bidi="ar-EG"/>
        </w:rPr>
        <w:t xml:space="preserve"> Mohamed Elshamy</w:t>
      </w:r>
      <w:r w:rsidRPr="00E30642">
        <w:rPr>
          <w:rFonts w:asciiTheme="majorBidi" w:eastAsia="Calibri" w:hAnsiTheme="majorBidi" w:cstheme="majorBidi"/>
          <w:sz w:val="24"/>
          <w:szCs w:val="24"/>
          <w:vertAlign w:val="superscript"/>
          <w:lang w:bidi="ar-EG"/>
        </w:rPr>
        <w:t>3</w:t>
      </w:r>
      <w:r w:rsidRPr="00E30642">
        <w:rPr>
          <w:rFonts w:asciiTheme="majorBidi" w:eastAsia="Calibri" w:hAnsiTheme="majorBidi" w:cstheme="majorBidi"/>
          <w:sz w:val="24"/>
          <w:szCs w:val="24"/>
          <w:lang w:bidi="ar-EG"/>
        </w:rPr>
        <w:t>,</w:t>
      </w:r>
      <w:r w:rsidRPr="00E30642">
        <w:rPr>
          <w:rFonts w:asciiTheme="majorBidi" w:eastAsia="Calibri" w:hAnsiTheme="majorBidi" w:cstheme="majorBidi"/>
          <w:sz w:val="24"/>
          <w:szCs w:val="24"/>
        </w:rPr>
        <w:t xml:space="preserve"> Amira M. El-</w:t>
      </w:r>
      <w:proofErr w:type="spellStart"/>
      <w:r w:rsidRPr="00E30642">
        <w:rPr>
          <w:rFonts w:asciiTheme="majorBidi" w:eastAsia="Calibri" w:hAnsiTheme="majorBidi" w:cstheme="majorBidi"/>
          <w:sz w:val="24"/>
          <w:szCs w:val="24"/>
        </w:rPr>
        <w:t>Helaly</w:t>
      </w:r>
      <w:proofErr w:type="spellEnd"/>
      <w:r w:rsidRPr="00E30642">
        <w:rPr>
          <w:rFonts w:asciiTheme="majorBidi" w:eastAsia="Calibri" w:hAnsiTheme="majorBidi" w:cstheme="majorBidi"/>
          <w:sz w:val="24"/>
          <w:szCs w:val="24"/>
        </w:rPr>
        <w:t xml:space="preserve"> </w:t>
      </w:r>
      <w:r w:rsidRPr="00E30642">
        <w:rPr>
          <w:rFonts w:asciiTheme="majorBidi" w:eastAsia="Calibri" w:hAnsiTheme="majorBidi" w:cstheme="majorBidi"/>
          <w:sz w:val="24"/>
          <w:szCs w:val="24"/>
          <w:vertAlign w:val="superscript"/>
        </w:rPr>
        <w:t>4</w:t>
      </w:r>
      <w:r w:rsidRPr="00E30642">
        <w:rPr>
          <w:rFonts w:asciiTheme="majorBidi" w:eastAsia="Calibri" w:hAnsiTheme="majorBidi" w:cstheme="majorBidi"/>
          <w:sz w:val="24"/>
          <w:szCs w:val="24"/>
        </w:rPr>
        <w:t xml:space="preserve">, Marwa H.S. </w:t>
      </w:r>
      <w:proofErr w:type="spellStart"/>
      <w:r w:rsidRPr="00E30642">
        <w:rPr>
          <w:rFonts w:asciiTheme="majorBidi" w:eastAsia="Calibri" w:hAnsiTheme="majorBidi" w:cstheme="majorBidi"/>
          <w:sz w:val="24"/>
          <w:szCs w:val="24"/>
        </w:rPr>
        <w:t>Hussien</w:t>
      </w:r>
      <w:proofErr w:type="spellEnd"/>
      <w:r w:rsidRPr="00E30642">
        <w:rPr>
          <w:rFonts w:asciiTheme="majorBidi" w:eastAsia="Calibri" w:hAnsiTheme="majorBidi" w:cstheme="majorBidi"/>
          <w:sz w:val="24"/>
          <w:szCs w:val="24"/>
          <w:vertAlign w:val="superscript"/>
          <w:rtl/>
        </w:rPr>
        <w:t>5</w:t>
      </w:r>
      <w:r w:rsidRPr="00E30642">
        <w:rPr>
          <w:rFonts w:asciiTheme="majorBidi" w:eastAsia="Calibri" w:hAnsiTheme="majorBidi" w:cstheme="majorBidi"/>
          <w:sz w:val="24"/>
          <w:szCs w:val="24"/>
          <w:lang w:bidi="ar-EG"/>
        </w:rPr>
        <w:t xml:space="preserve"> Ahmed F. Gomaa</w:t>
      </w:r>
      <w:r w:rsidRPr="00E30642">
        <w:rPr>
          <w:rFonts w:asciiTheme="majorBidi" w:eastAsia="Calibri" w:hAnsiTheme="majorBidi" w:cstheme="majorBidi"/>
          <w:sz w:val="24"/>
          <w:szCs w:val="24"/>
          <w:vertAlign w:val="superscript"/>
          <w:rtl/>
          <w:lang w:bidi="ar-EG"/>
        </w:rPr>
        <w:t>1</w:t>
      </w:r>
    </w:p>
    <w:p w14:paraId="1FD50B53" w14:textId="66ED397F" w:rsidR="00AC28F8" w:rsidRPr="00E30642" w:rsidRDefault="00871AC8" w:rsidP="00E30642">
      <w:pPr>
        <w:spacing w:after="0" w:line="360" w:lineRule="auto"/>
        <w:rPr>
          <w:rFonts w:asciiTheme="majorBidi" w:hAnsiTheme="majorBidi" w:cstheme="majorBidi"/>
          <w:sz w:val="24"/>
          <w:szCs w:val="24"/>
        </w:rPr>
      </w:pPr>
      <w:bookmarkStart w:id="0" w:name="_Hlk124470338"/>
      <w:r w:rsidRPr="00E30642">
        <w:rPr>
          <w:rFonts w:asciiTheme="majorBidi" w:hAnsiTheme="majorBidi" w:cstheme="majorBidi"/>
          <w:sz w:val="24"/>
          <w:szCs w:val="24"/>
        </w:rPr>
        <w:t xml:space="preserve">Departments of Internal medicine </w:t>
      </w:r>
      <w:r w:rsidRPr="00E30642">
        <w:rPr>
          <w:rFonts w:asciiTheme="majorBidi" w:hAnsiTheme="majorBidi" w:cstheme="majorBidi"/>
          <w:sz w:val="24"/>
          <w:szCs w:val="24"/>
          <w:vertAlign w:val="superscript"/>
        </w:rPr>
        <w:t>1</w:t>
      </w:r>
      <w:r w:rsidRPr="00E30642">
        <w:rPr>
          <w:rFonts w:asciiTheme="majorBidi" w:hAnsiTheme="majorBidi" w:cstheme="majorBidi"/>
          <w:sz w:val="24"/>
          <w:szCs w:val="24"/>
        </w:rPr>
        <w:t>, Clinical Oncology and Nuclear Medicine</w:t>
      </w:r>
      <w:r w:rsidRPr="00E30642">
        <w:rPr>
          <w:rFonts w:asciiTheme="majorBidi" w:hAnsiTheme="majorBidi" w:cstheme="majorBidi"/>
          <w:sz w:val="24"/>
          <w:szCs w:val="24"/>
          <w:vertAlign w:val="superscript"/>
        </w:rPr>
        <w:t xml:space="preserve"> 2</w:t>
      </w:r>
      <w:r w:rsidRPr="00E30642">
        <w:rPr>
          <w:rFonts w:asciiTheme="majorBidi" w:hAnsiTheme="majorBidi" w:cstheme="majorBidi"/>
          <w:sz w:val="24"/>
          <w:szCs w:val="24"/>
        </w:rPr>
        <w:t>, Tropical Medicine</w:t>
      </w:r>
      <w:r w:rsidRPr="00E30642">
        <w:rPr>
          <w:rFonts w:asciiTheme="majorBidi" w:hAnsiTheme="majorBidi" w:cstheme="majorBidi"/>
          <w:sz w:val="24"/>
          <w:szCs w:val="24"/>
          <w:vertAlign w:val="superscript"/>
        </w:rPr>
        <w:t xml:space="preserve"> 3</w:t>
      </w:r>
      <w:bookmarkEnd w:id="0"/>
      <w:r w:rsidRPr="00E30642">
        <w:rPr>
          <w:rFonts w:asciiTheme="majorBidi" w:hAnsiTheme="majorBidi" w:cstheme="majorBidi"/>
          <w:sz w:val="24"/>
          <w:szCs w:val="24"/>
        </w:rPr>
        <w:t xml:space="preserve"> and</w:t>
      </w:r>
      <w:r w:rsidRPr="00E30642">
        <w:rPr>
          <w:rFonts w:asciiTheme="majorBidi" w:hAnsiTheme="majorBidi" w:cstheme="majorBidi"/>
          <w:sz w:val="24"/>
          <w:szCs w:val="24"/>
          <w:vertAlign w:val="superscript"/>
        </w:rPr>
        <w:t xml:space="preserve"> </w:t>
      </w:r>
      <w:r w:rsidRPr="00E30642">
        <w:rPr>
          <w:rFonts w:asciiTheme="majorBidi" w:hAnsiTheme="majorBidi" w:cstheme="majorBidi"/>
          <w:sz w:val="24"/>
          <w:szCs w:val="24"/>
        </w:rPr>
        <w:t xml:space="preserve">Clinical Pathology </w:t>
      </w:r>
      <w:r w:rsidRPr="00E30642">
        <w:rPr>
          <w:rFonts w:asciiTheme="majorBidi" w:hAnsiTheme="majorBidi" w:cstheme="majorBidi"/>
          <w:sz w:val="24"/>
          <w:szCs w:val="24"/>
          <w:vertAlign w:val="superscript"/>
        </w:rPr>
        <w:t>4</w:t>
      </w:r>
      <w:r w:rsidRPr="00E30642">
        <w:rPr>
          <w:rFonts w:asciiTheme="majorBidi" w:hAnsiTheme="majorBidi" w:cstheme="majorBidi"/>
          <w:sz w:val="24"/>
          <w:szCs w:val="24"/>
        </w:rPr>
        <w:t xml:space="preserve">, </w:t>
      </w:r>
      <w:r w:rsidRPr="00E30642">
        <w:rPr>
          <w:rFonts w:asciiTheme="majorBidi" w:eastAsia="Calibri" w:hAnsiTheme="majorBidi" w:cstheme="majorBidi"/>
          <w:sz w:val="24"/>
          <w:szCs w:val="24"/>
          <w:lang w:bidi="ar-EG"/>
        </w:rPr>
        <w:t xml:space="preserve">Medical Biochemistry </w:t>
      </w:r>
      <w:r w:rsidRPr="00E30642">
        <w:rPr>
          <w:rFonts w:asciiTheme="majorBidi" w:eastAsia="Calibri" w:hAnsiTheme="majorBidi" w:cstheme="majorBidi"/>
          <w:sz w:val="24"/>
          <w:szCs w:val="24"/>
          <w:vertAlign w:val="superscript"/>
          <w:rtl/>
          <w:lang w:bidi="ar-EG"/>
        </w:rPr>
        <w:t>5</w:t>
      </w:r>
      <w:r w:rsidRPr="00E30642">
        <w:rPr>
          <w:rFonts w:asciiTheme="majorBidi" w:eastAsia="Calibri" w:hAnsiTheme="majorBidi" w:cstheme="majorBidi"/>
          <w:sz w:val="24"/>
          <w:szCs w:val="24"/>
          <w:lang w:bidi="ar-EG"/>
        </w:rPr>
        <w:t xml:space="preserve"> </w:t>
      </w:r>
      <w:r w:rsidRPr="00E30642">
        <w:rPr>
          <w:rFonts w:asciiTheme="majorBidi" w:hAnsiTheme="majorBidi" w:cstheme="majorBidi"/>
          <w:sz w:val="24"/>
          <w:szCs w:val="24"/>
        </w:rPr>
        <w:t xml:space="preserve">Faculty of Medicine, Zagazig, Egypt. </w:t>
      </w:r>
    </w:p>
    <w:p w14:paraId="75D97F88" w14:textId="77777777" w:rsidR="00AC28F8" w:rsidRPr="00E30642" w:rsidRDefault="00871AC8" w:rsidP="0047518F">
      <w:pPr>
        <w:spacing w:after="0" w:line="360" w:lineRule="auto"/>
        <w:rPr>
          <w:rFonts w:asciiTheme="majorBidi" w:eastAsia="Times New Roman" w:hAnsiTheme="majorBidi" w:cstheme="majorBidi"/>
          <w:sz w:val="24"/>
          <w:szCs w:val="24"/>
          <w:lang w:bidi="ar-EG"/>
        </w:rPr>
      </w:pPr>
      <w:r w:rsidRPr="00E30642">
        <w:rPr>
          <w:rFonts w:asciiTheme="majorBidi" w:eastAsia="Times New Roman" w:hAnsiTheme="majorBidi" w:cstheme="majorBidi"/>
          <w:b/>
          <w:bCs/>
          <w:sz w:val="24"/>
          <w:szCs w:val="24"/>
          <w:lang w:bidi="ar-EG"/>
        </w:rPr>
        <w:t xml:space="preserve">*Corresponding author: </w:t>
      </w:r>
      <w:proofErr w:type="spellStart"/>
      <w:r w:rsidRPr="00E30642">
        <w:rPr>
          <w:rFonts w:asciiTheme="majorBidi" w:eastAsia="Times New Roman" w:hAnsiTheme="majorBidi" w:cstheme="majorBidi"/>
          <w:sz w:val="24"/>
          <w:szCs w:val="24"/>
          <w:lang w:bidi="ar-EG"/>
        </w:rPr>
        <w:t>Nearmeen</w:t>
      </w:r>
      <w:proofErr w:type="spellEnd"/>
      <w:r w:rsidRPr="00E30642">
        <w:rPr>
          <w:rFonts w:asciiTheme="majorBidi" w:eastAsia="Times New Roman" w:hAnsiTheme="majorBidi" w:cstheme="majorBidi"/>
          <w:sz w:val="24"/>
          <w:szCs w:val="24"/>
          <w:lang w:bidi="ar-EG"/>
        </w:rPr>
        <w:t xml:space="preserve"> M. Rashad, </w:t>
      </w:r>
      <w:r w:rsidRPr="00E30642">
        <w:rPr>
          <w:rFonts w:asciiTheme="majorBidi" w:eastAsia="Times New Roman" w:hAnsiTheme="majorBidi" w:cstheme="majorBidi"/>
          <w:b/>
          <w:bCs/>
          <w:sz w:val="24"/>
          <w:szCs w:val="24"/>
          <w:lang w:bidi="ar-EG"/>
        </w:rPr>
        <w:t>Mobile:</w:t>
      </w:r>
      <w:r w:rsidRPr="00E30642">
        <w:rPr>
          <w:rFonts w:asciiTheme="majorBidi" w:eastAsia="Times New Roman" w:hAnsiTheme="majorBidi" w:cstheme="majorBidi"/>
          <w:sz w:val="24"/>
          <w:szCs w:val="24"/>
          <w:lang w:bidi="ar-EG"/>
        </w:rPr>
        <w:t xml:space="preserve"> (+20) 01224248642, </w:t>
      </w:r>
    </w:p>
    <w:p w14:paraId="33FE7D6B" w14:textId="364B2100" w:rsidR="00AC28F8" w:rsidRDefault="00871AC8" w:rsidP="00A03602">
      <w:pPr>
        <w:spacing w:after="0" w:line="360" w:lineRule="auto"/>
        <w:rPr>
          <w:rFonts w:asciiTheme="majorBidi" w:eastAsia="Times New Roman" w:hAnsiTheme="majorBidi" w:cstheme="majorBidi"/>
          <w:sz w:val="24"/>
          <w:szCs w:val="24"/>
          <w:lang w:bidi="ar-EG"/>
        </w:rPr>
      </w:pPr>
      <w:r w:rsidRPr="00E30642">
        <w:rPr>
          <w:rFonts w:asciiTheme="majorBidi" w:eastAsia="Times New Roman" w:hAnsiTheme="majorBidi" w:cstheme="majorBidi"/>
          <w:b/>
          <w:bCs/>
          <w:sz w:val="24"/>
          <w:szCs w:val="24"/>
          <w:lang w:bidi="ar-EG"/>
        </w:rPr>
        <w:t xml:space="preserve">E-mail: </w:t>
      </w:r>
      <w:r w:rsidRPr="00E30642">
        <w:rPr>
          <w:rFonts w:asciiTheme="majorBidi" w:eastAsia="Times New Roman" w:hAnsiTheme="majorBidi" w:cstheme="majorBidi"/>
          <w:sz w:val="24"/>
          <w:szCs w:val="24"/>
          <w:lang w:bidi="ar-EG"/>
        </w:rPr>
        <w:t xml:space="preserve">nrashad78@yahoo.com &amp; </w:t>
      </w:r>
      <w:hyperlink r:id="rId7" w:history="1">
        <w:r w:rsidRPr="00E30642">
          <w:rPr>
            <w:rFonts w:asciiTheme="majorBidi" w:eastAsia="Times New Roman" w:hAnsiTheme="majorBidi" w:cstheme="majorBidi"/>
            <w:color w:val="0563C1" w:themeColor="hyperlink"/>
            <w:sz w:val="24"/>
            <w:szCs w:val="24"/>
            <w:u w:val="single"/>
            <w:lang w:bidi="ar-EG"/>
          </w:rPr>
          <w:t>n.rashad@zu.edu.eg</w:t>
        </w:r>
      </w:hyperlink>
      <w:r w:rsidRPr="00E30642">
        <w:rPr>
          <w:rFonts w:asciiTheme="majorBidi" w:eastAsia="Times New Roman" w:hAnsiTheme="majorBidi" w:cstheme="majorBidi"/>
          <w:sz w:val="24"/>
          <w:szCs w:val="24"/>
          <w:lang w:bidi="ar-EG"/>
        </w:rPr>
        <w:t>.</w:t>
      </w:r>
    </w:p>
    <w:p w14:paraId="2C756C80" w14:textId="5B397DCE" w:rsidR="00A03602" w:rsidRPr="00A03602" w:rsidRDefault="00A03602" w:rsidP="00836B5F">
      <w:pPr>
        <w:spacing w:after="0" w:line="360" w:lineRule="auto"/>
        <w:rPr>
          <w:rFonts w:asciiTheme="majorBidi" w:eastAsia="Times New Roman" w:hAnsiTheme="majorBidi" w:cstheme="majorBidi"/>
          <w:sz w:val="24"/>
          <w:szCs w:val="24"/>
          <w:lang w:bidi="ar-EG"/>
        </w:rPr>
      </w:pPr>
      <w:r w:rsidRPr="00A03602">
        <w:rPr>
          <w:rFonts w:asciiTheme="majorBidi" w:eastAsia="Times New Roman" w:hAnsiTheme="majorBidi" w:cstheme="majorBidi"/>
          <w:sz w:val="24"/>
          <w:szCs w:val="24"/>
          <w:lang w:bidi="ar-EG"/>
        </w:rPr>
        <w:t xml:space="preserve">DOI: </w:t>
      </w:r>
      <w:hyperlink r:id="rId8" w:history="1">
        <w:r w:rsidR="00836B5F" w:rsidRPr="00836B5F">
          <w:rPr>
            <w:rStyle w:val="Hyperlink"/>
            <w:rFonts w:asciiTheme="majorBidi" w:eastAsia="Times New Roman" w:hAnsiTheme="majorBidi" w:cstheme="majorBidi"/>
            <w:sz w:val="24"/>
            <w:szCs w:val="24"/>
            <w:lang w:bidi="ar-EG"/>
          </w:rPr>
          <w:t>10.21608/AJGH.2023.189829.1031</w:t>
        </w:r>
      </w:hyperlink>
      <w:r w:rsidRPr="00A03602">
        <w:rPr>
          <w:rFonts w:asciiTheme="majorBidi" w:eastAsia="Times New Roman" w:hAnsiTheme="majorBidi" w:cstheme="majorBidi"/>
          <w:sz w:val="24"/>
          <w:szCs w:val="24"/>
          <w:lang w:bidi="ar-EG"/>
        </w:rPr>
        <w:t>.</w:t>
      </w:r>
    </w:p>
    <w:p w14:paraId="2FD03295" w14:textId="709223A5" w:rsidR="00A03602" w:rsidRPr="00A03602" w:rsidRDefault="00A03602" w:rsidP="00A03602">
      <w:pPr>
        <w:spacing w:after="0" w:line="360" w:lineRule="auto"/>
        <w:rPr>
          <w:rFonts w:asciiTheme="majorBidi" w:eastAsia="Times New Roman" w:hAnsiTheme="majorBidi" w:cstheme="majorBidi"/>
          <w:sz w:val="24"/>
          <w:szCs w:val="24"/>
          <w:lang w:bidi="ar-EG"/>
        </w:rPr>
      </w:pPr>
      <w:r w:rsidRPr="00A03602">
        <w:rPr>
          <w:rFonts w:asciiTheme="majorBidi" w:eastAsia="Times New Roman" w:hAnsiTheme="majorBidi" w:cstheme="majorBidi"/>
          <w:sz w:val="24"/>
          <w:szCs w:val="24"/>
          <w:lang w:bidi="ar-EG"/>
        </w:rPr>
        <w:t>Submission date:</w:t>
      </w:r>
      <w:bookmarkStart w:id="1" w:name="_Hlk125994740"/>
      <w:r w:rsidRPr="00A03602">
        <w:rPr>
          <w:rFonts w:asciiTheme="majorBidi" w:eastAsia="Times New Roman" w:hAnsiTheme="majorBidi" w:cstheme="majorBidi"/>
          <w:sz w:val="24"/>
          <w:szCs w:val="24"/>
          <w:lang w:bidi="ar-EG"/>
        </w:rPr>
        <w:t>2</w:t>
      </w:r>
      <w:r w:rsidR="0082372C">
        <w:rPr>
          <w:rFonts w:asciiTheme="majorBidi" w:eastAsia="Times New Roman" w:hAnsiTheme="majorBidi" w:cstheme="majorBidi"/>
          <w:sz w:val="24"/>
          <w:szCs w:val="24"/>
          <w:lang w:bidi="ar-EG"/>
        </w:rPr>
        <w:t>6</w:t>
      </w:r>
      <w:r w:rsidRPr="00A03602">
        <w:rPr>
          <w:rFonts w:asciiTheme="majorBidi" w:eastAsia="Times New Roman" w:hAnsiTheme="majorBidi" w:cstheme="majorBidi"/>
          <w:sz w:val="24"/>
          <w:szCs w:val="24"/>
          <w:lang w:bidi="ar-EG"/>
        </w:rPr>
        <w:t xml:space="preserve"> January 2023</w:t>
      </w:r>
      <w:r w:rsidR="0096577E">
        <w:rPr>
          <w:rFonts w:asciiTheme="majorBidi" w:eastAsia="Times New Roman" w:hAnsiTheme="majorBidi" w:cstheme="majorBidi"/>
          <w:sz w:val="24"/>
          <w:szCs w:val="24"/>
          <w:lang w:bidi="ar-EG"/>
        </w:rPr>
        <w:t>.</w:t>
      </w:r>
    </w:p>
    <w:bookmarkEnd w:id="1"/>
    <w:p w14:paraId="61314DED" w14:textId="08A65832" w:rsidR="00A03602" w:rsidRPr="00A03602" w:rsidRDefault="00A03602" w:rsidP="00A03602">
      <w:pPr>
        <w:spacing w:after="0" w:line="360" w:lineRule="auto"/>
        <w:rPr>
          <w:rFonts w:asciiTheme="majorBidi" w:eastAsia="Times New Roman" w:hAnsiTheme="majorBidi" w:cstheme="majorBidi"/>
          <w:sz w:val="24"/>
          <w:szCs w:val="24"/>
          <w:lang w:bidi="ar-EG"/>
        </w:rPr>
      </w:pPr>
      <w:r w:rsidRPr="00A03602">
        <w:rPr>
          <w:rFonts w:asciiTheme="majorBidi" w:eastAsia="Times New Roman" w:hAnsiTheme="majorBidi" w:cstheme="majorBidi"/>
          <w:sz w:val="24"/>
          <w:szCs w:val="24"/>
          <w:lang w:bidi="ar-EG"/>
        </w:rPr>
        <w:t xml:space="preserve">Revision date: </w:t>
      </w:r>
      <w:r w:rsidR="00FB624A">
        <w:rPr>
          <w:rFonts w:asciiTheme="majorBidi" w:eastAsia="Times New Roman" w:hAnsiTheme="majorBidi" w:cstheme="majorBidi"/>
          <w:sz w:val="24"/>
          <w:szCs w:val="24"/>
          <w:lang w:bidi="ar-EG"/>
        </w:rPr>
        <w:t>20</w:t>
      </w:r>
      <w:r w:rsidRPr="00A03602">
        <w:rPr>
          <w:rFonts w:asciiTheme="majorBidi" w:eastAsia="Times New Roman" w:hAnsiTheme="majorBidi" w:cstheme="majorBidi"/>
          <w:sz w:val="24"/>
          <w:szCs w:val="24"/>
          <w:lang w:bidi="ar-EG"/>
        </w:rPr>
        <w:t xml:space="preserve"> February 2023</w:t>
      </w:r>
      <w:r w:rsidR="0096577E">
        <w:rPr>
          <w:rFonts w:asciiTheme="majorBidi" w:eastAsia="Times New Roman" w:hAnsiTheme="majorBidi" w:cstheme="majorBidi"/>
          <w:sz w:val="24"/>
          <w:szCs w:val="24"/>
          <w:lang w:bidi="ar-EG"/>
        </w:rPr>
        <w:t>.</w:t>
      </w:r>
    </w:p>
    <w:p w14:paraId="3B876819" w14:textId="79A9F845" w:rsidR="00A03602" w:rsidRPr="00A03602" w:rsidRDefault="00A03602" w:rsidP="00A03602">
      <w:pPr>
        <w:spacing w:after="0" w:line="360" w:lineRule="auto"/>
        <w:rPr>
          <w:rFonts w:asciiTheme="majorBidi" w:eastAsia="Times New Roman" w:hAnsiTheme="majorBidi" w:cstheme="majorBidi"/>
          <w:sz w:val="24"/>
          <w:szCs w:val="24"/>
          <w:lang w:bidi="ar-EG"/>
        </w:rPr>
      </w:pPr>
      <w:r w:rsidRPr="00A03602">
        <w:rPr>
          <w:rFonts w:asciiTheme="majorBidi" w:eastAsia="Times New Roman" w:hAnsiTheme="majorBidi" w:cstheme="majorBidi"/>
          <w:sz w:val="24"/>
          <w:szCs w:val="24"/>
          <w:lang w:bidi="ar-EG"/>
        </w:rPr>
        <w:t>Acceptance date: 2</w:t>
      </w:r>
      <w:r w:rsidR="0096577E">
        <w:rPr>
          <w:rFonts w:asciiTheme="majorBidi" w:eastAsia="Times New Roman" w:hAnsiTheme="majorBidi" w:cstheme="majorBidi"/>
          <w:sz w:val="24"/>
          <w:szCs w:val="24"/>
          <w:lang w:bidi="ar-EG"/>
        </w:rPr>
        <w:t>8</w:t>
      </w:r>
      <w:r w:rsidRPr="00A03602">
        <w:rPr>
          <w:rFonts w:asciiTheme="majorBidi" w:eastAsia="Times New Roman" w:hAnsiTheme="majorBidi" w:cstheme="majorBidi"/>
          <w:sz w:val="24"/>
          <w:szCs w:val="24"/>
          <w:lang w:bidi="ar-EG"/>
        </w:rPr>
        <w:t xml:space="preserve"> February 2023</w:t>
      </w:r>
      <w:r w:rsidR="0096577E">
        <w:rPr>
          <w:rFonts w:asciiTheme="majorBidi" w:eastAsia="Times New Roman" w:hAnsiTheme="majorBidi" w:cstheme="majorBidi"/>
          <w:sz w:val="24"/>
          <w:szCs w:val="24"/>
          <w:lang w:bidi="ar-EG"/>
        </w:rPr>
        <w:t>.</w:t>
      </w:r>
    </w:p>
    <w:p w14:paraId="6946503A" w14:textId="77777777" w:rsidR="0096577E" w:rsidRDefault="00A03602" w:rsidP="00A03602">
      <w:pPr>
        <w:spacing w:after="0" w:line="360" w:lineRule="auto"/>
        <w:rPr>
          <w:rFonts w:asciiTheme="majorBidi" w:eastAsia="Times New Roman" w:hAnsiTheme="majorBidi" w:cstheme="majorBidi"/>
          <w:sz w:val="24"/>
          <w:szCs w:val="24"/>
          <w:lang w:bidi="ar-EG"/>
        </w:rPr>
        <w:sectPr w:rsidR="0096577E" w:rsidSect="006E18F5">
          <w:headerReference w:type="default" r:id="rId9"/>
          <w:footerReference w:type="default" r:id="rId10"/>
          <w:pgSz w:w="12240" w:h="15840"/>
          <w:pgMar w:top="1440" w:right="1800" w:bottom="1440" w:left="1800" w:header="720" w:footer="720" w:gutter="0"/>
          <w:pgNumType w:start="36"/>
          <w:cols w:space="720"/>
          <w:docGrid w:linePitch="360"/>
        </w:sectPr>
      </w:pPr>
      <w:r w:rsidRPr="00A03602">
        <w:rPr>
          <w:rFonts w:asciiTheme="majorBidi" w:eastAsia="Times New Roman" w:hAnsiTheme="majorBidi" w:cstheme="majorBidi"/>
          <w:sz w:val="24"/>
          <w:szCs w:val="24"/>
          <w:lang w:bidi="ar-EG"/>
        </w:rPr>
        <w:t xml:space="preserve">First online: </w:t>
      </w:r>
      <w:r w:rsidR="0096577E">
        <w:rPr>
          <w:rFonts w:asciiTheme="majorBidi" w:eastAsia="Times New Roman" w:hAnsiTheme="majorBidi" w:cstheme="majorBidi"/>
          <w:sz w:val="24"/>
          <w:szCs w:val="24"/>
          <w:lang w:bidi="ar-EG"/>
        </w:rPr>
        <w:t>2</w:t>
      </w:r>
      <w:r w:rsidRPr="00A03602">
        <w:rPr>
          <w:rFonts w:asciiTheme="majorBidi" w:eastAsia="Times New Roman" w:hAnsiTheme="majorBidi" w:cstheme="majorBidi"/>
          <w:sz w:val="24"/>
          <w:szCs w:val="24"/>
          <w:lang w:bidi="ar-EG"/>
        </w:rPr>
        <w:t xml:space="preserve"> </w:t>
      </w:r>
      <w:r w:rsidR="0096577E">
        <w:rPr>
          <w:rFonts w:asciiTheme="majorBidi" w:eastAsia="Times New Roman" w:hAnsiTheme="majorBidi" w:cstheme="majorBidi"/>
          <w:sz w:val="24"/>
          <w:szCs w:val="24"/>
          <w:lang w:bidi="ar-EG"/>
        </w:rPr>
        <w:t>March</w:t>
      </w:r>
      <w:r w:rsidRPr="00A03602">
        <w:rPr>
          <w:rFonts w:asciiTheme="majorBidi" w:eastAsia="Times New Roman" w:hAnsiTheme="majorBidi" w:cstheme="majorBidi"/>
          <w:sz w:val="24"/>
          <w:szCs w:val="24"/>
          <w:lang w:bidi="ar-EG"/>
        </w:rPr>
        <w:t xml:space="preserve"> 2023</w:t>
      </w:r>
      <w:r w:rsidR="0096577E">
        <w:rPr>
          <w:rFonts w:asciiTheme="majorBidi" w:eastAsia="Times New Roman" w:hAnsiTheme="majorBidi" w:cstheme="majorBidi"/>
          <w:sz w:val="24"/>
          <w:szCs w:val="24"/>
          <w:lang w:bidi="ar-EG"/>
        </w:rPr>
        <w:t>.</w:t>
      </w:r>
    </w:p>
    <w:p w14:paraId="2924C358" w14:textId="68D963D1" w:rsidR="00243487" w:rsidRPr="00E30642" w:rsidRDefault="00871AC8" w:rsidP="00E30642">
      <w:pPr>
        <w:spacing w:after="200" w:line="360" w:lineRule="auto"/>
        <w:rPr>
          <w:rFonts w:asciiTheme="majorBidi" w:eastAsia="Calibri" w:hAnsiTheme="majorBidi" w:cstheme="majorBidi"/>
          <w:sz w:val="24"/>
          <w:szCs w:val="24"/>
          <w:lang w:bidi="ar-EG"/>
        </w:rPr>
      </w:pPr>
      <w:r w:rsidRPr="00E30642">
        <w:rPr>
          <w:rFonts w:asciiTheme="majorBidi" w:eastAsia="Calibri" w:hAnsiTheme="majorBidi" w:cstheme="majorBidi"/>
          <w:b/>
          <w:bCs/>
          <w:sz w:val="24"/>
          <w:szCs w:val="24"/>
          <w:lang w:bidi="ar-EG"/>
        </w:rPr>
        <w:lastRenderedPageBreak/>
        <w:t>Abstract:</w:t>
      </w:r>
    </w:p>
    <w:p w14:paraId="3E752643" w14:textId="33B0EE62" w:rsidR="00243487" w:rsidRPr="00E30642" w:rsidRDefault="00871AC8" w:rsidP="00E30642">
      <w:pPr>
        <w:spacing w:after="200" w:line="360" w:lineRule="auto"/>
        <w:jc w:val="both"/>
        <w:rPr>
          <w:rFonts w:asciiTheme="majorBidi" w:eastAsia="Calibri" w:hAnsiTheme="majorBidi" w:cstheme="majorBidi"/>
          <w:sz w:val="24"/>
          <w:szCs w:val="24"/>
          <w:lang w:bidi="ar-EG"/>
        </w:rPr>
      </w:pPr>
      <w:r w:rsidRPr="00D727CB">
        <w:rPr>
          <w:rFonts w:asciiTheme="majorBidi" w:eastAsia="Calibri" w:hAnsiTheme="majorBidi" w:cstheme="majorBidi"/>
          <w:b/>
          <w:bCs/>
          <w:sz w:val="24"/>
          <w:szCs w:val="24"/>
          <w:lang w:bidi="ar-EG"/>
        </w:rPr>
        <w:t xml:space="preserve">Aims: </w:t>
      </w:r>
      <w:r w:rsidR="00B10A73" w:rsidRPr="00E30642">
        <w:rPr>
          <w:rFonts w:asciiTheme="majorBidi" w:eastAsia="Calibri" w:hAnsiTheme="majorBidi" w:cstheme="majorBidi"/>
          <w:sz w:val="24"/>
          <w:szCs w:val="24"/>
          <w:lang w:bidi="ar-EG"/>
        </w:rPr>
        <w:t xml:space="preserve">the current study aimed to investigate the role </w:t>
      </w:r>
      <w:r w:rsidR="00B85C54" w:rsidRPr="00E30642">
        <w:rPr>
          <w:rFonts w:asciiTheme="majorBidi" w:eastAsia="Calibri" w:hAnsiTheme="majorBidi" w:cstheme="majorBidi"/>
          <w:sz w:val="24"/>
          <w:szCs w:val="24"/>
          <w:lang w:bidi="ar-EG"/>
        </w:rPr>
        <w:t xml:space="preserve">of </w:t>
      </w:r>
      <w:r w:rsidR="00B10A73" w:rsidRPr="00E30642">
        <w:rPr>
          <w:rFonts w:asciiTheme="majorBidi" w:eastAsia="Calibri" w:hAnsiTheme="majorBidi" w:cstheme="majorBidi"/>
          <w:sz w:val="24"/>
          <w:szCs w:val="24"/>
          <w:lang w:bidi="ar-EG"/>
        </w:rPr>
        <w:t xml:space="preserve">miR-150-5 p </w:t>
      </w:r>
      <w:r w:rsidRPr="00E30642">
        <w:rPr>
          <w:rFonts w:asciiTheme="majorBidi" w:eastAsia="Calibri" w:hAnsiTheme="majorBidi" w:cstheme="majorBidi"/>
          <w:sz w:val="24"/>
          <w:szCs w:val="24"/>
          <w:lang w:bidi="ar-EG"/>
        </w:rPr>
        <w:t xml:space="preserve">expression </w:t>
      </w:r>
      <w:r w:rsidR="00B10A73" w:rsidRPr="00E30642">
        <w:rPr>
          <w:rFonts w:asciiTheme="majorBidi" w:eastAsia="Calibri" w:hAnsiTheme="majorBidi" w:cstheme="majorBidi"/>
          <w:sz w:val="24"/>
          <w:szCs w:val="24"/>
          <w:lang w:bidi="ar-EG"/>
        </w:rPr>
        <w:t>as a diagnostic and prognostic marker</w:t>
      </w:r>
      <w:r w:rsidR="00AC28F8" w:rsidRPr="00E30642">
        <w:rPr>
          <w:rFonts w:asciiTheme="majorBidi" w:eastAsia="Calibri" w:hAnsiTheme="majorBidi" w:cstheme="majorBidi"/>
          <w:sz w:val="24"/>
          <w:szCs w:val="24"/>
          <w:lang w:bidi="ar-EG"/>
        </w:rPr>
        <w:t xml:space="preserve"> </w:t>
      </w:r>
      <w:r w:rsidR="00B10A73" w:rsidRPr="00E30642">
        <w:rPr>
          <w:rFonts w:asciiTheme="majorBidi" w:eastAsia="Calibri" w:hAnsiTheme="majorBidi" w:cstheme="majorBidi"/>
          <w:sz w:val="24"/>
          <w:szCs w:val="24"/>
          <w:lang w:bidi="ar-EG"/>
        </w:rPr>
        <w:t xml:space="preserve">of B- CLL among Egyptian patients with chronic hepatitis C </w:t>
      </w:r>
      <w:r w:rsidRPr="00E30642">
        <w:rPr>
          <w:rFonts w:asciiTheme="majorBidi" w:eastAsia="Calibri" w:hAnsiTheme="majorBidi" w:cstheme="majorBidi"/>
          <w:sz w:val="24"/>
          <w:szCs w:val="24"/>
          <w:lang w:bidi="ar-EG"/>
        </w:rPr>
        <w:t xml:space="preserve">and </w:t>
      </w:r>
      <w:r w:rsidR="00D77A06" w:rsidRPr="00E30642">
        <w:rPr>
          <w:rFonts w:asciiTheme="majorBidi" w:eastAsia="Calibri" w:hAnsiTheme="majorBidi" w:cstheme="majorBidi"/>
          <w:sz w:val="24"/>
          <w:szCs w:val="24"/>
          <w:lang w:bidi="ar-EG"/>
        </w:rPr>
        <w:t>its</w:t>
      </w:r>
      <w:r w:rsidRPr="00E30642">
        <w:rPr>
          <w:rFonts w:asciiTheme="majorBidi" w:eastAsia="Calibri" w:hAnsiTheme="majorBidi" w:cstheme="majorBidi"/>
          <w:sz w:val="24"/>
          <w:szCs w:val="24"/>
          <w:lang w:bidi="ar-EG"/>
        </w:rPr>
        <w:t xml:space="preserve"> impact on risk stratification and response to therapy.</w:t>
      </w:r>
    </w:p>
    <w:p w14:paraId="12AEF2CB" w14:textId="62F19205" w:rsidR="006436F0" w:rsidRPr="00E30642" w:rsidRDefault="00871AC8" w:rsidP="00E30642">
      <w:pPr>
        <w:spacing w:after="200" w:line="360" w:lineRule="auto"/>
        <w:rPr>
          <w:rFonts w:asciiTheme="majorBidi" w:eastAsia="Calibri" w:hAnsiTheme="majorBidi" w:cstheme="majorBidi"/>
          <w:sz w:val="24"/>
          <w:szCs w:val="24"/>
          <w:lang w:bidi="ar-EG"/>
        </w:rPr>
      </w:pPr>
      <w:r w:rsidRPr="0071089E">
        <w:rPr>
          <w:rFonts w:asciiTheme="majorBidi" w:eastAsia="Calibri" w:hAnsiTheme="majorBidi" w:cstheme="majorBidi"/>
          <w:b/>
          <w:bCs/>
          <w:sz w:val="24"/>
          <w:szCs w:val="24"/>
          <w:lang w:bidi="ar-EG"/>
        </w:rPr>
        <w:t>Patients &amp; Methods</w:t>
      </w:r>
      <w:r w:rsidRPr="00E30642">
        <w:rPr>
          <w:rFonts w:asciiTheme="majorBidi" w:eastAsia="Calibri" w:hAnsiTheme="majorBidi" w:cstheme="majorBidi"/>
          <w:sz w:val="24"/>
          <w:szCs w:val="24"/>
          <w:lang w:bidi="ar-EG"/>
        </w:rPr>
        <w:t xml:space="preserve">: This study was conducted on </w:t>
      </w:r>
      <w:r w:rsidR="00B10A73" w:rsidRPr="00E30642">
        <w:rPr>
          <w:rFonts w:asciiTheme="majorBidi" w:eastAsia="Calibri" w:hAnsiTheme="majorBidi" w:cstheme="majorBidi"/>
          <w:sz w:val="24"/>
          <w:szCs w:val="24"/>
          <w:lang w:bidi="ar-EG"/>
        </w:rPr>
        <w:t>25</w:t>
      </w:r>
      <w:r w:rsidRPr="00E30642">
        <w:rPr>
          <w:rFonts w:asciiTheme="majorBidi" w:eastAsia="Calibri" w:hAnsiTheme="majorBidi" w:cstheme="majorBidi"/>
          <w:sz w:val="24"/>
          <w:szCs w:val="24"/>
          <w:lang w:bidi="ar-EG"/>
        </w:rPr>
        <w:t xml:space="preserve"> </w:t>
      </w:r>
      <w:r w:rsidR="00B85C54" w:rsidRPr="00E30642">
        <w:rPr>
          <w:rFonts w:asciiTheme="majorBidi" w:eastAsia="Calibri" w:hAnsiTheme="majorBidi" w:cstheme="majorBidi"/>
          <w:sz w:val="24"/>
          <w:szCs w:val="24"/>
          <w:lang w:bidi="ar-EG"/>
        </w:rPr>
        <w:t xml:space="preserve">patients with chronic hepatitis C </w:t>
      </w:r>
      <w:r w:rsidRPr="00E30642">
        <w:rPr>
          <w:rFonts w:asciiTheme="majorBidi" w:eastAsia="Calibri" w:hAnsiTheme="majorBidi" w:cstheme="majorBidi"/>
          <w:sz w:val="24"/>
          <w:szCs w:val="24"/>
          <w:lang w:bidi="ar-EG"/>
        </w:rPr>
        <w:t xml:space="preserve">recently diagnosed as </w:t>
      </w:r>
      <w:r w:rsidR="00B85C54" w:rsidRPr="00E30642">
        <w:rPr>
          <w:rFonts w:asciiTheme="majorBidi" w:eastAsia="Calibri" w:hAnsiTheme="majorBidi" w:cstheme="majorBidi"/>
          <w:sz w:val="24"/>
          <w:szCs w:val="24"/>
          <w:lang w:bidi="ar-EG"/>
        </w:rPr>
        <w:t xml:space="preserve">CLL and 25 healthy control </w:t>
      </w:r>
      <w:r w:rsidRPr="00E30642">
        <w:rPr>
          <w:rFonts w:asciiTheme="majorBidi" w:eastAsia="Calibri" w:hAnsiTheme="majorBidi" w:cstheme="majorBidi"/>
          <w:sz w:val="24"/>
          <w:szCs w:val="24"/>
          <w:lang w:bidi="ar-EG"/>
        </w:rPr>
        <w:t xml:space="preserve">All studied patients were subjected to </w:t>
      </w:r>
      <w:r w:rsidR="0047518F">
        <w:rPr>
          <w:rFonts w:asciiTheme="majorBidi" w:eastAsia="Calibri" w:hAnsiTheme="majorBidi" w:cstheme="majorBidi"/>
          <w:sz w:val="24"/>
          <w:szCs w:val="24"/>
          <w:lang w:bidi="ar-EG"/>
        </w:rPr>
        <w:t>entire</w:t>
      </w:r>
      <w:r w:rsidRPr="00E30642">
        <w:rPr>
          <w:rFonts w:asciiTheme="majorBidi" w:eastAsia="Calibri" w:hAnsiTheme="majorBidi" w:cstheme="majorBidi"/>
          <w:sz w:val="24"/>
          <w:szCs w:val="24"/>
          <w:lang w:bidi="ar-EG"/>
        </w:rPr>
        <w:t xml:space="preserve"> history</w:t>
      </w:r>
      <w:r w:rsidR="0047518F">
        <w:rPr>
          <w:rFonts w:asciiTheme="majorBidi" w:eastAsia="Calibri" w:hAnsiTheme="majorBidi" w:cstheme="majorBidi"/>
          <w:sz w:val="24"/>
          <w:szCs w:val="24"/>
          <w:lang w:bidi="ar-EG"/>
        </w:rPr>
        <w:t>,</w:t>
      </w:r>
      <w:r w:rsidRPr="00E30642">
        <w:rPr>
          <w:rFonts w:asciiTheme="majorBidi" w:eastAsia="Calibri" w:hAnsiTheme="majorBidi" w:cstheme="majorBidi"/>
          <w:sz w:val="24"/>
          <w:szCs w:val="24"/>
          <w:lang w:bidi="ar-EG"/>
        </w:rPr>
        <w:t xml:space="preserve"> taking </w:t>
      </w:r>
      <w:r w:rsidR="0047518F">
        <w:rPr>
          <w:rFonts w:asciiTheme="majorBidi" w:eastAsia="Calibri" w:hAnsiTheme="majorBidi" w:cstheme="majorBidi"/>
          <w:sz w:val="24"/>
          <w:szCs w:val="24"/>
          <w:lang w:bidi="ar-EG"/>
        </w:rPr>
        <w:t xml:space="preserve">the </w:t>
      </w:r>
      <w:r w:rsidRPr="00E30642">
        <w:rPr>
          <w:rFonts w:asciiTheme="majorBidi" w:eastAsia="Calibri" w:hAnsiTheme="majorBidi" w:cstheme="majorBidi"/>
          <w:sz w:val="24"/>
          <w:szCs w:val="24"/>
          <w:lang w:bidi="ar-EG"/>
        </w:rPr>
        <w:t xml:space="preserve">complete clinical examination, and laboratory investigations including </w:t>
      </w:r>
      <w:r w:rsidR="00B85C54" w:rsidRPr="00E30642">
        <w:rPr>
          <w:rFonts w:asciiTheme="majorBidi" w:eastAsia="Calibri" w:hAnsiTheme="majorBidi" w:cstheme="majorBidi"/>
          <w:sz w:val="24"/>
          <w:szCs w:val="24"/>
          <w:lang w:bidi="ar-EG"/>
        </w:rPr>
        <w:t xml:space="preserve">serum LDH, serum </w:t>
      </w:r>
      <w:bookmarkStart w:id="2" w:name="_Hlk127737729"/>
      <w:r w:rsidR="00B85C54" w:rsidRPr="00E30642">
        <w:rPr>
          <w:rFonts w:asciiTheme="majorBidi" w:eastAsia="Calibri" w:hAnsiTheme="majorBidi" w:cstheme="majorBidi"/>
          <w:sz w:val="24"/>
          <w:szCs w:val="24"/>
          <w:lang w:bidi="ar-EG"/>
        </w:rPr>
        <w:t xml:space="preserve">β2 </w:t>
      </w:r>
      <w:proofErr w:type="spellStart"/>
      <w:r w:rsidR="00B85C54" w:rsidRPr="00E30642">
        <w:rPr>
          <w:rFonts w:asciiTheme="majorBidi" w:eastAsia="Calibri" w:hAnsiTheme="majorBidi" w:cstheme="majorBidi"/>
          <w:sz w:val="24"/>
          <w:szCs w:val="24"/>
          <w:lang w:bidi="ar-EG"/>
        </w:rPr>
        <w:t>microglobulin</w:t>
      </w:r>
      <w:proofErr w:type="spellEnd"/>
      <w:r w:rsidR="00B85C54" w:rsidRPr="00E30642">
        <w:rPr>
          <w:rFonts w:asciiTheme="majorBidi" w:eastAsia="Calibri" w:hAnsiTheme="majorBidi" w:cstheme="majorBidi"/>
          <w:sz w:val="24"/>
          <w:szCs w:val="24"/>
          <w:lang w:bidi="ar-EG"/>
        </w:rPr>
        <w:t xml:space="preserve"> (β2M</w:t>
      </w:r>
      <w:bookmarkEnd w:id="2"/>
      <w:r w:rsidR="00B85C54" w:rsidRPr="00E30642">
        <w:rPr>
          <w:rFonts w:asciiTheme="majorBidi" w:eastAsia="Calibri" w:hAnsiTheme="majorBidi" w:cstheme="majorBidi"/>
          <w:sz w:val="24"/>
          <w:szCs w:val="24"/>
          <w:lang w:bidi="ar-EG"/>
        </w:rPr>
        <w:t xml:space="preserve">), </w:t>
      </w:r>
      <w:bookmarkStart w:id="3" w:name="_Hlk127737738"/>
      <w:r w:rsidR="00B85C54" w:rsidRPr="00E30642">
        <w:rPr>
          <w:rFonts w:asciiTheme="majorBidi" w:eastAsia="Calibri" w:hAnsiTheme="majorBidi" w:cstheme="majorBidi"/>
          <w:sz w:val="24"/>
          <w:szCs w:val="24"/>
          <w:lang w:bidi="ar-EG"/>
        </w:rPr>
        <w:t xml:space="preserve">CD38 and ZAP70 expression </w:t>
      </w:r>
      <w:bookmarkEnd w:id="3"/>
      <w:r w:rsidR="00B85C54" w:rsidRPr="00E30642">
        <w:rPr>
          <w:rFonts w:asciiTheme="majorBidi" w:eastAsia="Calibri" w:hAnsiTheme="majorBidi" w:cstheme="majorBidi"/>
          <w:sz w:val="24"/>
          <w:szCs w:val="24"/>
          <w:lang w:bidi="ar-EG"/>
        </w:rPr>
        <w:t xml:space="preserve">by flow cytometry. </w:t>
      </w:r>
      <w:r w:rsidR="0047518F">
        <w:rPr>
          <w:rFonts w:asciiTheme="majorBidi" w:eastAsia="Calibri" w:hAnsiTheme="majorBidi" w:cstheme="majorBidi"/>
          <w:sz w:val="24"/>
          <w:szCs w:val="24"/>
          <w:lang w:bidi="ar-EG"/>
        </w:rPr>
        <w:t>We</w:t>
      </w:r>
      <w:r w:rsidR="00B85C54" w:rsidRPr="00E30642">
        <w:rPr>
          <w:rFonts w:asciiTheme="majorBidi" w:eastAsia="Calibri" w:hAnsiTheme="majorBidi" w:cstheme="majorBidi"/>
          <w:sz w:val="24"/>
          <w:szCs w:val="24"/>
          <w:lang w:bidi="ar-EG"/>
        </w:rPr>
        <w:t xml:space="preserve"> measured miR-150-5 p expression</w:t>
      </w:r>
      <w:r w:rsidR="00455405" w:rsidRPr="00E30642">
        <w:rPr>
          <w:rFonts w:asciiTheme="majorBidi" w:eastAsia="Calibri" w:hAnsiTheme="majorBidi" w:cstheme="majorBidi"/>
          <w:sz w:val="24"/>
          <w:szCs w:val="24"/>
          <w:lang w:bidi="ar-EG"/>
        </w:rPr>
        <w:t xml:space="preserve"> by </w:t>
      </w:r>
      <w:bookmarkStart w:id="4" w:name="_Hlk127737755"/>
      <w:proofErr w:type="spellStart"/>
      <w:r w:rsidR="00B85C54" w:rsidRPr="00E30642">
        <w:rPr>
          <w:rFonts w:asciiTheme="majorBidi" w:eastAsia="Calibri" w:hAnsiTheme="majorBidi" w:cstheme="majorBidi"/>
          <w:sz w:val="24"/>
          <w:szCs w:val="24"/>
          <w:lang w:bidi="ar-EG"/>
        </w:rPr>
        <w:t>qRT</w:t>
      </w:r>
      <w:proofErr w:type="spellEnd"/>
      <w:r w:rsidR="00B85C54" w:rsidRPr="00E30642">
        <w:rPr>
          <w:rFonts w:asciiTheme="majorBidi" w:eastAsia="Calibri" w:hAnsiTheme="majorBidi" w:cstheme="majorBidi"/>
          <w:sz w:val="24"/>
          <w:szCs w:val="24"/>
          <w:lang w:bidi="ar-EG"/>
        </w:rPr>
        <w:t>-</w:t>
      </w:r>
      <w:r w:rsidR="00CF6678" w:rsidRPr="00E30642">
        <w:rPr>
          <w:rFonts w:asciiTheme="majorBidi" w:eastAsia="Calibri" w:hAnsiTheme="majorBidi" w:cstheme="majorBidi"/>
          <w:sz w:val="24"/>
          <w:szCs w:val="24"/>
          <w:lang w:bidi="ar-EG"/>
        </w:rPr>
        <w:t>PCR.</w:t>
      </w:r>
      <w:bookmarkEnd w:id="4"/>
    </w:p>
    <w:p w14:paraId="141E8EF9" w14:textId="7C8A0338" w:rsidR="0047072B" w:rsidRPr="00E30642" w:rsidRDefault="00871AC8" w:rsidP="00E30642">
      <w:pPr>
        <w:spacing w:after="200" w:line="360" w:lineRule="auto"/>
        <w:jc w:val="both"/>
        <w:rPr>
          <w:rFonts w:asciiTheme="majorBidi" w:hAnsiTheme="majorBidi" w:cstheme="majorBidi"/>
          <w:color w:val="000000"/>
          <w:sz w:val="24"/>
          <w:szCs w:val="24"/>
        </w:rPr>
      </w:pPr>
      <w:r w:rsidRPr="00E30642">
        <w:rPr>
          <w:rFonts w:asciiTheme="majorBidi" w:eastAsia="Calibri" w:hAnsiTheme="majorBidi" w:cstheme="majorBidi"/>
          <w:b/>
          <w:bCs/>
          <w:sz w:val="24"/>
          <w:szCs w:val="24"/>
          <w:lang w:bidi="ar-EG"/>
        </w:rPr>
        <w:t>Results:</w:t>
      </w:r>
      <w:r w:rsidRPr="00E30642">
        <w:rPr>
          <w:rFonts w:asciiTheme="majorBidi" w:eastAsia="Calibri" w:hAnsiTheme="majorBidi" w:cstheme="majorBidi"/>
          <w:sz w:val="24"/>
          <w:szCs w:val="24"/>
          <w:lang w:bidi="ar-EG"/>
        </w:rPr>
        <w:t xml:space="preserve"> </w:t>
      </w:r>
      <w:bookmarkStart w:id="5" w:name="_Hlk125502809"/>
      <w:r w:rsidR="00455405" w:rsidRPr="00E30642">
        <w:rPr>
          <w:rFonts w:asciiTheme="majorBidi" w:eastAsia="Calibri" w:hAnsiTheme="majorBidi" w:cstheme="majorBidi"/>
          <w:sz w:val="24"/>
          <w:szCs w:val="24"/>
          <w:lang w:bidi="ar-EG"/>
        </w:rPr>
        <w:t xml:space="preserve">The results of this analysis indicated that </w:t>
      </w:r>
      <w:r w:rsidR="00AC28F8" w:rsidRPr="00E30642">
        <w:rPr>
          <w:rFonts w:asciiTheme="majorBidi" w:hAnsiTheme="majorBidi" w:cstheme="majorBidi"/>
          <w:color w:val="000000"/>
          <w:sz w:val="24"/>
          <w:szCs w:val="24"/>
        </w:rPr>
        <w:t>CLL patients</w:t>
      </w:r>
      <w:r w:rsidR="005D7A06" w:rsidRPr="00E30642">
        <w:rPr>
          <w:rFonts w:asciiTheme="majorBidi" w:hAnsiTheme="majorBidi" w:cstheme="majorBidi"/>
          <w:color w:val="000000"/>
          <w:sz w:val="24"/>
          <w:szCs w:val="24"/>
        </w:rPr>
        <w:t xml:space="preserve"> had a significantly lower level of miR-150-5 p expression (0.464±0.16) compared to the control </w:t>
      </w:r>
      <w:r w:rsidR="00CF6678" w:rsidRPr="00E30642">
        <w:rPr>
          <w:rFonts w:asciiTheme="majorBidi" w:hAnsiTheme="majorBidi" w:cstheme="majorBidi"/>
          <w:color w:val="000000"/>
          <w:sz w:val="24"/>
          <w:szCs w:val="24"/>
        </w:rPr>
        <w:t>group (</w:t>
      </w:r>
      <w:r w:rsidR="005D7A06" w:rsidRPr="00E30642">
        <w:rPr>
          <w:rFonts w:asciiTheme="majorBidi" w:hAnsiTheme="majorBidi" w:cstheme="majorBidi"/>
          <w:color w:val="000000"/>
          <w:sz w:val="24"/>
          <w:szCs w:val="24"/>
        </w:rPr>
        <w:t xml:space="preserve">0.8±0.76), P ˂0.001* </w:t>
      </w:r>
      <w:r w:rsidR="008A15F6" w:rsidRPr="00E30642">
        <w:rPr>
          <w:rFonts w:asciiTheme="majorBidi" w:hAnsiTheme="majorBidi" w:cstheme="majorBidi"/>
          <w:color w:val="000000"/>
          <w:sz w:val="24"/>
          <w:szCs w:val="24"/>
        </w:rPr>
        <w:t xml:space="preserve">Additionally, the expression levels of miR-150-5 p were significantly </w:t>
      </w:r>
      <w:r w:rsidR="00CF6678" w:rsidRPr="00E30642">
        <w:rPr>
          <w:rFonts w:asciiTheme="majorBidi" w:hAnsiTheme="majorBidi" w:cstheme="majorBidi"/>
          <w:color w:val="000000"/>
          <w:sz w:val="24"/>
          <w:szCs w:val="24"/>
        </w:rPr>
        <w:t xml:space="preserve">inversely correlated </w:t>
      </w:r>
      <w:r w:rsidR="008A15F6" w:rsidRPr="00E30642">
        <w:rPr>
          <w:rFonts w:asciiTheme="majorBidi" w:hAnsiTheme="majorBidi" w:cstheme="majorBidi"/>
          <w:color w:val="000000"/>
          <w:sz w:val="24"/>
          <w:szCs w:val="24"/>
        </w:rPr>
        <w:t>with laboratory and clinicopathological features of CLL</w:t>
      </w:r>
      <w:r w:rsidR="00CF6678" w:rsidRPr="00E30642">
        <w:rPr>
          <w:rFonts w:asciiTheme="majorBidi" w:hAnsiTheme="majorBidi" w:cstheme="majorBidi"/>
          <w:color w:val="000000"/>
          <w:sz w:val="24"/>
          <w:szCs w:val="24"/>
        </w:rPr>
        <w:t xml:space="preserve"> as well as the severity of CLL according to Modified Rai staging system and Binet staging system</w:t>
      </w:r>
      <w:r w:rsidR="008A15F6" w:rsidRPr="00E30642">
        <w:rPr>
          <w:rFonts w:asciiTheme="majorBidi" w:hAnsiTheme="majorBidi" w:cstheme="majorBidi"/>
          <w:color w:val="000000"/>
          <w:sz w:val="24"/>
          <w:szCs w:val="24"/>
        </w:rPr>
        <w:t xml:space="preserve">. Interestingly, concerning the treatment of CLL, there were significantly </w:t>
      </w:r>
      <w:r w:rsidR="0036564F" w:rsidRPr="00E30642">
        <w:rPr>
          <w:rFonts w:asciiTheme="majorBidi" w:hAnsiTheme="majorBidi" w:cstheme="majorBidi"/>
          <w:color w:val="000000"/>
          <w:sz w:val="24"/>
          <w:szCs w:val="24"/>
        </w:rPr>
        <w:t>lower</w:t>
      </w:r>
      <w:r w:rsidR="008A15F6" w:rsidRPr="00E30642">
        <w:rPr>
          <w:rFonts w:asciiTheme="majorBidi" w:hAnsiTheme="majorBidi" w:cstheme="majorBidi"/>
          <w:color w:val="000000"/>
          <w:sz w:val="24"/>
          <w:szCs w:val="24"/>
        </w:rPr>
        <w:t xml:space="preserve"> levels of miR-150-5 p in no treatment subgroup (n=</w:t>
      </w:r>
      <w:r w:rsidR="001353FC" w:rsidRPr="00E30642">
        <w:rPr>
          <w:rFonts w:asciiTheme="majorBidi" w:hAnsiTheme="majorBidi" w:cstheme="majorBidi"/>
          <w:color w:val="000000"/>
          <w:sz w:val="24"/>
          <w:szCs w:val="24"/>
        </w:rPr>
        <w:t>18</w:t>
      </w:r>
      <w:r w:rsidR="008A15F6" w:rsidRPr="00E30642">
        <w:rPr>
          <w:rFonts w:asciiTheme="majorBidi" w:hAnsiTheme="majorBidi" w:cstheme="majorBidi"/>
          <w:color w:val="000000"/>
          <w:sz w:val="24"/>
          <w:szCs w:val="24"/>
        </w:rPr>
        <w:t>,</w:t>
      </w:r>
      <w:r w:rsidR="008A15F6" w:rsidRPr="00E30642">
        <w:rPr>
          <w:rFonts w:asciiTheme="majorBidi" w:hAnsiTheme="majorBidi" w:cstheme="majorBidi"/>
          <w:sz w:val="24"/>
          <w:szCs w:val="24"/>
        </w:rPr>
        <w:t xml:space="preserve"> </w:t>
      </w:r>
      <w:r w:rsidR="00CF6678" w:rsidRPr="00E30642">
        <w:rPr>
          <w:rFonts w:asciiTheme="majorBidi" w:hAnsiTheme="majorBidi" w:cstheme="majorBidi"/>
          <w:color w:val="000000"/>
          <w:sz w:val="24"/>
          <w:szCs w:val="24"/>
        </w:rPr>
        <w:t>0.49±0.13</w:t>
      </w:r>
      <w:r w:rsidR="008A15F6" w:rsidRPr="00E30642">
        <w:rPr>
          <w:rFonts w:asciiTheme="majorBidi" w:hAnsiTheme="majorBidi" w:cstheme="majorBidi"/>
          <w:color w:val="000000"/>
          <w:sz w:val="24"/>
          <w:szCs w:val="24"/>
        </w:rPr>
        <w:t xml:space="preserve">) compared to successfully treated subgroups </w:t>
      </w:r>
      <w:bookmarkEnd w:id="5"/>
      <w:r w:rsidR="008A15F6" w:rsidRPr="00E30642">
        <w:rPr>
          <w:rFonts w:asciiTheme="majorBidi" w:hAnsiTheme="majorBidi" w:cstheme="majorBidi"/>
          <w:color w:val="000000"/>
          <w:sz w:val="24"/>
          <w:szCs w:val="24"/>
        </w:rPr>
        <w:t>(</w:t>
      </w:r>
      <w:bookmarkStart w:id="6" w:name="_Hlk124469915"/>
      <w:r w:rsidR="008A15F6" w:rsidRPr="00E30642">
        <w:rPr>
          <w:rFonts w:asciiTheme="majorBidi" w:hAnsiTheme="majorBidi" w:cstheme="majorBidi"/>
          <w:color w:val="000000"/>
          <w:sz w:val="24"/>
          <w:szCs w:val="24"/>
        </w:rPr>
        <w:t>n=7</w:t>
      </w:r>
      <w:r w:rsidR="00503B7D" w:rsidRPr="00E30642">
        <w:rPr>
          <w:rFonts w:asciiTheme="majorBidi" w:hAnsiTheme="majorBidi" w:cstheme="majorBidi"/>
          <w:color w:val="000000"/>
          <w:sz w:val="24"/>
          <w:szCs w:val="24"/>
        </w:rPr>
        <w:t>,</w:t>
      </w:r>
      <w:r w:rsidR="00CF6678" w:rsidRPr="00E30642">
        <w:rPr>
          <w:rFonts w:asciiTheme="majorBidi" w:hAnsiTheme="majorBidi" w:cstheme="majorBidi"/>
          <w:sz w:val="24"/>
          <w:szCs w:val="24"/>
        </w:rPr>
        <w:t xml:space="preserve"> </w:t>
      </w:r>
      <w:r w:rsidR="00CF6678" w:rsidRPr="00E30642">
        <w:rPr>
          <w:rFonts w:asciiTheme="majorBidi" w:hAnsiTheme="majorBidi" w:cstheme="majorBidi"/>
          <w:color w:val="000000"/>
          <w:sz w:val="24"/>
          <w:szCs w:val="24"/>
        </w:rPr>
        <w:t>0.77±0.07</w:t>
      </w:r>
      <w:r w:rsidR="008A15F6" w:rsidRPr="00E30642">
        <w:rPr>
          <w:rFonts w:asciiTheme="majorBidi" w:hAnsiTheme="majorBidi" w:cstheme="majorBidi"/>
          <w:color w:val="000000"/>
          <w:sz w:val="24"/>
          <w:szCs w:val="24"/>
        </w:rPr>
        <w:t>)</w:t>
      </w:r>
      <w:bookmarkEnd w:id="6"/>
      <w:r w:rsidR="001353FC" w:rsidRPr="00E30642">
        <w:rPr>
          <w:rFonts w:asciiTheme="majorBidi" w:hAnsiTheme="majorBidi" w:cstheme="majorBidi"/>
          <w:color w:val="000000"/>
          <w:sz w:val="24"/>
          <w:szCs w:val="24"/>
        </w:rPr>
        <w:t>,</w:t>
      </w:r>
      <w:r w:rsidR="008A15F6" w:rsidRPr="00E30642">
        <w:rPr>
          <w:rFonts w:asciiTheme="majorBidi" w:hAnsiTheme="majorBidi" w:cstheme="majorBidi"/>
          <w:color w:val="000000"/>
          <w:sz w:val="24"/>
          <w:szCs w:val="24"/>
        </w:rPr>
        <w:t xml:space="preserve"> </w:t>
      </w:r>
      <w:bookmarkStart w:id="7" w:name="_Hlk125407777"/>
      <w:r w:rsidR="008A15F6" w:rsidRPr="00E30642">
        <w:rPr>
          <w:rFonts w:asciiTheme="majorBidi" w:hAnsiTheme="majorBidi" w:cstheme="majorBidi"/>
          <w:color w:val="000000"/>
          <w:sz w:val="24"/>
          <w:szCs w:val="24"/>
        </w:rPr>
        <w:t>P</w:t>
      </w:r>
      <w:r w:rsidR="008A15F6" w:rsidRPr="00E30642">
        <w:rPr>
          <w:rFonts w:asciiTheme="majorBidi" w:hAnsiTheme="majorBidi" w:cstheme="majorBidi"/>
          <w:sz w:val="24"/>
          <w:szCs w:val="24"/>
        </w:rPr>
        <w:t xml:space="preserve"> </w:t>
      </w:r>
      <w:r w:rsidR="008A15F6" w:rsidRPr="00E30642">
        <w:rPr>
          <w:rFonts w:asciiTheme="majorBidi" w:hAnsiTheme="majorBidi" w:cstheme="majorBidi"/>
          <w:color w:val="000000"/>
          <w:sz w:val="24"/>
          <w:szCs w:val="24"/>
        </w:rPr>
        <w:t>˂0.001*</w:t>
      </w:r>
      <w:bookmarkEnd w:id="7"/>
    </w:p>
    <w:p w14:paraId="2193EF81" w14:textId="0C95F5C9" w:rsidR="00A959B2" w:rsidRPr="00E30642" w:rsidRDefault="00871AC8" w:rsidP="00E30642">
      <w:pPr>
        <w:autoSpaceDE w:val="0"/>
        <w:autoSpaceDN w:val="0"/>
        <w:adjustRightInd w:val="0"/>
        <w:spacing w:after="0" w:line="360" w:lineRule="auto"/>
        <w:jc w:val="both"/>
        <w:rPr>
          <w:rFonts w:asciiTheme="majorBidi" w:hAnsiTheme="majorBidi" w:cstheme="majorBidi"/>
          <w:sz w:val="24"/>
          <w:szCs w:val="24"/>
        </w:rPr>
      </w:pPr>
      <w:r w:rsidRPr="00E30642">
        <w:rPr>
          <w:rFonts w:asciiTheme="majorBidi" w:hAnsiTheme="majorBidi" w:cstheme="majorBidi"/>
          <w:b/>
          <w:bCs/>
          <w:color w:val="000000"/>
          <w:sz w:val="24"/>
          <w:szCs w:val="24"/>
        </w:rPr>
        <w:t>Conclusions</w:t>
      </w:r>
      <w:r w:rsidRPr="00E30642">
        <w:rPr>
          <w:rFonts w:asciiTheme="majorBidi" w:hAnsiTheme="majorBidi" w:cstheme="majorBidi"/>
          <w:color w:val="000000"/>
          <w:sz w:val="24"/>
          <w:szCs w:val="24"/>
        </w:rPr>
        <w:t xml:space="preserve">: </w:t>
      </w:r>
      <w:r w:rsidRPr="00E30642">
        <w:rPr>
          <w:rFonts w:asciiTheme="majorBidi" w:hAnsiTheme="majorBidi" w:cstheme="majorBidi"/>
          <w:sz w:val="24"/>
          <w:szCs w:val="24"/>
        </w:rPr>
        <w:t>miR-150-5 p expression level was downregulated in CLL patients, particularly patients with HCV infection</w:t>
      </w:r>
      <w:r w:rsidR="0047518F">
        <w:rPr>
          <w:rFonts w:asciiTheme="majorBidi" w:hAnsiTheme="majorBidi" w:cstheme="majorBidi"/>
          <w:sz w:val="24"/>
          <w:szCs w:val="24"/>
        </w:rPr>
        <w:t>,</w:t>
      </w:r>
      <w:r w:rsidRPr="00E30642">
        <w:rPr>
          <w:rFonts w:asciiTheme="majorBidi" w:hAnsiTheme="majorBidi" w:cstheme="majorBidi"/>
          <w:sz w:val="24"/>
          <w:szCs w:val="24"/>
        </w:rPr>
        <w:t xml:space="preserve"> and significantly inversely correlated with the severity of </w:t>
      </w:r>
      <w:r w:rsidR="007E09F8" w:rsidRPr="00E30642">
        <w:rPr>
          <w:rFonts w:asciiTheme="majorBidi" w:hAnsiTheme="majorBidi" w:cstheme="majorBidi"/>
          <w:sz w:val="24"/>
          <w:szCs w:val="24"/>
        </w:rPr>
        <w:t xml:space="preserve">CLL. </w:t>
      </w:r>
      <w:r w:rsidR="0087184D" w:rsidRPr="00E30642">
        <w:rPr>
          <w:rFonts w:asciiTheme="majorBidi" w:hAnsiTheme="majorBidi" w:cstheme="majorBidi"/>
          <w:sz w:val="24"/>
          <w:szCs w:val="24"/>
        </w:rPr>
        <w:t>Thus,</w:t>
      </w:r>
      <w:r w:rsidRPr="00E30642">
        <w:rPr>
          <w:rFonts w:asciiTheme="majorBidi" w:hAnsiTheme="majorBidi" w:cstheme="majorBidi"/>
          <w:sz w:val="24"/>
          <w:szCs w:val="24"/>
        </w:rPr>
        <w:t xml:space="preserve"> </w:t>
      </w:r>
      <w:r w:rsidR="0087184D" w:rsidRPr="00E30642">
        <w:rPr>
          <w:rFonts w:asciiTheme="majorBidi" w:hAnsiTheme="majorBidi" w:cstheme="majorBidi"/>
          <w:sz w:val="24"/>
          <w:szCs w:val="24"/>
        </w:rPr>
        <w:t>it could</w:t>
      </w:r>
      <w:r w:rsidRPr="00E30642">
        <w:rPr>
          <w:rFonts w:asciiTheme="majorBidi" w:hAnsiTheme="majorBidi" w:cstheme="majorBidi"/>
          <w:sz w:val="24"/>
          <w:szCs w:val="24"/>
        </w:rPr>
        <w:t xml:space="preserve"> be </w:t>
      </w:r>
      <w:r w:rsidR="0047518F">
        <w:rPr>
          <w:rFonts w:asciiTheme="majorBidi" w:hAnsiTheme="majorBidi" w:cstheme="majorBidi"/>
          <w:sz w:val="24"/>
          <w:szCs w:val="24"/>
        </w:rPr>
        <w:t>helpful</w:t>
      </w:r>
      <w:r w:rsidRPr="00E30642">
        <w:rPr>
          <w:rFonts w:asciiTheme="majorBidi" w:hAnsiTheme="majorBidi" w:cstheme="majorBidi"/>
          <w:sz w:val="24"/>
          <w:szCs w:val="24"/>
        </w:rPr>
        <w:t xml:space="preserve"> for diagnostic </w:t>
      </w:r>
      <w:r w:rsidR="0047518F">
        <w:rPr>
          <w:rFonts w:asciiTheme="majorBidi" w:hAnsiTheme="majorBidi" w:cstheme="majorBidi"/>
          <w:sz w:val="24"/>
          <w:szCs w:val="24"/>
        </w:rPr>
        <w:t>and</w:t>
      </w:r>
      <w:r w:rsidRPr="00E30642">
        <w:rPr>
          <w:rFonts w:asciiTheme="majorBidi" w:hAnsiTheme="majorBidi" w:cstheme="majorBidi"/>
          <w:sz w:val="24"/>
          <w:szCs w:val="24"/>
        </w:rPr>
        <w:t xml:space="preserve"> prognostic purposes in CLL.</w:t>
      </w:r>
    </w:p>
    <w:p w14:paraId="420124D6" w14:textId="69F91D05" w:rsidR="003A2C9F" w:rsidRPr="004149D2" w:rsidRDefault="00871AC8" w:rsidP="005E5589">
      <w:pPr>
        <w:autoSpaceDE w:val="0"/>
        <w:autoSpaceDN w:val="0"/>
        <w:adjustRightInd w:val="0"/>
        <w:spacing w:after="0" w:line="360" w:lineRule="auto"/>
        <w:jc w:val="both"/>
        <w:rPr>
          <w:rFonts w:asciiTheme="majorBidi" w:hAnsiTheme="majorBidi" w:cstheme="majorBidi"/>
          <w:sz w:val="24"/>
          <w:szCs w:val="24"/>
        </w:rPr>
      </w:pPr>
      <w:r w:rsidRPr="004149D2">
        <w:rPr>
          <w:rFonts w:asciiTheme="majorBidi" w:eastAsia="Calibri" w:hAnsiTheme="majorBidi" w:cstheme="majorBidi"/>
          <w:b/>
          <w:bCs/>
          <w:i/>
          <w:iCs/>
          <w:sz w:val="24"/>
          <w:szCs w:val="24"/>
          <w:lang w:bidi="ar-EG"/>
        </w:rPr>
        <w:t>Keywords</w:t>
      </w:r>
      <w:r w:rsidR="008A15F6" w:rsidRPr="004149D2">
        <w:rPr>
          <w:rFonts w:asciiTheme="majorBidi" w:eastAsia="Calibri" w:hAnsiTheme="majorBidi" w:cstheme="majorBidi"/>
          <w:b/>
          <w:bCs/>
          <w:i/>
          <w:iCs/>
          <w:sz w:val="24"/>
          <w:szCs w:val="24"/>
          <w:lang w:bidi="ar-EG"/>
        </w:rPr>
        <w:t>:</w:t>
      </w:r>
      <w:r w:rsidR="005E5589" w:rsidRPr="005E5589">
        <w:t xml:space="preserve"> </w:t>
      </w:r>
      <w:r w:rsidR="005E5589" w:rsidRPr="004149D2">
        <w:rPr>
          <w:rFonts w:asciiTheme="majorBidi" w:hAnsiTheme="majorBidi" w:cstheme="majorBidi"/>
          <w:sz w:val="24"/>
          <w:szCs w:val="24"/>
        </w:rPr>
        <w:t>HCV; CLL</w:t>
      </w:r>
      <w:r w:rsidR="00352B96" w:rsidRPr="004149D2">
        <w:rPr>
          <w:rFonts w:asciiTheme="majorBidi" w:hAnsiTheme="majorBidi" w:cstheme="majorBidi"/>
          <w:sz w:val="24"/>
          <w:szCs w:val="24"/>
        </w:rPr>
        <w:t xml:space="preserve">; </w:t>
      </w:r>
      <w:r w:rsidR="004149D2" w:rsidRPr="004149D2">
        <w:rPr>
          <w:rFonts w:asciiTheme="majorBidi" w:hAnsiTheme="majorBidi" w:cstheme="majorBidi"/>
          <w:sz w:val="24"/>
          <w:szCs w:val="24"/>
        </w:rPr>
        <w:t xml:space="preserve">MicroRNAs; </w:t>
      </w:r>
      <w:r w:rsidR="000E091F" w:rsidRPr="004149D2">
        <w:rPr>
          <w:rFonts w:asciiTheme="majorBidi" w:hAnsiTheme="majorBidi" w:cstheme="majorBidi"/>
          <w:sz w:val="24"/>
          <w:szCs w:val="24"/>
        </w:rPr>
        <w:t>M</w:t>
      </w:r>
      <w:r w:rsidR="00352B96" w:rsidRPr="004149D2">
        <w:rPr>
          <w:rFonts w:asciiTheme="majorBidi" w:hAnsiTheme="majorBidi" w:cstheme="majorBidi"/>
          <w:sz w:val="24"/>
          <w:szCs w:val="24"/>
        </w:rPr>
        <w:t>iR</w:t>
      </w:r>
      <w:r w:rsidR="008A15F6" w:rsidRPr="004149D2">
        <w:rPr>
          <w:rFonts w:asciiTheme="majorBidi" w:hAnsiTheme="majorBidi" w:cstheme="majorBidi"/>
          <w:sz w:val="24"/>
          <w:szCs w:val="24"/>
        </w:rPr>
        <w:t>-150-5 p</w:t>
      </w:r>
      <w:r w:rsidR="005E5589" w:rsidRPr="004149D2">
        <w:rPr>
          <w:rFonts w:asciiTheme="majorBidi" w:hAnsiTheme="majorBidi" w:cstheme="majorBidi"/>
          <w:sz w:val="24"/>
          <w:szCs w:val="24"/>
        </w:rPr>
        <w:t>,</w:t>
      </w:r>
      <w:r w:rsidR="008A15F6" w:rsidRPr="004149D2">
        <w:rPr>
          <w:rFonts w:asciiTheme="majorBidi" w:hAnsiTheme="majorBidi" w:cstheme="majorBidi"/>
          <w:sz w:val="24"/>
          <w:szCs w:val="24"/>
        </w:rPr>
        <w:t xml:space="preserve"> </w:t>
      </w:r>
      <w:r w:rsidR="005E5589" w:rsidRPr="004149D2">
        <w:rPr>
          <w:rFonts w:asciiTheme="majorBidi" w:hAnsiTheme="majorBidi" w:cstheme="majorBidi"/>
          <w:sz w:val="24"/>
          <w:szCs w:val="24"/>
        </w:rPr>
        <w:t>E</w:t>
      </w:r>
      <w:r w:rsidR="008A15F6" w:rsidRPr="004149D2">
        <w:rPr>
          <w:rFonts w:asciiTheme="majorBidi" w:hAnsiTheme="majorBidi" w:cstheme="majorBidi"/>
          <w:sz w:val="24"/>
          <w:szCs w:val="24"/>
        </w:rPr>
        <w:t>xpression</w:t>
      </w:r>
      <w:r w:rsidRPr="004149D2">
        <w:rPr>
          <w:rFonts w:asciiTheme="majorBidi" w:hAnsiTheme="majorBidi" w:cstheme="majorBidi"/>
          <w:sz w:val="24"/>
          <w:szCs w:val="24"/>
        </w:rPr>
        <w:t>;</w:t>
      </w:r>
      <w:r w:rsidR="005E5589" w:rsidRPr="004149D2">
        <w:rPr>
          <w:rFonts w:asciiTheme="majorBidi" w:hAnsiTheme="majorBidi" w:cstheme="majorBidi"/>
          <w:sz w:val="24"/>
          <w:szCs w:val="24"/>
        </w:rPr>
        <w:t xml:space="preserve"> CD38; ZAP70; </w:t>
      </w:r>
      <w:proofErr w:type="spellStart"/>
      <w:r w:rsidR="005E5589" w:rsidRPr="004149D2">
        <w:rPr>
          <w:rFonts w:asciiTheme="majorBidi" w:hAnsiTheme="majorBidi" w:cstheme="majorBidi"/>
          <w:sz w:val="24"/>
          <w:szCs w:val="24"/>
        </w:rPr>
        <w:t>qRT</w:t>
      </w:r>
      <w:proofErr w:type="spellEnd"/>
      <w:r w:rsidR="005E5589" w:rsidRPr="004149D2">
        <w:rPr>
          <w:rFonts w:asciiTheme="majorBidi" w:hAnsiTheme="majorBidi" w:cstheme="majorBidi"/>
          <w:sz w:val="24"/>
          <w:szCs w:val="24"/>
        </w:rPr>
        <w:t>-PCR</w:t>
      </w:r>
      <w:r w:rsidR="003C1D5F" w:rsidRPr="004149D2">
        <w:rPr>
          <w:rFonts w:asciiTheme="majorBidi" w:hAnsiTheme="majorBidi" w:cstheme="majorBidi"/>
          <w:sz w:val="24"/>
          <w:szCs w:val="24"/>
        </w:rPr>
        <w:t xml:space="preserve">; </w:t>
      </w:r>
      <w:r w:rsidR="005E5589" w:rsidRPr="004149D2">
        <w:rPr>
          <w:rFonts w:asciiTheme="majorBidi" w:hAnsiTheme="majorBidi" w:cstheme="majorBidi"/>
          <w:sz w:val="24"/>
          <w:szCs w:val="24"/>
        </w:rPr>
        <w:t xml:space="preserve">β2 </w:t>
      </w:r>
      <w:proofErr w:type="spellStart"/>
      <w:r w:rsidR="000E091F" w:rsidRPr="004149D2">
        <w:rPr>
          <w:rFonts w:asciiTheme="majorBidi" w:hAnsiTheme="majorBidi" w:cstheme="majorBidi"/>
          <w:sz w:val="24"/>
          <w:szCs w:val="24"/>
        </w:rPr>
        <w:t>microglobulin</w:t>
      </w:r>
      <w:proofErr w:type="spellEnd"/>
      <w:r w:rsidR="000E091F" w:rsidRPr="004149D2">
        <w:rPr>
          <w:rFonts w:asciiTheme="majorBidi" w:hAnsiTheme="majorBidi" w:cstheme="majorBidi"/>
          <w:sz w:val="24"/>
          <w:szCs w:val="24"/>
        </w:rPr>
        <w:t>; Flow cytometry</w:t>
      </w:r>
      <w:r w:rsidR="004149D2">
        <w:rPr>
          <w:rFonts w:asciiTheme="majorBidi" w:hAnsiTheme="majorBidi" w:cstheme="majorBidi"/>
          <w:sz w:val="24"/>
          <w:szCs w:val="24"/>
        </w:rPr>
        <w:t>.</w:t>
      </w:r>
    </w:p>
    <w:p w14:paraId="4980B3C9" w14:textId="77777777" w:rsidR="0096577E" w:rsidRDefault="0096577E" w:rsidP="00E30642">
      <w:pPr>
        <w:spacing w:after="200" w:line="360" w:lineRule="auto"/>
        <w:jc w:val="both"/>
        <w:rPr>
          <w:rFonts w:asciiTheme="majorBidi" w:eastAsia="Calibri" w:hAnsiTheme="majorBidi" w:cstheme="majorBidi"/>
          <w:sz w:val="24"/>
          <w:szCs w:val="24"/>
          <w:lang w:bidi="ar-EG"/>
        </w:rPr>
        <w:sectPr w:rsidR="0096577E" w:rsidSect="006E18F5">
          <w:pgSz w:w="12240" w:h="15840"/>
          <w:pgMar w:top="1440" w:right="1800" w:bottom="1440" w:left="1800" w:header="720" w:footer="720" w:gutter="0"/>
          <w:pgNumType w:start="36"/>
          <w:cols w:space="720"/>
          <w:docGrid w:linePitch="360"/>
        </w:sectPr>
      </w:pPr>
    </w:p>
    <w:p w14:paraId="35B678FD" w14:textId="0ABCD1B6" w:rsidR="009A344B" w:rsidRPr="00E30642" w:rsidRDefault="00871AC8" w:rsidP="00E30642">
      <w:pPr>
        <w:spacing w:after="200" w:line="360" w:lineRule="auto"/>
        <w:jc w:val="both"/>
        <w:rPr>
          <w:rFonts w:asciiTheme="majorBidi" w:eastAsia="Calibri" w:hAnsiTheme="majorBidi" w:cstheme="majorBidi"/>
          <w:b/>
          <w:bCs/>
          <w:sz w:val="24"/>
          <w:szCs w:val="24"/>
          <w:lang w:bidi="ar-EG"/>
        </w:rPr>
      </w:pPr>
      <w:r w:rsidRPr="00E30642">
        <w:rPr>
          <w:rFonts w:asciiTheme="majorBidi" w:eastAsia="Calibri" w:hAnsiTheme="majorBidi" w:cstheme="majorBidi"/>
          <w:b/>
          <w:bCs/>
          <w:sz w:val="24"/>
          <w:szCs w:val="24"/>
          <w:lang w:bidi="ar-EG"/>
        </w:rPr>
        <w:t>Introduction</w:t>
      </w:r>
    </w:p>
    <w:p w14:paraId="305B9EEC" w14:textId="2FC10AE6" w:rsidR="00832F07" w:rsidRPr="004149D2" w:rsidRDefault="00E0224C" w:rsidP="00E30642">
      <w:pPr>
        <w:spacing w:after="200" w:line="360" w:lineRule="auto"/>
        <w:ind w:firstLine="720"/>
        <w:jc w:val="both"/>
        <w:rPr>
          <w:rFonts w:asciiTheme="majorBidi" w:eastAsia="Calibri" w:hAnsiTheme="majorBidi" w:cstheme="majorBidi"/>
          <w:sz w:val="24"/>
          <w:szCs w:val="24"/>
          <w:lang w:bidi="ar-EG"/>
        </w:rPr>
      </w:pPr>
      <w:r w:rsidRPr="004149D2">
        <w:rPr>
          <w:rFonts w:asciiTheme="majorBidi" w:eastAsia="Calibri" w:hAnsiTheme="majorBidi" w:cstheme="majorBidi"/>
          <w:sz w:val="24"/>
          <w:szCs w:val="24"/>
          <w:lang w:bidi="ar-EG"/>
        </w:rPr>
        <w:t>Hepatitis C virus (HCV) is a hepatotropic and lymphotropic virus</w:t>
      </w:r>
      <w:r w:rsidR="0047518F" w:rsidRPr="004149D2">
        <w:rPr>
          <w:rFonts w:asciiTheme="majorBidi" w:eastAsia="Calibri" w:hAnsiTheme="majorBidi" w:cstheme="majorBidi"/>
          <w:sz w:val="24"/>
          <w:szCs w:val="24"/>
          <w:lang w:bidi="ar-EG"/>
        </w:rPr>
        <w:t>,</w:t>
      </w:r>
      <w:r w:rsidRPr="004149D2">
        <w:rPr>
          <w:rFonts w:asciiTheme="majorBidi" w:eastAsia="Calibri" w:hAnsiTheme="majorBidi" w:cstheme="majorBidi"/>
          <w:sz w:val="24"/>
          <w:szCs w:val="24"/>
          <w:lang w:bidi="ar-EG"/>
        </w:rPr>
        <w:t xml:space="preserve"> and its infection affects the B </w:t>
      </w:r>
      <w:r w:rsidR="0047518F" w:rsidRPr="004149D2">
        <w:rPr>
          <w:rFonts w:asciiTheme="majorBidi" w:eastAsia="Calibri" w:hAnsiTheme="majorBidi" w:cstheme="majorBidi"/>
          <w:sz w:val="24"/>
          <w:szCs w:val="24"/>
          <w:lang w:bidi="ar-EG"/>
        </w:rPr>
        <w:t>lymphocyte</w:t>
      </w:r>
      <w:r w:rsidRPr="004149D2">
        <w:rPr>
          <w:rFonts w:asciiTheme="majorBidi" w:eastAsia="Calibri" w:hAnsiTheme="majorBidi" w:cstheme="majorBidi"/>
          <w:sz w:val="24"/>
          <w:szCs w:val="24"/>
          <w:lang w:bidi="ar-EG"/>
        </w:rPr>
        <w:t xml:space="preserve"> compartments. HCV has been implicated in the pathogenesis of chronic lymphocytic leukemia (CLL) [1]. </w:t>
      </w:r>
      <w:r w:rsidR="0047518F" w:rsidRPr="004149D2">
        <w:rPr>
          <w:rFonts w:asciiTheme="majorBidi" w:eastAsia="Calibri" w:hAnsiTheme="majorBidi" w:cstheme="majorBidi"/>
          <w:sz w:val="24"/>
          <w:szCs w:val="24"/>
          <w:lang w:bidi="ar-EG"/>
        </w:rPr>
        <w:t xml:space="preserve">A vast and growing literature </w:t>
      </w:r>
      <w:r w:rsidRPr="004149D2">
        <w:rPr>
          <w:rFonts w:asciiTheme="majorBidi" w:eastAsia="Calibri" w:hAnsiTheme="majorBidi" w:cstheme="majorBidi"/>
          <w:sz w:val="24"/>
          <w:szCs w:val="24"/>
          <w:lang w:bidi="ar-EG"/>
        </w:rPr>
        <w:t xml:space="preserve">firmly supports the hypothesis that CLL is the most </w:t>
      </w:r>
      <w:r w:rsidR="009C563B" w:rsidRPr="004149D2">
        <w:rPr>
          <w:rFonts w:asciiTheme="majorBidi" w:eastAsia="Calibri" w:hAnsiTheme="majorBidi" w:cstheme="majorBidi"/>
          <w:sz w:val="24"/>
          <w:szCs w:val="24"/>
          <w:lang w:bidi="ar-EG"/>
        </w:rPr>
        <w:t>frequent</w:t>
      </w:r>
      <w:r w:rsidRPr="004149D2">
        <w:rPr>
          <w:rFonts w:asciiTheme="majorBidi" w:eastAsia="Calibri" w:hAnsiTheme="majorBidi" w:cstheme="majorBidi"/>
          <w:sz w:val="24"/>
          <w:szCs w:val="24"/>
          <w:lang w:bidi="ar-EG"/>
        </w:rPr>
        <w:t xml:space="preserve"> </w:t>
      </w:r>
      <w:r w:rsidR="009C563B" w:rsidRPr="004149D2">
        <w:rPr>
          <w:rFonts w:asciiTheme="majorBidi" w:eastAsia="Calibri" w:hAnsiTheme="majorBidi" w:cstheme="majorBidi"/>
          <w:sz w:val="24"/>
          <w:szCs w:val="24"/>
          <w:lang w:bidi="ar-EG"/>
        </w:rPr>
        <w:t xml:space="preserve">hematological </w:t>
      </w:r>
      <w:r w:rsidR="005D126A" w:rsidRPr="004149D2">
        <w:rPr>
          <w:rFonts w:asciiTheme="majorBidi" w:eastAsia="Calibri" w:hAnsiTheme="majorBidi" w:cstheme="majorBidi"/>
          <w:sz w:val="24"/>
          <w:szCs w:val="24"/>
          <w:lang w:bidi="ar-EG"/>
        </w:rPr>
        <w:t xml:space="preserve">cancer </w:t>
      </w:r>
      <w:r w:rsidR="009C563B" w:rsidRPr="004149D2">
        <w:rPr>
          <w:rFonts w:asciiTheme="majorBidi" w:eastAsia="Calibri" w:hAnsiTheme="majorBidi" w:cstheme="majorBidi"/>
          <w:sz w:val="24"/>
          <w:szCs w:val="24"/>
          <w:lang w:bidi="ar-EG"/>
        </w:rPr>
        <w:t>noted</w:t>
      </w:r>
      <w:r w:rsidRPr="004149D2">
        <w:rPr>
          <w:rFonts w:asciiTheme="majorBidi" w:eastAsia="Calibri" w:hAnsiTheme="majorBidi" w:cstheme="majorBidi"/>
          <w:sz w:val="24"/>
          <w:szCs w:val="24"/>
          <w:lang w:bidi="ar-EG"/>
        </w:rPr>
        <w:t xml:space="preserve"> in the </w:t>
      </w:r>
      <w:r w:rsidR="009C563B" w:rsidRPr="004149D2">
        <w:rPr>
          <w:rFonts w:asciiTheme="majorBidi" w:eastAsia="Calibri" w:hAnsiTheme="majorBidi" w:cstheme="majorBidi"/>
          <w:sz w:val="24"/>
          <w:szCs w:val="24"/>
          <w:lang w:bidi="ar-EG"/>
        </w:rPr>
        <w:t xml:space="preserve">aging group of </w:t>
      </w:r>
      <w:r w:rsidR="00AA39C6" w:rsidRPr="004149D2">
        <w:rPr>
          <w:rFonts w:asciiTheme="majorBidi" w:eastAsia="Calibri" w:hAnsiTheme="majorBidi" w:cstheme="majorBidi"/>
          <w:sz w:val="24"/>
          <w:szCs w:val="24"/>
          <w:lang w:bidi="ar-EG"/>
        </w:rPr>
        <w:t>patients [</w:t>
      </w:r>
      <w:r w:rsidRPr="004149D2">
        <w:rPr>
          <w:rFonts w:asciiTheme="majorBidi" w:eastAsia="Calibri" w:hAnsiTheme="majorBidi" w:cstheme="majorBidi"/>
          <w:sz w:val="24"/>
          <w:szCs w:val="24"/>
          <w:lang w:bidi="ar-EG"/>
        </w:rPr>
        <w:t>2</w:t>
      </w:r>
      <w:r w:rsidR="00AA39C6" w:rsidRPr="004149D2">
        <w:rPr>
          <w:rFonts w:asciiTheme="majorBidi" w:eastAsia="Calibri" w:hAnsiTheme="majorBidi" w:cstheme="majorBidi"/>
          <w:sz w:val="24"/>
          <w:szCs w:val="24"/>
          <w:lang w:bidi="ar-EG"/>
        </w:rPr>
        <w:t>].</w:t>
      </w:r>
      <w:r w:rsidRPr="004149D2">
        <w:rPr>
          <w:rFonts w:asciiTheme="majorBidi" w:eastAsia="Calibri" w:hAnsiTheme="majorBidi" w:cstheme="majorBidi"/>
          <w:sz w:val="24"/>
          <w:szCs w:val="24"/>
          <w:lang w:bidi="ar-EG"/>
        </w:rPr>
        <w:t xml:space="preserve"> </w:t>
      </w:r>
    </w:p>
    <w:p w14:paraId="7676E483" w14:textId="6F5B3AFD" w:rsidR="00A77A68" w:rsidRPr="00AA39C6" w:rsidRDefault="00871AC8" w:rsidP="00832F07">
      <w:pPr>
        <w:spacing w:after="200" w:line="360" w:lineRule="auto"/>
        <w:ind w:firstLine="720"/>
        <w:jc w:val="both"/>
        <w:rPr>
          <w:rFonts w:asciiTheme="majorBidi" w:eastAsia="Calibri" w:hAnsiTheme="majorBidi" w:cstheme="majorBidi"/>
          <w:sz w:val="24"/>
          <w:szCs w:val="24"/>
          <w:lang w:bidi="ar-EG"/>
        </w:rPr>
      </w:pPr>
      <w:r w:rsidRPr="004149D2">
        <w:rPr>
          <w:rFonts w:asciiTheme="majorBidi" w:eastAsia="Calibri" w:hAnsiTheme="majorBidi" w:cstheme="majorBidi"/>
          <w:sz w:val="24"/>
          <w:szCs w:val="24"/>
          <w:lang w:bidi="ar-EG"/>
        </w:rPr>
        <w:t xml:space="preserve">There is </w:t>
      </w:r>
      <w:r w:rsidR="00AA39C6" w:rsidRPr="004149D2">
        <w:rPr>
          <w:rFonts w:asciiTheme="majorBidi" w:eastAsia="Calibri" w:hAnsiTheme="majorBidi" w:cstheme="majorBidi"/>
          <w:sz w:val="24"/>
          <w:szCs w:val="24"/>
          <w:lang w:bidi="ar-EG"/>
        </w:rPr>
        <w:t>gathering</w:t>
      </w:r>
      <w:r w:rsidRPr="004149D2">
        <w:rPr>
          <w:rFonts w:asciiTheme="majorBidi" w:eastAsia="Calibri" w:hAnsiTheme="majorBidi" w:cstheme="majorBidi"/>
          <w:sz w:val="24"/>
          <w:szCs w:val="24"/>
          <w:lang w:bidi="ar-EG"/>
        </w:rPr>
        <w:t xml:space="preserve"> </w:t>
      </w:r>
      <w:r w:rsidR="00AA39C6" w:rsidRPr="004149D2">
        <w:rPr>
          <w:rFonts w:asciiTheme="majorBidi" w:eastAsia="Calibri" w:hAnsiTheme="majorBidi" w:cstheme="majorBidi"/>
          <w:sz w:val="24"/>
          <w:szCs w:val="24"/>
          <w:lang w:bidi="ar-EG"/>
        </w:rPr>
        <w:t>proof</w:t>
      </w:r>
      <w:r w:rsidRPr="004149D2">
        <w:rPr>
          <w:rFonts w:asciiTheme="majorBidi" w:eastAsia="Calibri" w:hAnsiTheme="majorBidi" w:cstheme="majorBidi"/>
          <w:sz w:val="24"/>
          <w:szCs w:val="24"/>
          <w:lang w:bidi="ar-EG"/>
        </w:rPr>
        <w:t xml:space="preserve"> that</w:t>
      </w:r>
      <w:r w:rsidR="00AA39C6" w:rsidRPr="004149D2">
        <w:rPr>
          <w:rFonts w:asciiTheme="majorBidi" w:eastAsia="Calibri" w:hAnsiTheme="majorBidi" w:cstheme="majorBidi"/>
          <w:sz w:val="24"/>
          <w:szCs w:val="24"/>
          <w:lang w:bidi="ar-EG"/>
        </w:rPr>
        <w:t xml:space="preserve"> </w:t>
      </w:r>
      <w:r w:rsidR="005D126A" w:rsidRPr="004149D2">
        <w:rPr>
          <w:rFonts w:asciiTheme="majorBidi" w:eastAsia="Calibri" w:hAnsiTheme="majorBidi" w:cstheme="majorBidi"/>
          <w:sz w:val="24"/>
          <w:szCs w:val="24"/>
          <w:lang w:bidi="ar-EG"/>
        </w:rPr>
        <w:t>CLL is</w:t>
      </w:r>
      <w:r w:rsidR="00AA39C6" w:rsidRPr="004149D2">
        <w:rPr>
          <w:rFonts w:asciiTheme="majorBidi" w:eastAsia="Calibri" w:hAnsiTheme="majorBidi" w:cstheme="majorBidi"/>
          <w:sz w:val="24"/>
          <w:szCs w:val="24"/>
          <w:lang w:bidi="ar-EG"/>
        </w:rPr>
        <w:t xml:space="preserve"> deemed as the dysregulated proliferation of</w:t>
      </w:r>
      <w:r w:rsidRPr="004149D2">
        <w:rPr>
          <w:rFonts w:asciiTheme="majorBidi" w:eastAsia="Calibri" w:hAnsiTheme="majorBidi" w:cstheme="majorBidi"/>
          <w:sz w:val="24"/>
          <w:szCs w:val="24"/>
          <w:lang w:bidi="ar-EG"/>
        </w:rPr>
        <w:t xml:space="preserve"> lymphocytes in the blood</w:t>
      </w:r>
      <w:r w:rsidR="00AA39C6" w:rsidRPr="004149D2">
        <w:rPr>
          <w:rFonts w:asciiTheme="majorBidi" w:eastAsia="Calibri" w:hAnsiTheme="majorBidi" w:cstheme="majorBidi"/>
          <w:sz w:val="24"/>
          <w:szCs w:val="24"/>
          <w:lang w:bidi="ar-EG"/>
        </w:rPr>
        <w:t xml:space="preserve"> and other organs [</w:t>
      </w:r>
      <w:r w:rsidR="00E0224C" w:rsidRPr="004149D2">
        <w:rPr>
          <w:rFonts w:asciiTheme="majorBidi" w:eastAsia="Calibri" w:hAnsiTheme="majorBidi" w:cstheme="majorBidi"/>
          <w:sz w:val="24"/>
          <w:szCs w:val="24"/>
          <w:lang w:bidi="ar-EG"/>
        </w:rPr>
        <w:t>3</w:t>
      </w:r>
      <w:r w:rsidR="00AA39C6" w:rsidRPr="004149D2">
        <w:rPr>
          <w:rFonts w:asciiTheme="majorBidi" w:eastAsia="Calibri" w:hAnsiTheme="majorBidi" w:cstheme="majorBidi"/>
          <w:sz w:val="24"/>
          <w:szCs w:val="24"/>
          <w:lang w:bidi="ar-EG"/>
        </w:rPr>
        <w:t>,</w:t>
      </w:r>
      <w:r w:rsidR="00E0224C" w:rsidRPr="004149D2">
        <w:rPr>
          <w:rFonts w:asciiTheme="majorBidi" w:eastAsia="Calibri" w:hAnsiTheme="majorBidi" w:cstheme="majorBidi"/>
          <w:sz w:val="24"/>
          <w:szCs w:val="24"/>
          <w:lang w:bidi="ar-EG"/>
        </w:rPr>
        <w:t>4</w:t>
      </w:r>
      <w:r w:rsidR="00C746E5" w:rsidRPr="004149D2">
        <w:rPr>
          <w:rFonts w:asciiTheme="majorBidi" w:eastAsia="Calibri" w:hAnsiTheme="majorBidi" w:cstheme="majorBidi"/>
          <w:sz w:val="24"/>
          <w:szCs w:val="24"/>
          <w:lang w:bidi="ar-EG"/>
        </w:rPr>
        <w:t>].</w:t>
      </w:r>
      <w:r w:rsidRPr="00AA39C6">
        <w:rPr>
          <w:rFonts w:asciiTheme="majorBidi" w:eastAsia="Calibri" w:hAnsiTheme="majorBidi" w:cstheme="majorBidi"/>
          <w:sz w:val="24"/>
          <w:szCs w:val="24"/>
          <w:lang w:bidi="ar-EG"/>
        </w:rPr>
        <w:t xml:space="preserve"> </w:t>
      </w:r>
      <w:r w:rsidR="0047518F">
        <w:rPr>
          <w:rFonts w:asciiTheme="majorBidi" w:eastAsia="Calibri" w:hAnsiTheme="majorBidi" w:cstheme="majorBidi"/>
          <w:sz w:val="24"/>
          <w:szCs w:val="24"/>
          <w:lang w:bidi="ar-EG"/>
        </w:rPr>
        <w:t>But interestingly</w:t>
      </w:r>
      <w:r w:rsidRPr="00AA39C6">
        <w:rPr>
          <w:rFonts w:asciiTheme="majorBidi" w:eastAsia="Calibri" w:hAnsiTheme="majorBidi" w:cstheme="majorBidi"/>
          <w:sz w:val="24"/>
          <w:szCs w:val="24"/>
          <w:lang w:bidi="ar-EG"/>
        </w:rPr>
        <w:t xml:space="preserve">, It is becoming more widely accepted that there is a wide range of clinical and pathological features of CLL due to its complexity </w:t>
      </w:r>
      <w:r w:rsidR="00C746E5" w:rsidRPr="00AA39C6">
        <w:rPr>
          <w:rFonts w:asciiTheme="majorBidi" w:eastAsia="Calibri" w:hAnsiTheme="majorBidi" w:cstheme="majorBidi"/>
          <w:sz w:val="24"/>
          <w:szCs w:val="24"/>
          <w:lang w:bidi="ar-EG"/>
        </w:rPr>
        <w:t>[</w:t>
      </w:r>
      <w:r w:rsidR="00E0224C">
        <w:rPr>
          <w:rFonts w:asciiTheme="majorBidi" w:eastAsia="Calibri" w:hAnsiTheme="majorBidi" w:cstheme="majorBidi"/>
          <w:sz w:val="24"/>
          <w:szCs w:val="24"/>
          <w:lang w:bidi="ar-EG"/>
        </w:rPr>
        <w:t>5</w:t>
      </w:r>
      <w:r w:rsidRPr="00AA39C6">
        <w:rPr>
          <w:rFonts w:asciiTheme="majorBidi" w:eastAsia="Calibri" w:hAnsiTheme="majorBidi" w:cstheme="majorBidi"/>
          <w:sz w:val="24"/>
          <w:szCs w:val="24"/>
          <w:lang w:bidi="ar-EG"/>
        </w:rPr>
        <w:t>,</w:t>
      </w:r>
      <w:r w:rsidR="00E0224C">
        <w:rPr>
          <w:rFonts w:asciiTheme="majorBidi" w:eastAsia="Calibri" w:hAnsiTheme="majorBidi" w:cstheme="majorBidi"/>
          <w:sz w:val="24"/>
          <w:szCs w:val="24"/>
          <w:lang w:bidi="ar-EG"/>
        </w:rPr>
        <w:t>6</w:t>
      </w:r>
      <w:r w:rsidR="00147237" w:rsidRPr="00AA39C6">
        <w:rPr>
          <w:rFonts w:asciiTheme="majorBidi" w:eastAsia="Calibri" w:hAnsiTheme="majorBidi" w:cstheme="majorBidi"/>
          <w:sz w:val="24"/>
          <w:szCs w:val="24"/>
          <w:lang w:bidi="ar-EG"/>
        </w:rPr>
        <w:t xml:space="preserve"> </w:t>
      </w:r>
      <w:r w:rsidR="00E0224C">
        <w:rPr>
          <w:rFonts w:asciiTheme="majorBidi" w:eastAsia="Calibri" w:hAnsiTheme="majorBidi" w:cstheme="majorBidi"/>
          <w:sz w:val="24"/>
          <w:szCs w:val="24"/>
          <w:lang w:bidi="ar-EG"/>
        </w:rPr>
        <w:t>].</w:t>
      </w:r>
    </w:p>
    <w:p w14:paraId="05F9F803" w14:textId="5B1BB94B" w:rsidR="00A16AD5" w:rsidRPr="00E30642" w:rsidRDefault="00871AC8" w:rsidP="00E30642">
      <w:pPr>
        <w:spacing w:after="200" w:line="360" w:lineRule="auto"/>
        <w:ind w:firstLine="720"/>
        <w:jc w:val="both"/>
        <w:rPr>
          <w:rFonts w:asciiTheme="majorBidi" w:eastAsia="Calibri" w:hAnsiTheme="majorBidi" w:cstheme="majorBidi"/>
          <w:sz w:val="24"/>
          <w:szCs w:val="24"/>
          <w:lang w:bidi="ar-EG"/>
        </w:rPr>
      </w:pPr>
      <w:r w:rsidRPr="00AA39C6">
        <w:rPr>
          <w:rFonts w:asciiTheme="majorBidi" w:eastAsia="Calibri" w:hAnsiTheme="majorBidi" w:cstheme="majorBidi"/>
          <w:sz w:val="24"/>
          <w:szCs w:val="24"/>
          <w:lang w:bidi="ar-EG"/>
        </w:rPr>
        <w:t xml:space="preserve">MicroRNAs (miRNAs) are a class of endogenous non-coding RNA molecules that </w:t>
      </w:r>
      <w:r w:rsidRPr="00E30642">
        <w:rPr>
          <w:rFonts w:asciiTheme="majorBidi" w:eastAsia="Calibri" w:hAnsiTheme="majorBidi" w:cstheme="majorBidi"/>
          <w:sz w:val="24"/>
          <w:szCs w:val="24"/>
          <w:lang w:bidi="ar-EG"/>
        </w:rPr>
        <w:t xml:space="preserve">regulate </w:t>
      </w:r>
      <w:r w:rsidR="0047518F">
        <w:rPr>
          <w:rFonts w:asciiTheme="majorBidi" w:eastAsia="Calibri" w:hAnsiTheme="majorBidi" w:cstheme="majorBidi"/>
          <w:sz w:val="24"/>
          <w:szCs w:val="24"/>
          <w:lang w:bidi="ar-EG"/>
        </w:rPr>
        <w:t>vital</w:t>
      </w:r>
      <w:r w:rsidRPr="00E30642">
        <w:rPr>
          <w:rFonts w:asciiTheme="majorBidi" w:eastAsia="Calibri" w:hAnsiTheme="majorBidi" w:cstheme="majorBidi"/>
          <w:sz w:val="24"/>
          <w:szCs w:val="24"/>
          <w:lang w:bidi="ar-EG"/>
        </w:rPr>
        <w:t xml:space="preserve"> biological processes, including cell development and malignant transformation. </w:t>
      </w:r>
      <w:r w:rsidR="0047518F">
        <w:rPr>
          <w:rFonts w:asciiTheme="majorBidi" w:eastAsia="Calibri" w:hAnsiTheme="majorBidi" w:cstheme="majorBidi"/>
          <w:sz w:val="24"/>
          <w:szCs w:val="24"/>
          <w:lang w:bidi="ar-EG"/>
        </w:rPr>
        <w:t>For example, in</w:t>
      </w:r>
      <w:r w:rsidRPr="00E30642">
        <w:rPr>
          <w:rFonts w:asciiTheme="majorBidi" w:eastAsia="Calibri" w:hAnsiTheme="majorBidi" w:cstheme="majorBidi"/>
          <w:sz w:val="24"/>
          <w:szCs w:val="24"/>
          <w:lang w:bidi="ar-EG"/>
        </w:rPr>
        <w:t xml:space="preserve"> cancer, miRNAs can act as oncogenes or tumor suppressor genes by regulating the expression of genes that control cell proliferation, differentiation, apoptosis, invasion, and metastasis [7].</w:t>
      </w:r>
    </w:p>
    <w:p w14:paraId="25B2CBD4" w14:textId="2861F04D" w:rsidR="00A16AD5" w:rsidRPr="00E30642" w:rsidRDefault="00871AC8" w:rsidP="00E30642">
      <w:pPr>
        <w:spacing w:after="200" w:line="360" w:lineRule="auto"/>
        <w:ind w:firstLine="720"/>
        <w:jc w:val="both"/>
        <w:rPr>
          <w:rFonts w:asciiTheme="majorBidi" w:eastAsia="Calibri" w:hAnsiTheme="majorBidi" w:cstheme="majorBidi"/>
          <w:sz w:val="24"/>
          <w:szCs w:val="24"/>
          <w:lang w:bidi="ar-EG"/>
        </w:rPr>
      </w:pPr>
      <w:r w:rsidRPr="00E30642">
        <w:rPr>
          <w:rFonts w:asciiTheme="majorBidi" w:eastAsia="Calibri" w:hAnsiTheme="majorBidi" w:cstheme="majorBidi"/>
          <w:sz w:val="24"/>
          <w:szCs w:val="24"/>
          <w:lang w:bidi="ar-EG"/>
        </w:rPr>
        <w:t>Accumulated experimental and clinical evidence indicates that miR-150 is an immuno-</w:t>
      </w:r>
      <w:proofErr w:type="spellStart"/>
      <w:r w:rsidRPr="00E30642">
        <w:rPr>
          <w:rFonts w:asciiTheme="majorBidi" w:eastAsia="Calibri" w:hAnsiTheme="majorBidi" w:cstheme="majorBidi"/>
          <w:sz w:val="24"/>
          <w:szCs w:val="24"/>
          <w:lang w:bidi="ar-EG"/>
        </w:rPr>
        <w:t>miR</w:t>
      </w:r>
      <w:proofErr w:type="spellEnd"/>
      <w:r w:rsidRPr="00E30642">
        <w:rPr>
          <w:rFonts w:asciiTheme="majorBidi" w:eastAsia="Calibri" w:hAnsiTheme="majorBidi" w:cstheme="majorBidi"/>
          <w:sz w:val="24"/>
          <w:szCs w:val="24"/>
          <w:lang w:bidi="ar-EG"/>
        </w:rPr>
        <w:t xml:space="preserve"> regulating immune functions, such as proliferation, apoptosis, and differentiation of NK, </w:t>
      </w:r>
      <w:r w:rsidR="007D5DDE" w:rsidRPr="00E30642">
        <w:rPr>
          <w:rFonts w:asciiTheme="majorBidi" w:eastAsia="Calibri" w:hAnsiTheme="majorBidi" w:cstheme="majorBidi"/>
          <w:sz w:val="24"/>
          <w:szCs w:val="24"/>
          <w:lang w:bidi="ar-EG"/>
        </w:rPr>
        <w:t>T,</w:t>
      </w:r>
      <w:r w:rsidRPr="00E30642">
        <w:rPr>
          <w:rFonts w:asciiTheme="majorBidi" w:eastAsia="Calibri" w:hAnsiTheme="majorBidi" w:cstheme="majorBidi"/>
          <w:sz w:val="24"/>
          <w:szCs w:val="24"/>
          <w:lang w:bidi="ar-EG"/>
        </w:rPr>
        <w:t xml:space="preserve"> and B cells </w:t>
      </w:r>
      <w:r w:rsidR="008176BE" w:rsidRPr="00E30642">
        <w:rPr>
          <w:rFonts w:asciiTheme="majorBidi" w:eastAsia="Calibri" w:hAnsiTheme="majorBidi" w:cstheme="majorBidi"/>
          <w:sz w:val="24"/>
          <w:szCs w:val="24"/>
          <w:lang w:bidi="ar-EG"/>
        </w:rPr>
        <w:t>[8]</w:t>
      </w:r>
      <w:r w:rsidRPr="00E30642">
        <w:rPr>
          <w:rFonts w:asciiTheme="majorBidi" w:eastAsia="Calibri" w:hAnsiTheme="majorBidi" w:cstheme="majorBidi"/>
          <w:sz w:val="24"/>
          <w:szCs w:val="24"/>
          <w:lang w:bidi="ar-EG"/>
        </w:rPr>
        <w:t xml:space="preserve"> </w:t>
      </w:r>
      <w:r w:rsidR="008176BE" w:rsidRPr="00E30642">
        <w:rPr>
          <w:rFonts w:asciiTheme="majorBidi" w:eastAsia="Calibri" w:hAnsiTheme="majorBidi" w:cstheme="majorBidi"/>
          <w:sz w:val="24"/>
          <w:szCs w:val="24"/>
          <w:lang w:bidi="ar-EG"/>
        </w:rPr>
        <w:t xml:space="preserve">and </w:t>
      </w:r>
      <w:r w:rsidRPr="00E30642">
        <w:rPr>
          <w:rFonts w:asciiTheme="majorBidi" w:eastAsia="Calibri" w:hAnsiTheme="majorBidi" w:cstheme="majorBidi"/>
          <w:sz w:val="24"/>
          <w:szCs w:val="24"/>
          <w:lang w:bidi="ar-EG"/>
        </w:rPr>
        <w:t>lymphocyte activation [9].</w:t>
      </w:r>
    </w:p>
    <w:p w14:paraId="697E0361" w14:textId="77777777" w:rsidR="0096577E" w:rsidRDefault="00871AC8" w:rsidP="00E30642">
      <w:pPr>
        <w:spacing w:line="360" w:lineRule="auto"/>
        <w:ind w:firstLine="720"/>
        <w:jc w:val="both"/>
        <w:rPr>
          <w:rFonts w:asciiTheme="majorBidi" w:eastAsia="Calibri" w:hAnsiTheme="majorBidi" w:cstheme="majorBidi"/>
          <w:sz w:val="24"/>
          <w:szCs w:val="24"/>
          <w:lang w:bidi="ar-EG"/>
        </w:rPr>
        <w:sectPr w:rsidR="0096577E" w:rsidSect="006E18F5">
          <w:pgSz w:w="12240" w:h="15840"/>
          <w:pgMar w:top="1440" w:right="1800" w:bottom="1440" w:left="1800" w:header="720" w:footer="720" w:gutter="0"/>
          <w:pgNumType w:start="36"/>
          <w:cols w:space="720"/>
          <w:docGrid w:linePitch="360"/>
        </w:sectPr>
      </w:pPr>
      <w:bookmarkStart w:id="8" w:name="_Hlk124474196"/>
      <w:r w:rsidRPr="00E30642">
        <w:rPr>
          <w:rFonts w:asciiTheme="majorBidi" w:hAnsiTheme="majorBidi" w:cstheme="majorBidi"/>
          <w:color w:val="212121"/>
          <w:sz w:val="24"/>
          <w:szCs w:val="24"/>
          <w:shd w:val="clear" w:color="auto" w:fill="FFFFFF"/>
        </w:rPr>
        <w:t xml:space="preserve">It is well established that </w:t>
      </w:r>
      <w:r w:rsidR="00DD3CC0" w:rsidRPr="00E30642">
        <w:rPr>
          <w:rFonts w:asciiTheme="majorBidi" w:hAnsiTheme="majorBidi" w:cstheme="majorBidi"/>
          <w:color w:val="212121"/>
          <w:sz w:val="24"/>
          <w:szCs w:val="24"/>
          <w:shd w:val="clear" w:color="auto" w:fill="FFFFFF"/>
        </w:rPr>
        <w:t xml:space="preserve">miRNAs could be used not only as </w:t>
      </w:r>
      <w:r w:rsidRPr="00E30642">
        <w:rPr>
          <w:rFonts w:asciiTheme="majorBidi" w:hAnsiTheme="majorBidi" w:cstheme="majorBidi"/>
          <w:color w:val="212121"/>
          <w:sz w:val="24"/>
          <w:szCs w:val="24"/>
          <w:shd w:val="clear" w:color="auto" w:fill="FFFFFF"/>
        </w:rPr>
        <w:t xml:space="preserve">diagnostic and </w:t>
      </w:r>
      <w:r w:rsidR="007D5DDE" w:rsidRPr="00E30642">
        <w:rPr>
          <w:rFonts w:asciiTheme="majorBidi" w:hAnsiTheme="majorBidi" w:cstheme="majorBidi"/>
          <w:color w:val="212121"/>
          <w:sz w:val="24"/>
          <w:szCs w:val="24"/>
          <w:shd w:val="clear" w:color="auto" w:fill="FFFFFF"/>
        </w:rPr>
        <w:t>prognostic biomarkers</w:t>
      </w:r>
      <w:r w:rsidRPr="00E30642">
        <w:rPr>
          <w:rFonts w:asciiTheme="majorBidi" w:hAnsiTheme="majorBidi" w:cstheme="majorBidi"/>
          <w:color w:val="212121"/>
          <w:sz w:val="24"/>
          <w:szCs w:val="24"/>
          <w:shd w:val="clear" w:color="auto" w:fill="FFFFFF"/>
        </w:rPr>
        <w:t xml:space="preserve"> but also as </w:t>
      </w:r>
      <w:r w:rsidR="00DD3CC0" w:rsidRPr="00E30642">
        <w:rPr>
          <w:rFonts w:asciiTheme="majorBidi" w:hAnsiTheme="majorBidi" w:cstheme="majorBidi"/>
          <w:color w:val="212121"/>
          <w:sz w:val="24"/>
          <w:szCs w:val="24"/>
          <w:shd w:val="clear" w:color="auto" w:fill="FFFFFF"/>
        </w:rPr>
        <w:t>predictive biomarkers</w:t>
      </w:r>
      <w:r w:rsidRPr="00774B3B">
        <w:rPr>
          <w:rFonts w:asciiTheme="majorBidi" w:hAnsiTheme="majorBidi" w:cstheme="majorBidi"/>
          <w:sz w:val="24"/>
          <w:szCs w:val="24"/>
          <w:shd w:val="clear" w:color="auto" w:fill="FFFFFF"/>
        </w:rPr>
        <w:t>.</w:t>
      </w:r>
      <w:bookmarkStart w:id="9" w:name="_Hlk124474005"/>
      <w:bookmarkEnd w:id="8"/>
      <w:r w:rsidR="007D5DDE" w:rsidRPr="00774B3B">
        <w:rPr>
          <w:rFonts w:asciiTheme="majorBidi" w:hAnsiTheme="majorBidi" w:cstheme="majorBidi"/>
          <w:sz w:val="24"/>
          <w:szCs w:val="24"/>
        </w:rPr>
        <w:t xml:space="preserve"> </w:t>
      </w:r>
      <w:r w:rsidR="00774B3B" w:rsidRPr="00774B3B">
        <w:rPr>
          <w:rFonts w:asciiTheme="majorBidi" w:hAnsiTheme="majorBidi" w:cstheme="majorBidi"/>
          <w:sz w:val="24"/>
          <w:szCs w:val="24"/>
          <w:shd w:val="clear" w:color="auto" w:fill="FFFFFF"/>
        </w:rPr>
        <w:t>Elegant</w:t>
      </w:r>
      <w:r w:rsidR="007D5DDE" w:rsidRPr="00774B3B">
        <w:rPr>
          <w:rFonts w:asciiTheme="majorBidi" w:hAnsiTheme="majorBidi" w:cstheme="majorBidi"/>
          <w:sz w:val="24"/>
          <w:szCs w:val="24"/>
          <w:shd w:val="clear" w:color="auto" w:fill="FFFFFF"/>
        </w:rPr>
        <w:t xml:space="preserve"> studies have evaluat</w:t>
      </w:r>
      <w:r w:rsidR="007D5DDE" w:rsidRPr="00E30642">
        <w:rPr>
          <w:rFonts w:asciiTheme="majorBidi" w:hAnsiTheme="majorBidi" w:cstheme="majorBidi"/>
          <w:color w:val="212121"/>
          <w:sz w:val="24"/>
          <w:szCs w:val="24"/>
          <w:shd w:val="clear" w:color="auto" w:fill="FFFFFF"/>
        </w:rPr>
        <w:t>ed the role of e</w:t>
      </w:r>
      <w:r w:rsidR="00DD3CC0" w:rsidRPr="00E30642">
        <w:rPr>
          <w:rFonts w:asciiTheme="majorBidi" w:hAnsiTheme="majorBidi" w:cstheme="majorBidi"/>
          <w:color w:val="212121"/>
          <w:sz w:val="24"/>
          <w:szCs w:val="24"/>
          <w:shd w:val="clear" w:color="auto" w:fill="FFFFFF"/>
        </w:rPr>
        <w:t xml:space="preserve">arly </w:t>
      </w:r>
      <w:r w:rsidR="0047518F">
        <w:rPr>
          <w:rFonts w:asciiTheme="majorBidi" w:hAnsiTheme="majorBidi" w:cstheme="majorBidi"/>
          <w:color w:val="212121"/>
          <w:sz w:val="24"/>
          <w:szCs w:val="24"/>
          <w:shd w:val="clear" w:color="auto" w:fill="FFFFFF"/>
        </w:rPr>
        <w:t>cancer diagnosis</w:t>
      </w:r>
      <w:r w:rsidR="00DD3CC0" w:rsidRPr="00E30642">
        <w:rPr>
          <w:rFonts w:asciiTheme="majorBidi" w:hAnsiTheme="majorBidi" w:cstheme="majorBidi"/>
          <w:color w:val="212121"/>
          <w:sz w:val="24"/>
          <w:szCs w:val="24"/>
          <w:shd w:val="clear" w:color="auto" w:fill="FFFFFF"/>
        </w:rPr>
        <w:t xml:space="preserve"> </w:t>
      </w:r>
      <w:r w:rsidR="007D5DDE" w:rsidRPr="00E30642">
        <w:rPr>
          <w:rFonts w:asciiTheme="majorBidi" w:hAnsiTheme="majorBidi" w:cstheme="majorBidi"/>
          <w:color w:val="212121"/>
          <w:sz w:val="24"/>
          <w:szCs w:val="24"/>
          <w:shd w:val="clear" w:color="auto" w:fill="FFFFFF"/>
        </w:rPr>
        <w:t xml:space="preserve">in </w:t>
      </w:r>
      <w:r w:rsidR="00DD3CC0" w:rsidRPr="00E30642">
        <w:rPr>
          <w:rFonts w:asciiTheme="majorBidi" w:hAnsiTheme="majorBidi" w:cstheme="majorBidi"/>
          <w:color w:val="212121"/>
          <w:sz w:val="24"/>
          <w:szCs w:val="24"/>
          <w:shd w:val="clear" w:color="auto" w:fill="FFFFFF"/>
        </w:rPr>
        <w:t xml:space="preserve">successful and effective treatment. </w:t>
      </w:r>
      <w:r w:rsidR="0047518F">
        <w:rPr>
          <w:rFonts w:asciiTheme="majorBidi" w:hAnsiTheme="majorBidi" w:cstheme="majorBidi"/>
          <w:color w:val="212121"/>
          <w:sz w:val="24"/>
          <w:szCs w:val="24"/>
          <w:shd w:val="clear" w:color="auto" w:fill="FFFFFF"/>
        </w:rPr>
        <w:t>However, inopportunely</w:t>
      </w:r>
      <w:r w:rsidR="00DD3CC0" w:rsidRPr="00E30642">
        <w:rPr>
          <w:rFonts w:asciiTheme="majorBidi" w:hAnsiTheme="majorBidi" w:cstheme="majorBidi"/>
          <w:color w:val="212121"/>
          <w:sz w:val="24"/>
          <w:szCs w:val="24"/>
          <w:shd w:val="clear" w:color="auto" w:fill="FFFFFF"/>
        </w:rPr>
        <w:t xml:space="preserve">, </w:t>
      </w:r>
      <w:r w:rsidR="007D5DDE" w:rsidRPr="00E30642">
        <w:rPr>
          <w:rFonts w:asciiTheme="majorBidi" w:hAnsiTheme="majorBidi" w:cstheme="majorBidi"/>
          <w:color w:val="212121"/>
          <w:sz w:val="24"/>
          <w:szCs w:val="24"/>
          <w:shd w:val="clear" w:color="auto" w:fill="FFFFFF"/>
        </w:rPr>
        <w:t>many cancer</w:t>
      </w:r>
      <w:r w:rsidR="00DD3CC0" w:rsidRPr="00E30642">
        <w:rPr>
          <w:rFonts w:asciiTheme="majorBidi" w:hAnsiTheme="majorBidi" w:cstheme="majorBidi"/>
          <w:color w:val="212121"/>
          <w:sz w:val="24"/>
          <w:szCs w:val="24"/>
          <w:shd w:val="clear" w:color="auto" w:fill="FFFFFF"/>
        </w:rPr>
        <w:t xml:space="preserve"> patients are diagnosed </w:t>
      </w:r>
      <w:r w:rsidR="007D5DDE" w:rsidRPr="00E30642">
        <w:rPr>
          <w:rFonts w:asciiTheme="majorBidi" w:hAnsiTheme="majorBidi" w:cstheme="majorBidi"/>
          <w:color w:val="212121"/>
          <w:sz w:val="24"/>
          <w:szCs w:val="24"/>
          <w:shd w:val="clear" w:color="auto" w:fill="FFFFFF"/>
        </w:rPr>
        <w:t>late</w:t>
      </w:r>
      <w:r w:rsidR="00DD3CC0" w:rsidRPr="00E30642">
        <w:rPr>
          <w:rFonts w:asciiTheme="majorBidi" w:hAnsiTheme="majorBidi" w:cstheme="majorBidi"/>
          <w:color w:val="212121"/>
          <w:sz w:val="24"/>
          <w:szCs w:val="24"/>
          <w:shd w:val="clear" w:color="auto" w:fill="FFFFFF"/>
        </w:rPr>
        <w:t xml:space="preserve"> due to </w:t>
      </w:r>
      <w:r w:rsidR="0047518F">
        <w:rPr>
          <w:rFonts w:asciiTheme="majorBidi" w:hAnsiTheme="majorBidi" w:cstheme="majorBidi"/>
          <w:color w:val="212121"/>
          <w:sz w:val="24"/>
          <w:szCs w:val="24"/>
          <w:shd w:val="clear" w:color="auto" w:fill="FFFFFF"/>
        </w:rPr>
        <w:t>insufficient</w:t>
      </w:r>
      <w:r w:rsidR="00DD3CC0" w:rsidRPr="00E30642">
        <w:rPr>
          <w:rFonts w:asciiTheme="majorBidi" w:hAnsiTheme="majorBidi" w:cstheme="majorBidi"/>
          <w:color w:val="212121"/>
          <w:sz w:val="24"/>
          <w:szCs w:val="24"/>
          <w:shd w:val="clear" w:color="auto" w:fill="FFFFFF"/>
        </w:rPr>
        <w:t xml:space="preserve"> early </w:t>
      </w:r>
      <w:r w:rsidR="004149D2" w:rsidRPr="00E30642">
        <w:rPr>
          <w:rFonts w:asciiTheme="majorBidi" w:hAnsiTheme="majorBidi" w:cstheme="majorBidi"/>
          <w:color w:val="212121"/>
          <w:sz w:val="24"/>
          <w:szCs w:val="24"/>
          <w:shd w:val="clear" w:color="auto" w:fill="FFFFFF"/>
        </w:rPr>
        <w:t>screening</w:t>
      </w:r>
      <w:r w:rsidR="004149D2" w:rsidRPr="004149D2">
        <w:rPr>
          <w:rFonts w:asciiTheme="majorBidi" w:hAnsiTheme="majorBidi" w:cstheme="majorBidi"/>
          <w:color w:val="212121"/>
          <w:sz w:val="24"/>
          <w:szCs w:val="24"/>
          <w:shd w:val="clear" w:color="auto" w:fill="FFFFFF"/>
        </w:rPr>
        <w:t xml:space="preserve"> [</w:t>
      </w:r>
      <w:r w:rsidR="002035C4" w:rsidRPr="004149D2">
        <w:rPr>
          <w:rFonts w:asciiTheme="majorBidi" w:hAnsiTheme="majorBidi" w:cstheme="majorBidi"/>
          <w:color w:val="212121"/>
          <w:sz w:val="24"/>
          <w:szCs w:val="24"/>
          <w:shd w:val="clear" w:color="auto" w:fill="FFFFFF"/>
        </w:rPr>
        <w:t>10].</w:t>
      </w:r>
      <w:r w:rsidR="007D5DDE" w:rsidRPr="00E30642">
        <w:rPr>
          <w:rFonts w:asciiTheme="majorBidi" w:hAnsiTheme="majorBidi" w:cstheme="majorBidi"/>
          <w:color w:val="212121"/>
          <w:sz w:val="24"/>
          <w:szCs w:val="24"/>
          <w:shd w:val="clear" w:color="auto" w:fill="FFFFFF"/>
        </w:rPr>
        <w:t xml:space="preserve"> Thus,</w:t>
      </w:r>
      <w:bookmarkEnd w:id="9"/>
      <w:r w:rsidR="007D5DDE" w:rsidRPr="00E30642">
        <w:rPr>
          <w:rFonts w:asciiTheme="majorBidi" w:hAnsiTheme="majorBidi" w:cstheme="majorBidi"/>
          <w:color w:val="212121"/>
          <w:sz w:val="24"/>
          <w:szCs w:val="24"/>
          <w:shd w:val="clear" w:color="auto" w:fill="FFFFFF"/>
        </w:rPr>
        <w:t xml:space="preserve"> </w:t>
      </w:r>
      <w:r w:rsidR="007D5DDE" w:rsidRPr="00E30642">
        <w:rPr>
          <w:rFonts w:asciiTheme="majorBidi" w:eastAsia="Calibri" w:hAnsiTheme="majorBidi" w:cstheme="majorBidi"/>
          <w:sz w:val="24"/>
          <w:szCs w:val="24"/>
          <w:lang w:bidi="ar-EG"/>
        </w:rPr>
        <w:t>t</w:t>
      </w:r>
      <w:r w:rsidR="00DD3CC0" w:rsidRPr="00E30642">
        <w:rPr>
          <w:rFonts w:asciiTheme="majorBidi" w:eastAsia="Calibri" w:hAnsiTheme="majorBidi" w:cstheme="majorBidi"/>
          <w:sz w:val="24"/>
          <w:szCs w:val="24"/>
          <w:lang w:bidi="ar-EG"/>
        </w:rPr>
        <w:t xml:space="preserve">his study aimed to gain further insights into the role of </w:t>
      </w:r>
      <w:r w:rsidR="007D5DDE" w:rsidRPr="00E30642">
        <w:rPr>
          <w:rFonts w:asciiTheme="majorBidi" w:eastAsia="Calibri" w:hAnsiTheme="majorBidi" w:cstheme="majorBidi"/>
          <w:sz w:val="24"/>
          <w:szCs w:val="24"/>
          <w:lang w:bidi="ar-EG"/>
        </w:rPr>
        <w:t>miR-150-5 p expression as a diagnostic and prognostic marker of B- CLL among Egyptian patients with chronic hepatitis C and its impact on risk stratification and response to therapy.</w:t>
      </w:r>
    </w:p>
    <w:p w14:paraId="05BFA487" w14:textId="2FFBAA0A" w:rsidR="00C04542" w:rsidRPr="00E30642" w:rsidRDefault="00871AC8" w:rsidP="00E30642">
      <w:pPr>
        <w:autoSpaceDE w:val="0"/>
        <w:autoSpaceDN w:val="0"/>
        <w:adjustRightInd w:val="0"/>
        <w:spacing w:after="0" w:line="360" w:lineRule="auto"/>
        <w:jc w:val="both"/>
        <w:rPr>
          <w:rFonts w:asciiTheme="majorBidi" w:eastAsia="Calibri" w:hAnsiTheme="majorBidi" w:cstheme="majorBidi"/>
          <w:b/>
          <w:bCs/>
          <w:sz w:val="24"/>
          <w:szCs w:val="24"/>
        </w:rPr>
      </w:pPr>
      <w:r w:rsidRPr="00E30642">
        <w:rPr>
          <w:rFonts w:asciiTheme="majorBidi" w:eastAsia="Calibri" w:hAnsiTheme="majorBidi" w:cstheme="majorBidi"/>
          <w:b/>
          <w:bCs/>
          <w:sz w:val="24"/>
          <w:szCs w:val="24"/>
        </w:rPr>
        <w:t>Subjects</w:t>
      </w:r>
    </w:p>
    <w:p w14:paraId="1564A335" w14:textId="77777777" w:rsidR="00A31477" w:rsidRDefault="00871AC8" w:rsidP="00E30642">
      <w:pPr>
        <w:autoSpaceDE w:val="0"/>
        <w:autoSpaceDN w:val="0"/>
        <w:adjustRightInd w:val="0"/>
        <w:spacing w:after="0" w:line="360" w:lineRule="auto"/>
        <w:jc w:val="both"/>
        <w:rPr>
          <w:rFonts w:asciiTheme="majorBidi" w:eastAsia="Calibri" w:hAnsiTheme="majorBidi" w:cstheme="majorBidi"/>
          <w:color w:val="000000"/>
          <w:sz w:val="24"/>
          <w:szCs w:val="24"/>
        </w:rPr>
      </w:pPr>
      <w:r w:rsidRPr="00E30642">
        <w:rPr>
          <w:rFonts w:asciiTheme="majorBidi" w:eastAsia="Calibri" w:hAnsiTheme="majorBidi" w:cstheme="majorBidi"/>
          <w:sz w:val="24"/>
          <w:szCs w:val="24"/>
        </w:rPr>
        <w:t>This case-control study was conducted on 2</w:t>
      </w:r>
      <w:r w:rsidR="00B71F9D" w:rsidRPr="00E30642">
        <w:rPr>
          <w:rFonts w:asciiTheme="majorBidi" w:eastAsia="Calibri" w:hAnsiTheme="majorBidi" w:cstheme="majorBidi"/>
          <w:sz w:val="24"/>
          <w:szCs w:val="24"/>
        </w:rPr>
        <w:t>5</w:t>
      </w:r>
      <w:r w:rsidRPr="00E30642">
        <w:rPr>
          <w:rFonts w:asciiTheme="majorBidi" w:eastAsia="Calibri" w:hAnsiTheme="majorBidi" w:cstheme="majorBidi"/>
          <w:sz w:val="24"/>
          <w:szCs w:val="24"/>
        </w:rPr>
        <w:t xml:space="preserve"> adult patients of both sexes with </w:t>
      </w:r>
      <w:r w:rsidR="00B71F9D" w:rsidRPr="00E30642">
        <w:rPr>
          <w:rFonts w:asciiTheme="majorBidi" w:eastAsia="Calibri" w:hAnsiTheme="majorBidi" w:cstheme="majorBidi"/>
          <w:sz w:val="24"/>
          <w:szCs w:val="24"/>
        </w:rPr>
        <w:t>CLL</w:t>
      </w:r>
      <w:r w:rsidR="0047518F">
        <w:rPr>
          <w:rFonts w:asciiTheme="majorBidi" w:eastAsia="Calibri" w:hAnsiTheme="majorBidi" w:cstheme="majorBidi"/>
          <w:sz w:val="24"/>
          <w:szCs w:val="24"/>
        </w:rPr>
        <w:t>, and in</w:t>
      </w:r>
      <w:r w:rsidRPr="00E30642">
        <w:rPr>
          <w:rFonts w:asciiTheme="majorBidi" w:eastAsia="Calibri" w:hAnsiTheme="majorBidi" w:cstheme="majorBidi"/>
          <w:sz w:val="24"/>
          <w:szCs w:val="24"/>
        </w:rPr>
        <w:t xml:space="preserve"> addition to the </w:t>
      </w:r>
      <w:r w:rsidR="00B71F9D" w:rsidRPr="00E30642">
        <w:rPr>
          <w:rFonts w:asciiTheme="majorBidi" w:eastAsia="Calibri" w:hAnsiTheme="majorBidi" w:cstheme="majorBidi"/>
          <w:sz w:val="24"/>
          <w:szCs w:val="24"/>
        </w:rPr>
        <w:t>25</w:t>
      </w:r>
      <w:r w:rsidRPr="00E30642">
        <w:rPr>
          <w:rFonts w:asciiTheme="majorBidi" w:eastAsia="Calibri" w:hAnsiTheme="majorBidi" w:cstheme="majorBidi"/>
          <w:sz w:val="24"/>
          <w:szCs w:val="24"/>
        </w:rPr>
        <w:t xml:space="preserve"> healthy control individuals,</w:t>
      </w:r>
      <w:r w:rsidRPr="00E30642">
        <w:rPr>
          <w:rFonts w:asciiTheme="majorBidi" w:eastAsia="Calibri" w:hAnsiTheme="majorBidi" w:cstheme="majorBidi"/>
          <w:color w:val="000000"/>
          <w:sz w:val="24"/>
          <w:szCs w:val="24"/>
        </w:rPr>
        <w:t xml:space="preserve">' </w:t>
      </w:r>
      <w:r w:rsidR="0047518F">
        <w:rPr>
          <w:rFonts w:asciiTheme="majorBidi" w:eastAsia="Calibri" w:hAnsiTheme="majorBidi" w:cstheme="majorBidi"/>
          <w:color w:val="000000"/>
          <w:sz w:val="24"/>
          <w:szCs w:val="24"/>
        </w:rPr>
        <w:t xml:space="preserve">the </w:t>
      </w:r>
      <w:r w:rsidRPr="00E30642">
        <w:rPr>
          <w:rFonts w:asciiTheme="majorBidi" w:eastAsia="Calibri" w:hAnsiTheme="majorBidi" w:cstheme="majorBidi"/>
          <w:color w:val="000000"/>
          <w:sz w:val="24"/>
          <w:szCs w:val="24"/>
        </w:rPr>
        <w:t xml:space="preserve">age and </w:t>
      </w:r>
      <w:r w:rsidR="004149D2">
        <w:rPr>
          <w:rFonts w:asciiTheme="majorBidi" w:eastAsia="Calibri" w:hAnsiTheme="majorBidi" w:cstheme="majorBidi"/>
          <w:color w:val="000000"/>
          <w:sz w:val="24"/>
          <w:szCs w:val="24"/>
        </w:rPr>
        <w:t>sex matched</w:t>
      </w:r>
      <w:r w:rsidRPr="00E30642">
        <w:rPr>
          <w:rFonts w:asciiTheme="majorBidi" w:eastAsia="Calibri" w:hAnsiTheme="majorBidi" w:cstheme="majorBidi"/>
          <w:color w:val="000000"/>
          <w:sz w:val="24"/>
          <w:szCs w:val="24"/>
        </w:rPr>
        <w:t xml:space="preserve"> the cases. </w:t>
      </w:r>
      <w:r w:rsidR="007947AC" w:rsidRPr="00E30642">
        <w:rPr>
          <w:rFonts w:asciiTheme="majorBidi" w:eastAsia="Calibri" w:hAnsiTheme="majorBidi" w:cstheme="majorBidi"/>
          <w:sz w:val="24"/>
          <w:szCs w:val="24"/>
        </w:rPr>
        <w:t>The diagnosis of CLL was based on current WHO guidelines [1</w:t>
      </w:r>
      <w:r w:rsidR="002035C4">
        <w:rPr>
          <w:rFonts w:asciiTheme="majorBidi" w:eastAsia="Calibri" w:hAnsiTheme="majorBidi" w:cstheme="majorBidi"/>
          <w:sz w:val="24"/>
          <w:szCs w:val="24"/>
        </w:rPr>
        <w:t>1</w:t>
      </w:r>
      <w:r w:rsidR="007947AC" w:rsidRPr="00E30642">
        <w:rPr>
          <w:rFonts w:asciiTheme="majorBidi" w:eastAsia="Calibri" w:hAnsiTheme="majorBidi" w:cstheme="majorBidi"/>
          <w:sz w:val="24"/>
          <w:szCs w:val="24"/>
        </w:rPr>
        <w:t>]</w:t>
      </w:r>
      <w:r w:rsidRPr="00E30642">
        <w:rPr>
          <w:rFonts w:asciiTheme="majorBidi" w:eastAsia="Calibri" w:hAnsiTheme="majorBidi" w:cstheme="majorBidi"/>
          <w:sz w:val="24"/>
          <w:szCs w:val="24"/>
        </w:rPr>
        <w:t>.</w:t>
      </w:r>
      <w:r w:rsidRPr="00E30642">
        <w:rPr>
          <w:rFonts w:asciiTheme="majorBidi" w:hAnsiTheme="majorBidi" w:cstheme="majorBidi"/>
          <w:sz w:val="24"/>
          <w:szCs w:val="24"/>
        </w:rPr>
        <w:t xml:space="preserve"> </w:t>
      </w:r>
      <w:r w:rsidR="007947AC" w:rsidRPr="00E30642">
        <w:rPr>
          <w:rFonts w:asciiTheme="majorBidi" w:hAnsiTheme="majorBidi" w:cstheme="majorBidi"/>
          <w:sz w:val="24"/>
          <w:szCs w:val="24"/>
        </w:rPr>
        <w:t xml:space="preserve">Among CLL, we selected 18 Egyptian patients (72%) </w:t>
      </w:r>
      <w:r w:rsidR="0047518F">
        <w:rPr>
          <w:rFonts w:asciiTheme="majorBidi" w:hAnsiTheme="majorBidi" w:cstheme="majorBidi"/>
          <w:sz w:val="24"/>
          <w:szCs w:val="24"/>
        </w:rPr>
        <w:t xml:space="preserve">who were </w:t>
      </w:r>
      <w:r w:rsidR="007947AC" w:rsidRPr="00E30642">
        <w:rPr>
          <w:rFonts w:asciiTheme="majorBidi" w:hAnsiTheme="majorBidi" w:cstheme="majorBidi"/>
          <w:sz w:val="24"/>
          <w:szCs w:val="24"/>
        </w:rPr>
        <w:t xml:space="preserve">either newly diagnosed </w:t>
      </w:r>
      <w:r w:rsidR="0047518F">
        <w:rPr>
          <w:rFonts w:asciiTheme="majorBidi" w:hAnsiTheme="majorBidi" w:cstheme="majorBidi"/>
          <w:sz w:val="24"/>
          <w:szCs w:val="24"/>
        </w:rPr>
        <w:t xml:space="preserve">with </w:t>
      </w:r>
      <w:r w:rsidR="007947AC" w:rsidRPr="00E30642">
        <w:rPr>
          <w:rFonts w:asciiTheme="majorBidi" w:hAnsiTheme="majorBidi" w:cstheme="majorBidi"/>
          <w:sz w:val="24"/>
          <w:szCs w:val="24"/>
        </w:rPr>
        <w:t>CLL or in the “watch and wait” phase</w:t>
      </w:r>
      <w:r w:rsidR="0047518F">
        <w:rPr>
          <w:rFonts w:asciiTheme="majorBidi" w:hAnsiTheme="majorBidi" w:cstheme="majorBidi"/>
          <w:sz w:val="24"/>
          <w:szCs w:val="24"/>
        </w:rPr>
        <w:t>. Those</w:t>
      </w:r>
      <w:r w:rsidR="00D02517" w:rsidRPr="00E30642">
        <w:rPr>
          <w:rFonts w:asciiTheme="majorBidi" w:hAnsiTheme="majorBidi" w:cstheme="majorBidi"/>
          <w:sz w:val="24"/>
          <w:szCs w:val="24"/>
        </w:rPr>
        <w:t xml:space="preserve"> patients were assigned to wait and see strategy and were monitored periodically every </w:t>
      </w:r>
      <w:r w:rsidR="0047518F">
        <w:rPr>
          <w:rFonts w:asciiTheme="majorBidi" w:hAnsiTheme="majorBidi" w:cstheme="majorBidi"/>
          <w:sz w:val="24"/>
          <w:szCs w:val="24"/>
        </w:rPr>
        <w:t>three</w:t>
      </w:r>
      <w:r w:rsidR="00D02517" w:rsidRPr="00E30642">
        <w:rPr>
          <w:rFonts w:asciiTheme="majorBidi" w:hAnsiTheme="majorBidi" w:cstheme="majorBidi"/>
          <w:sz w:val="24"/>
          <w:szCs w:val="24"/>
        </w:rPr>
        <w:t xml:space="preserve"> months for disease progression. Interestingly</w:t>
      </w:r>
      <w:r w:rsidR="00912C19">
        <w:rPr>
          <w:rFonts w:asciiTheme="majorBidi" w:hAnsiTheme="majorBidi" w:cstheme="majorBidi"/>
          <w:sz w:val="24"/>
          <w:szCs w:val="24"/>
        </w:rPr>
        <w:t>,</w:t>
      </w:r>
      <w:r w:rsidR="007947AC" w:rsidRPr="00E30642">
        <w:rPr>
          <w:rFonts w:asciiTheme="majorBidi" w:hAnsiTheme="majorBidi" w:cstheme="majorBidi"/>
          <w:sz w:val="24"/>
          <w:szCs w:val="24"/>
        </w:rPr>
        <w:t xml:space="preserve"> </w:t>
      </w:r>
      <w:r w:rsidR="00D02517" w:rsidRPr="00E30642">
        <w:rPr>
          <w:rFonts w:asciiTheme="majorBidi" w:hAnsiTheme="majorBidi" w:cstheme="majorBidi"/>
          <w:sz w:val="24"/>
          <w:szCs w:val="24"/>
        </w:rPr>
        <w:t>seven Egyptian</w:t>
      </w:r>
      <w:r w:rsidR="007947AC" w:rsidRPr="00E30642">
        <w:rPr>
          <w:rFonts w:asciiTheme="majorBidi" w:hAnsiTheme="majorBidi" w:cstheme="majorBidi"/>
          <w:sz w:val="24"/>
          <w:szCs w:val="24"/>
        </w:rPr>
        <w:t xml:space="preserve"> </w:t>
      </w:r>
      <w:r w:rsidR="00D02517" w:rsidRPr="00E30642">
        <w:rPr>
          <w:rFonts w:asciiTheme="majorBidi" w:hAnsiTheme="majorBidi" w:cstheme="majorBidi"/>
          <w:sz w:val="24"/>
          <w:szCs w:val="24"/>
        </w:rPr>
        <w:t>patients (</w:t>
      </w:r>
      <w:r w:rsidR="007947AC" w:rsidRPr="00E30642">
        <w:rPr>
          <w:rFonts w:asciiTheme="majorBidi" w:hAnsiTheme="majorBidi" w:cstheme="majorBidi"/>
          <w:sz w:val="24"/>
          <w:szCs w:val="24"/>
        </w:rPr>
        <w:t xml:space="preserve">28%) </w:t>
      </w:r>
      <w:r w:rsidR="00D02517" w:rsidRPr="00E30642">
        <w:rPr>
          <w:rFonts w:asciiTheme="majorBidi" w:hAnsiTheme="majorBidi" w:cstheme="majorBidi"/>
          <w:sz w:val="24"/>
          <w:szCs w:val="24"/>
        </w:rPr>
        <w:t xml:space="preserve">were indicated for </w:t>
      </w:r>
      <w:r w:rsidR="00FD4062" w:rsidRPr="00E30642">
        <w:rPr>
          <w:rFonts w:asciiTheme="majorBidi" w:hAnsiTheme="majorBidi" w:cstheme="majorBidi"/>
          <w:sz w:val="24"/>
          <w:szCs w:val="24"/>
        </w:rPr>
        <w:t>therapy. The</w:t>
      </w:r>
      <w:r w:rsidR="00D02517" w:rsidRPr="00E30642">
        <w:rPr>
          <w:rFonts w:asciiTheme="majorBidi" w:hAnsiTheme="majorBidi" w:cstheme="majorBidi"/>
          <w:sz w:val="24"/>
          <w:szCs w:val="24"/>
        </w:rPr>
        <w:t xml:space="preserve"> treatment modalities included FCR. (Fludarabine, cyclophosphamide, and rituximab) </w:t>
      </w:r>
      <w:r w:rsidR="0047518F">
        <w:rPr>
          <w:rFonts w:asciiTheme="majorBidi" w:hAnsiTheme="majorBidi" w:cstheme="majorBidi"/>
          <w:sz w:val="24"/>
          <w:szCs w:val="24"/>
        </w:rPr>
        <w:t>And</w:t>
      </w:r>
      <w:r w:rsidR="00D02517" w:rsidRPr="00E30642">
        <w:rPr>
          <w:rFonts w:asciiTheme="majorBidi" w:hAnsiTheme="majorBidi" w:cstheme="majorBidi"/>
          <w:sz w:val="24"/>
          <w:szCs w:val="24"/>
        </w:rPr>
        <w:t xml:space="preserve"> ibrutinib</w:t>
      </w:r>
      <w:r w:rsidR="00FD4062" w:rsidRPr="00E30642">
        <w:rPr>
          <w:rFonts w:asciiTheme="majorBidi" w:hAnsiTheme="majorBidi" w:cstheme="majorBidi"/>
          <w:sz w:val="24"/>
          <w:szCs w:val="24"/>
        </w:rPr>
        <w:t xml:space="preserve"> and the r</w:t>
      </w:r>
      <w:r w:rsidR="00D02517" w:rsidRPr="00E30642">
        <w:rPr>
          <w:rFonts w:asciiTheme="majorBidi" w:hAnsiTheme="majorBidi" w:cstheme="majorBidi"/>
          <w:sz w:val="24"/>
          <w:szCs w:val="24"/>
        </w:rPr>
        <w:t xml:space="preserve">esponse to treatment </w:t>
      </w:r>
      <w:r w:rsidR="0047518F">
        <w:rPr>
          <w:rFonts w:asciiTheme="majorBidi" w:hAnsiTheme="majorBidi" w:cstheme="majorBidi"/>
          <w:sz w:val="24"/>
          <w:szCs w:val="24"/>
        </w:rPr>
        <w:t>were</w:t>
      </w:r>
      <w:r w:rsidR="00D02517" w:rsidRPr="00E30642">
        <w:rPr>
          <w:rFonts w:asciiTheme="majorBidi" w:hAnsiTheme="majorBidi" w:cstheme="majorBidi"/>
          <w:sz w:val="24"/>
          <w:szCs w:val="24"/>
        </w:rPr>
        <w:t xml:space="preserve"> assessed according to IWCLL [1</w:t>
      </w:r>
      <w:r w:rsidR="002035C4">
        <w:rPr>
          <w:rFonts w:asciiTheme="majorBidi" w:hAnsiTheme="majorBidi" w:cstheme="majorBidi"/>
          <w:sz w:val="24"/>
          <w:szCs w:val="24"/>
        </w:rPr>
        <w:t>1</w:t>
      </w:r>
      <w:r w:rsidR="00727817" w:rsidRPr="00E30642">
        <w:rPr>
          <w:rFonts w:asciiTheme="majorBidi" w:hAnsiTheme="majorBidi" w:cstheme="majorBidi"/>
          <w:sz w:val="24"/>
          <w:szCs w:val="24"/>
        </w:rPr>
        <w:t>]. The</w:t>
      </w:r>
      <w:r w:rsidR="00FD4062" w:rsidRPr="00E30642">
        <w:rPr>
          <w:rFonts w:asciiTheme="majorBidi" w:hAnsiTheme="majorBidi" w:cstheme="majorBidi"/>
          <w:sz w:val="24"/>
          <w:szCs w:val="24"/>
        </w:rPr>
        <w:t xml:space="preserve"> risk stratification of the patients </w:t>
      </w:r>
      <w:r w:rsidR="00193A8C" w:rsidRPr="00E30642">
        <w:rPr>
          <w:rFonts w:asciiTheme="majorBidi" w:hAnsiTheme="majorBidi" w:cstheme="majorBidi"/>
          <w:sz w:val="24"/>
          <w:szCs w:val="24"/>
        </w:rPr>
        <w:t>was</w:t>
      </w:r>
      <w:r w:rsidR="00FD4062" w:rsidRPr="00E30642">
        <w:rPr>
          <w:rFonts w:asciiTheme="majorBidi" w:hAnsiTheme="majorBidi" w:cstheme="majorBidi"/>
          <w:sz w:val="24"/>
          <w:szCs w:val="24"/>
        </w:rPr>
        <w:t xml:space="preserve"> done according to </w:t>
      </w:r>
      <w:r w:rsidR="00D02517" w:rsidRPr="00E30642">
        <w:rPr>
          <w:rFonts w:asciiTheme="majorBidi" w:hAnsiTheme="majorBidi" w:cstheme="majorBidi"/>
          <w:sz w:val="24"/>
          <w:szCs w:val="24"/>
        </w:rPr>
        <w:t>modified Rai and Binet staging systems.</w:t>
      </w:r>
      <w:r w:rsidRPr="00E30642">
        <w:rPr>
          <w:rFonts w:asciiTheme="majorBidi" w:eastAsia="Calibri" w:hAnsiTheme="majorBidi" w:cstheme="majorBidi"/>
          <w:sz w:val="24"/>
          <w:szCs w:val="24"/>
        </w:rPr>
        <w:t xml:space="preserve"> The Ethics Committee of the Faculty of Medicine, Zagazig University</w:t>
      </w:r>
      <w:r w:rsidR="0047518F">
        <w:rPr>
          <w:rFonts w:asciiTheme="majorBidi" w:eastAsia="Calibri" w:hAnsiTheme="majorBidi" w:cstheme="majorBidi"/>
          <w:sz w:val="24"/>
          <w:szCs w:val="24"/>
        </w:rPr>
        <w:t>,</w:t>
      </w:r>
      <w:r w:rsidRPr="00E30642">
        <w:rPr>
          <w:rFonts w:asciiTheme="majorBidi" w:eastAsia="Calibri" w:hAnsiTheme="majorBidi" w:cstheme="majorBidi"/>
          <w:sz w:val="24"/>
          <w:szCs w:val="24"/>
        </w:rPr>
        <w:t xml:space="preserve"> approved the </w:t>
      </w:r>
      <w:r w:rsidR="0047518F">
        <w:rPr>
          <w:rFonts w:asciiTheme="majorBidi" w:eastAsia="Calibri" w:hAnsiTheme="majorBidi" w:cstheme="majorBidi"/>
          <w:sz w:val="24"/>
          <w:szCs w:val="24"/>
        </w:rPr>
        <w:t>study protocol</w:t>
      </w:r>
      <w:r w:rsidRPr="00E30642">
        <w:rPr>
          <w:rFonts w:asciiTheme="majorBidi" w:eastAsia="Calibri" w:hAnsiTheme="majorBidi" w:cstheme="majorBidi"/>
          <w:sz w:val="24"/>
          <w:szCs w:val="24"/>
        </w:rPr>
        <w:t xml:space="preserve"> with (IRB no. 10213). All participants were assigned informed agreement before their inclusion</w:t>
      </w:r>
      <w:r w:rsidRPr="00E30642">
        <w:rPr>
          <w:rFonts w:asciiTheme="majorBidi" w:eastAsia="Calibri" w:hAnsiTheme="majorBidi" w:cstheme="majorBidi"/>
          <w:color w:val="000000"/>
          <w:sz w:val="24"/>
          <w:szCs w:val="24"/>
        </w:rPr>
        <w:t>. The flow chart of the study is demonstrated in figure 1</w:t>
      </w:r>
      <w:r w:rsidR="00A31477">
        <w:rPr>
          <w:rFonts w:asciiTheme="majorBidi" w:eastAsia="Calibri" w:hAnsiTheme="majorBidi" w:cstheme="majorBidi"/>
          <w:color w:val="000000"/>
          <w:sz w:val="24"/>
          <w:szCs w:val="24"/>
        </w:rPr>
        <w:t>.</w:t>
      </w:r>
    </w:p>
    <w:p w14:paraId="094E6D0F" w14:textId="77777777" w:rsidR="00A31477" w:rsidRDefault="00A31477" w:rsidP="00A31477">
      <w:pPr>
        <w:keepNext/>
        <w:autoSpaceDE w:val="0"/>
        <w:autoSpaceDN w:val="0"/>
        <w:adjustRightInd w:val="0"/>
        <w:spacing w:after="0" w:line="360" w:lineRule="auto"/>
        <w:jc w:val="both"/>
      </w:pPr>
      <w:r>
        <w:rPr>
          <w:noProof/>
        </w:rPr>
        <w:drawing>
          <wp:inline distT="0" distB="0" distL="0" distR="0" wp14:anchorId="4B15C04D" wp14:editId="5324CB44">
            <wp:extent cx="5486400" cy="3581400"/>
            <wp:effectExtent l="19050" t="19050" r="19050" b="1905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1"/>
                    <a:stretch>
                      <a:fillRect/>
                    </a:stretch>
                  </pic:blipFill>
                  <pic:spPr>
                    <a:xfrm>
                      <a:off x="0" y="0"/>
                      <a:ext cx="5486400" cy="3581400"/>
                    </a:xfrm>
                    <a:prstGeom prst="rect">
                      <a:avLst/>
                    </a:prstGeom>
                    <a:ln>
                      <a:solidFill>
                        <a:sysClr val="windowText" lastClr="000000"/>
                      </a:solidFill>
                    </a:ln>
                  </pic:spPr>
                </pic:pic>
              </a:graphicData>
            </a:graphic>
          </wp:inline>
        </w:drawing>
      </w:r>
    </w:p>
    <w:p w14:paraId="36CB84E9" w14:textId="45AFBEAA" w:rsidR="00C04542" w:rsidRPr="00E30642" w:rsidRDefault="00A31477" w:rsidP="00A31477">
      <w:pPr>
        <w:pStyle w:val="Caption"/>
        <w:jc w:val="both"/>
        <w:rPr>
          <w:rFonts w:asciiTheme="majorBidi" w:eastAsia="Calibri" w:hAnsiTheme="majorBidi" w:cstheme="majorBidi"/>
          <w:color w:val="000000"/>
          <w:sz w:val="24"/>
          <w:szCs w:val="24"/>
        </w:rPr>
      </w:pPr>
      <w:r>
        <w:t xml:space="preserve">Fig </w:t>
      </w:r>
      <w:fldSimple w:instr=" SEQ Figure \* ARABIC ">
        <w:r w:rsidR="009505D9">
          <w:rPr>
            <w:noProof/>
          </w:rPr>
          <w:t>1</w:t>
        </w:r>
      </w:fldSimple>
      <w:r>
        <w:t xml:space="preserve">. </w:t>
      </w:r>
      <w:r w:rsidRPr="00A31477">
        <w:rPr>
          <w:b/>
          <w:bCs/>
        </w:rPr>
        <w:t>Flowchart of the study</w:t>
      </w:r>
      <w:r>
        <w:rPr>
          <w:b/>
          <w:bCs/>
        </w:rPr>
        <w:t>.</w:t>
      </w:r>
    </w:p>
    <w:p w14:paraId="38B6A47A" w14:textId="5BAA455C" w:rsidR="00C04542" w:rsidRPr="00E30642" w:rsidRDefault="00871AC8" w:rsidP="00E30642">
      <w:pPr>
        <w:autoSpaceDE w:val="0"/>
        <w:autoSpaceDN w:val="0"/>
        <w:adjustRightInd w:val="0"/>
        <w:spacing w:after="0" w:line="360" w:lineRule="auto"/>
        <w:jc w:val="both"/>
        <w:rPr>
          <w:rFonts w:asciiTheme="majorBidi" w:eastAsia="Calibri" w:hAnsiTheme="majorBidi" w:cstheme="majorBidi"/>
          <w:b/>
          <w:bCs/>
          <w:sz w:val="24"/>
          <w:szCs w:val="24"/>
        </w:rPr>
      </w:pPr>
      <w:r w:rsidRPr="00E30642">
        <w:rPr>
          <w:rFonts w:asciiTheme="majorBidi" w:eastAsia="Calibri" w:hAnsiTheme="majorBidi" w:cstheme="majorBidi"/>
          <w:b/>
          <w:bCs/>
          <w:sz w:val="24"/>
          <w:szCs w:val="24"/>
        </w:rPr>
        <w:t>Laboratory tests</w:t>
      </w:r>
    </w:p>
    <w:p w14:paraId="51D0C13F" w14:textId="333ECC52" w:rsidR="00C04542" w:rsidRPr="00E30642" w:rsidRDefault="00871AC8" w:rsidP="00E30642">
      <w:pPr>
        <w:autoSpaceDE w:val="0"/>
        <w:autoSpaceDN w:val="0"/>
        <w:adjustRightInd w:val="0"/>
        <w:spacing w:after="0" w:line="360" w:lineRule="auto"/>
        <w:ind w:firstLine="720"/>
        <w:jc w:val="both"/>
        <w:rPr>
          <w:rFonts w:asciiTheme="majorBidi" w:eastAsia="Calibri" w:hAnsiTheme="majorBidi" w:cstheme="majorBidi"/>
          <w:sz w:val="24"/>
          <w:szCs w:val="24"/>
        </w:rPr>
      </w:pPr>
      <w:r w:rsidRPr="00E30642">
        <w:rPr>
          <w:rFonts w:asciiTheme="majorBidi" w:eastAsia="Calibri" w:hAnsiTheme="majorBidi" w:cstheme="majorBidi"/>
          <w:sz w:val="24"/>
          <w:szCs w:val="24"/>
        </w:rPr>
        <w:t xml:space="preserve">Blood samples were </w:t>
      </w:r>
      <w:r w:rsidR="00193A8C" w:rsidRPr="00E30642">
        <w:rPr>
          <w:rFonts w:asciiTheme="majorBidi" w:eastAsia="Calibri" w:hAnsiTheme="majorBidi" w:cstheme="majorBidi"/>
          <w:sz w:val="24"/>
          <w:szCs w:val="24"/>
        </w:rPr>
        <w:t xml:space="preserve">taken </w:t>
      </w:r>
      <w:r w:rsidRPr="00E30642">
        <w:rPr>
          <w:rFonts w:asciiTheme="majorBidi" w:eastAsia="Calibri" w:hAnsiTheme="majorBidi" w:cstheme="majorBidi"/>
          <w:sz w:val="24"/>
          <w:szCs w:val="24"/>
        </w:rPr>
        <w:t xml:space="preserve">from all </w:t>
      </w:r>
      <w:r w:rsidR="0047518F" w:rsidRPr="0047518F">
        <w:rPr>
          <w:rFonts w:asciiTheme="majorBidi" w:eastAsia="Calibri" w:hAnsiTheme="majorBidi" w:cstheme="majorBidi"/>
          <w:sz w:val="24"/>
          <w:szCs w:val="24"/>
        </w:rPr>
        <w:t>registered participants from the Departments of Internal medicine, Clinical Oncology, Nuclear Medicine, and Tropical Medicine. Testing</w:t>
      </w:r>
      <w:r w:rsidRPr="00E30642">
        <w:rPr>
          <w:rFonts w:asciiTheme="majorBidi" w:eastAsia="Calibri" w:hAnsiTheme="majorBidi" w:cstheme="majorBidi"/>
          <w:sz w:val="24"/>
          <w:szCs w:val="24"/>
        </w:rPr>
        <w:t xml:space="preserve"> was done according to operating techniques in Zagazig university hospital and Medical Biochemistry laboratories</w:t>
      </w:r>
      <w:r w:rsidR="004149D2">
        <w:rPr>
          <w:rFonts w:asciiTheme="majorBidi" w:eastAsia="Calibri" w:hAnsiTheme="majorBidi" w:cstheme="majorBidi"/>
          <w:sz w:val="24"/>
          <w:szCs w:val="24"/>
        </w:rPr>
        <w:t>,</w:t>
      </w:r>
      <w:r w:rsidRPr="00E30642">
        <w:rPr>
          <w:rFonts w:asciiTheme="majorBidi" w:eastAsia="Calibri" w:hAnsiTheme="majorBidi" w:cstheme="majorBidi"/>
          <w:sz w:val="24"/>
          <w:szCs w:val="24"/>
        </w:rPr>
        <w:t xml:space="preserve"> as shown in figure1.</w:t>
      </w:r>
    </w:p>
    <w:p w14:paraId="5092816D" w14:textId="04D4F273" w:rsidR="00C04542" w:rsidRPr="00E30642" w:rsidRDefault="00871AC8" w:rsidP="00E30642">
      <w:pPr>
        <w:autoSpaceDE w:val="0"/>
        <w:autoSpaceDN w:val="0"/>
        <w:adjustRightInd w:val="0"/>
        <w:spacing w:after="0" w:line="360" w:lineRule="auto"/>
        <w:jc w:val="both"/>
        <w:rPr>
          <w:rFonts w:asciiTheme="majorBidi" w:eastAsia="Calibri" w:hAnsiTheme="majorBidi" w:cstheme="majorBidi"/>
          <w:b/>
          <w:bCs/>
          <w:sz w:val="24"/>
          <w:szCs w:val="24"/>
        </w:rPr>
      </w:pPr>
      <w:bookmarkStart w:id="10" w:name="_Hlk117549319"/>
      <w:r w:rsidRPr="00E30642">
        <w:rPr>
          <w:rFonts w:asciiTheme="majorBidi" w:eastAsia="Calibri" w:hAnsiTheme="majorBidi" w:cstheme="majorBidi"/>
          <w:b/>
          <w:bCs/>
          <w:sz w:val="24"/>
          <w:szCs w:val="24"/>
        </w:rPr>
        <w:t xml:space="preserve">miR-150 expression </w:t>
      </w:r>
      <w:bookmarkEnd w:id="10"/>
      <w:r w:rsidRPr="00E30642">
        <w:rPr>
          <w:rFonts w:asciiTheme="majorBidi" w:eastAsia="Calibri" w:hAnsiTheme="majorBidi" w:cstheme="majorBidi"/>
          <w:b/>
          <w:bCs/>
          <w:sz w:val="24"/>
          <w:szCs w:val="24"/>
        </w:rPr>
        <w:t xml:space="preserve">levels by real-time PCR </w:t>
      </w:r>
    </w:p>
    <w:p w14:paraId="57A4DC5A" w14:textId="78FBB0D5" w:rsidR="00751498" w:rsidRPr="00E30642" w:rsidRDefault="0047518F" w:rsidP="00E30642">
      <w:pPr>
        <w:spacing w:after="200" w:line="360" w:lineRule="auto"/>
        <w:jc w:val="both"/>
        <w:rPr>
          <w:rFonts w:asciiTheme="majorBidi" w:eastAsia="Calibri" w:hAnsiTheme="majorBidi" w:cstheme="majorBidi"/>
          <w:sz w:val="24"/>
          <w:szCs w:val="24"/>
          <w:rtl/>
        </w:rPr>
      </w:pPr>
      <w:r w:rsidRPr="0047518F">
        <w:rPr>
          <w:rFonts w:asciiTheme="majorBidi" w:eastAsia="Calibri" w:hAnsiTheme="majorBidi" w:cstheme="majorBidi"/>
          <w:sz w:val="24"/>
          <w:szCs w:val="24"/>
        </w:rPr>
        <w:t>According to the company's instructions, the RNA was extracted from EDTA peripheral blood samples</w:t>
      </w:r>
      <w:r w:rsidR="00871AC8" w:rsidRPr="00E30642">
        <w:rPr>
          <w:rFonts w:asciiTheme="majorBidi" w:eastAsia="Calibri" w:hAnsiTheme="majorBidi" w:cstheme="majorBidi"/>
          <w:sz w:val="24"/>
          <w:szCs w:val="24"/>
        </w:rPr>
        <w:t>. The mRNA expression of</w:t>
      </w:r>
      <w:r w:rsidR="00034BBF" w:rsidRPr="00E30642">
        <w:rPr>
          <w:rFonts w:asciiTheme="majorBidi" w:hAnsiTheme="majorBidi" w:cstheme="majorBidi"/>
          <w:sz w:val="24"/>
          <w:szCs w:val="24"/>
        </w:rPr>
        <w:t xml:space="preserve"> </w:t>
      </w:r>
      <w:r w:rsidR="00034BBF" w:rsidRPr="00E30642">
        <w:rPr>
          <w:rFonts w:asciiTheme="majorBidi" w:eastAsia="Calibri" w:hAnsiTheme="majorBidi" w:cstheme="majorBidi"/>
          <w:sz w:val="24"/>
          <w:szCs w:val="24"/>
        </w:rPr>
        <w:t>the sequences of primers: miR-150 forward: 5′-GCTCTCCCAACCCTTGTACC -3′, reverse: 5′-GTGCAGGGTCCGAGGT-3</w:t>
      </w:r>
      <w:r w:rsidR="00076522" w:rsidRPr="00076522">
        <w:t xml:space="preserve"> </w:t>
      </w:r>
      <w:r w:rsidR="00B4670C">
        <w:rPr>
          <w:rFonts w:asciiTheme="majorBidi" w:eastAsia="Calibri" w:hAnsiTheme="majorBidi" w:cstheme="majorBidi" w:hint="cs"/>
          <w:sz w:val="24"/>
          <w:szCs w:val="24"/>
        </w:rPr>
        <w:t xml:space="preserve">and </w:t>
      </w:r>
      <w:r w:rsidR="00B4670C" w:rsidRPr="004149D2">
        <w:rPr>
          <w:rFonts w:asciiTheme="majorBidi" w:eastAsia="Calibri" w:hAnsiTheme="majorBidi" w:cstheme="majorBidi" w:hint="cs"/>
          <w:sz w:val="24"/>
          <w:szCs w:val="24"/>
        </w:rPr>
        <w:t>U6</w:t>
      </w:r>
      <w:r w:rsidR="00B4670C">
        <w:rPr>
          <w:rFonts w:asciiTheme="majorBidi" w:eastAsia="Calibri" w:hAnsiTheme="majorBidi" w:cstheme="majorBidi" w:hint="cs"/>
          <w:sz w:val="24"/>
          <w:szCs w:val="24"/>
        </w:rPr>
        <w:t xml:space="preserve"> </w:t>
      </w:r>
      <w:r w:rsidR="00076522" w:rsidRPr="00076522">
        <w:rPr>
          <w:rFonts w:asciiTheme="majorBidi" w:eastAsia="Calibri" w:hAnsiTheme="majorBidi" w:cstheme="majorBidi"/>
          <w:sz w:val="24"/>
          <w:szCs w:val="24"/>
        </w:rPr>
        <w:t>was used as a housekeeping gene</w:t>
      </w:r>
      <w:bookmarkStart w:id="11" w:name="_Hlk128173153"/>
      <w:r>
        <w:rPr>
          <w:rFonts w:asciiTheme="majorBidi" w:eastAsia="Calibri" w:hAnsiTheme="majorBidi" w:cstheme="majorBidi"/>
          <w:sz w:val="24"/>
          <w:szCs w:val="24"/>
        </w:rPr>
        <w:t>; the</w:t>
      </w:r>
      <w:r w:rsidR="00444FDA" w:rsidRPr="004149D2">
        <w:rPr>
          <w:rFonts w:asciiTheme="majorBidi" w:eastAsia="Calibri" w:hAnsiTheme="majorBidi" w:cstheme="majorBidi"/>
          <w:sz w:val="24"/>
          <w:szCs w:val="24"/>
        </w:rPr>
        <w:t xml:space="preserve"> relative</w:t>
      </w:r>
      <w:r w:rsidR="004149D2" w:rsidRPr="004149D2">
        <w:rPr>
          <w:rFonts w:asciiTheme="majorBidi" w:eastAsia="Calibri" w:hAnsiTheme="majorBidi" w:cstheme="majorBidi"/>
          <w:sz w:val="24"/>
          <w:szCs w:val="24"/>
        </w:rPr>
        <w:t xml:space="preserve"> </w:t>
      </w:r>
      <w:r w:rsidR="00076522" w:rsidRPr="004149D2">
        <w:rPr>
          <w:rFonts w:asciiTheme="majorBidi" w:eastAsia="Calibri" w:hAnsiTheme="majorBidi" w:cstheme="majorBidi"/>
          <w:sz w:val="24"/>
          <w:szCs w:val="24"/>
        </w:rPr>
        <w:t>expression level was determined using the 2</w:t>
      </w:r>
      <w:r w:rsidR="00881138" w:rsidRPr="004149D2">
        <w:rPr>
          <w:rFonts w:asciiTheme="majorBidi" w:eastAsia="Calibri" w:hAnsiTheme="majorBidi" w:cstheme="majorBidi" w:hint="cs"/>
          <w:sz w:val="24"/>
          <w:szCs w:val="24"/>
        </w:rPr>
        <w:t>-</w:t>
      </w:r>
      <w:r w:rsidR="00076522" w:rsidRPr="004149D2">
        <w:rPr>
          <w:rFonts w:asciiTheme="majorBidi" w:eastAsia="Calibri" w:hAnsiTheme="majorBidi" w:cstheme="majorBidi"/>
          <w:sz w:val="24"/>
          <w:szCs w:val="24"/>
        </w:rPr>
        <w:t>ΔΔCT</w:t>
      </w:r>
      <w:r w:rsidR="00076522" w:rsidRPr="005B457A">
        <w:rPr>
          <w:rFonts w:asciiTheme="majorBidi" w:eastAsia="Calibri" w:hAnsiTheme="majorBidi" w:cstheme="majorBidi"/>
          <w:sz w:val="24"/>
          <w:szCs w:val="24"/>
        </w:rPr>
        <w:t xml:space="preserve"> method</w:t>
      </w:r>
      <w:r w:rsidR="00076522" w:rsidRPr="004149D2">
        <w:rPr>
          <w:rFonts w:asciiTheme="majorBidi" w:eastAsia="Calibri" w:hAnsiTheme="majorBidi" w:cstheme="majorBidi"/>
          <w:sz w:val="24"/>
          <w:szCs w:val="24"/>
        </w:rPr>
        <w:t>.</w:t>
      </w:r>
    </w:p>
    <w:bookmarkEnd w:id="11"/>
    <w:p w14:paraId="72347268" w14:textId="2BA13CF3" w:rsidR="00B1280C" w:rsidRPr="00E30642" w:rsidRDefault="00871AC8" w:rsidP="00E30642">
      <w:pPr>
        <w:spacing w:line="360" w:lineRule="auto"/>
        <w:rPr>
          <w:rFonts w:asciiTheme="majorBidi" w:hAnsiTheme="majorBidi" w:cstheme="majorBidi"/>
          <w:b/>
          <w:bCs/>
          <w:sz w:val="24"/>
          <w:szCs w:val="24"/>
          <w:lang w:bidi="ar-EG"/>
        </w:rPr>
      </w:pPr>
      <w:r w:rsidRPr="00E30642">
        <w:rPr>
          <w:rFonts w:asciiTheme="majorBidi" w:hAnsiTheme="majorBidi" w:cstheme="majorBidi"/>
          <w:b/>
          <w:bCs/>
          <w:sz w:val="24"/>
          <w:szCs w:val="24"/>
          <w:lang w:bidi="ar-EG"/>
        </w:rPr>
        <w:t>Statistical analysis</w:t>
      </w:r>
    </w:p>
    <w:p w14:paraId="21BA2853" w14:textId="6ABBDAAE" w:rsidR="00193A8C" w:rsidRPr="00E30642" w:rsidRDefault="00871AC8" w:rsidP="00774B3B">
      <w:pPr>
        <w:spacing w:line="360" w:lineRule="auto"/>
        <w:jc w:val="both"/>
        <w:rPr>
          <w:rFonts w:asciiTheme="majorBidi" w:hAnsiTheme="majorBidi" w:cstheme="majorBidi"/>
          <w:sz w:val="24"/>
          <w:szCs w:val="24"/>
          <w:lang w:bidi="ar-EG"/>
        </w:rPr>
      </w:pPr>
      <w:r w:rsidRPr="00E30642">
        <w:rPr>
          <w:rFonts w:asciiTheme="majorBidi" w:hAnsiTheme="majorBidi" w:cstheme="majorBidi"/>
          <w:sz w:val="24"/>
          <w:szCs w:val="24"/>
          <w:lang w:bidi="ar-EG"/>
        </w:rPr>
        <w:t>Statistical analyses were performed by SPSS-26 (SPSS Inc, United States). Mean ± SD, or median</w:t>
      </w:r>
      <w:r w:rsidR="0047518F">
        <w:rPr>
          <w:rFonts w:asciiTheme="majorBidi" w:hAnsiTheme="majorBidi" w:cstheme="majorBidi"/>
          <w:sz w:val="24"/>
          <w:szCs w:val="24"/>
          <w:lang w:bidi="ar-EG"/>
        </w:rPr>
        <w:t>,</w:t>
      </w:r>
      <w:r w:rsidRPr="00E30642">
        <w:rPr>
          <w:rFonts w:asciiTheme="majorBidi" w:hAnsiTheme="majorBidi" w:cstheme="majorBidi"/>
          <w:sz w:val="24"/>
          <w:szCs w:val="24"/>
          <w:lang w:bidi="ar-EG"/>
        </w:rPr>
        <w:t xml:space="preserve"> was used to express all the data in this study. A chi-square test was used for categorical variables to compare different groups.</w:t>
      </w:r>
      <w:r w:rsidRPr="00E30642">
        <w:rPr>
          <w:rFonts w:asciiTheme="majorBidi" w:hAnsiTheme="majorBidi" w:cstheme="majorBidi"/>
          <w:sz w:val="24"/>
          <w:szCs w:val="24"/>
        </w:rPr>
        <w:t xml:space="preserve"> </w:t>
      </w:r>
      <w:r w:rsidRPr="00E30642">
        <w:rPr>
          <w:rFonts w:asciiTheme="majorBidi" w:hAnsiTheme="majorBidi" w:cstheme="majorBidi"/>
          <w:sz w:val="24"/>
          <w:szCs w:val="24"/>
          <w:lang w:bidi="ar-EG"/>
        </w:rPr>
        <w:t xml:space="preserve">Student’s t-test was used for quantitative variables to compare between two studied groups. Analysis for receiver operating characteristic (ROC) with the area under the curve (AUC) was used to evaluate the diagnostic value </w:t>
      </w:r>
      <w:r w:rsidR="00CE1DD4" w:rsidRPr="00E30642">
        <w:rPr>
          <w:rFonts w:asciiTheme="majorBidi" w:hAnsiTheme="majorBidi" w:cstheme="majorBidi"/>
          <w:sz w:val="24"/>
          <w:szCs w:val="24"/>
          <w:lang w:bidi="ar-EG"/>
        </w:rPr>
        <w:t>of miR</w:t>
      </w:r>
      <w:r w:rsidRPr="00E30642">
        <w:rPr>
          <w:rFonts w:asciiTheme="majorBidi" w:hAnsiTheme="majorBidi" w:cstheme="majorBidi"/>
          <w:sz w:val="24"/>
          <w:szCs w:val="24"/>
          <w:lang w:bidi="ar-EG"/>
        </w:rPr>
        <w:t>-150-5 p</w:t>
      </w:r>
      <w:r w:rsidR="0047518F">
        <w:rPr>
          <w:rFonts w:asciiTheme="majorBidi" w:hAnsiTheme="majorBidi" w:cstheme="majorBidi"/>
          <w:sz w:val="24"/>
          <w:szCs w:val="24"/>
          <w:lang w:bidi="ar-EG"/>
        </w:rPr>
        <w:t>.</w:t>
      </w:r>
      <w:r w:rsidRPr="00E30642">
        <w:rPr>
          <w:rFonts w:asciiTheme="majorBidi" w:hAnsiTheme="majorBidi" w:cstheme="majorBidi"/>
          <w:sz w:val="24"/>
          <w:szCs w:val="24"/>
          <w:lang w:bidi="ar-EG"/>
        </w:rPr>
        <w:t xml:space="preserve"> We considered P significant at &lt;0.05 with a 95% confidence interval (CI).</w:t>
      </w:r>
    </w:p>
    <w:p w14:paraId="34ADE228" w14:textId="47EB1CBC" w:rsidR="00C37550" w:rsidRPr="00E30642" w:rsidRDefault="00871AC8" w:rsidP="00E30642">
      <w:pPr>
        <w:spacing w:line="360" w:lineRule="auto"/>
        <w:rPr>
          <w:rFonts w:asciiTheme="majorBidi" w:hAnsiTheme="majorBidi" w:cstheme="majorBidi"/>
          <w:b/>
          <w:bCs/>
          <w:sz w:val="24"/>
          <w:szCs w:val="24"/>
          <w:lang w:bidi="ar-EG"/>
        </w:rPr>
      </w:pPr>
      <w:r w:rsidRPr="00E30642">
        <w:rPr>
          <w:rFonts w:asciiTheme="majorBidi" w:hAnsiTheme="majorBidi" w:cstheme="majorBidi"/>
          <w:b/>
          <w:bCs/>
          <w:sz w:val="24"/>
          <w:szCs w:val="24"/>
          <w:lang w:bidi="ar-EG"/>
        </w:rPr>
        <w:t>Results</w:t>
      </w:r>
    </w:p>
    <w:p w14:paraId="2BBCFF79" w14:textId="2529E08F" w:rsidR="00C37550" w:rsidRDefault="0068137C" w:rsidP="00E30642">
      <w:pPr>
        <w:spacing w:line="360" w:lineRule="auto"/>
        <w:jc w:val="both"/>
        <w:rPr>
          <w:rFonts w:asciiTheme="majorBidi" w:hAnsiTheme="majorBidi" w:cstheme="majorBidi"/>
          <w:sz w:val="24"/>
          <w:szCs w:val="24"/>
          <w:lang w:bidi="ar-EG"/>
        </w:rPr>
      </w:pPr>
      <w:r w:rsidRPr="00E30642">
        <w:rPr>
          <w:rFonts w:asciiTheme="majorBidi" w:hAnsiTheme="majorBidi" w:cstheme="majorBidi"/>
          <w:sz w:val="24"/>
          <w:szCs w:val="24"/>
          <w:lang w:bidi="ar-EG"/>
        </w:rPr>
        <w:t xml:space="preserve">As </w:t>
      </w:r>
      <w:r w:rsidR="00CE1DD4" w:rsidRPr="00E30642">
        <w:rPr>
          <w:rFonts w:asciiTheme="majorBidi" w:hAnsiTheme="majorBidi" w:cstheme="majorBidi"/>
          <w:sz w:val="24"/>
          <w:szCs w:val="24"/>
          <w:lang w:bidi="ar-EG"/>
        </w:rPr>
        <w:t>expected,</w:t>
      </w:r>
      <w:r w:rsidRPr="00E30642">
        <w:rPr>
          <w:rFonts w:asciiTheme="majorBidi" w:hAnsiTheme="majorBidi" w:cstheme="majorBidi"/>
          <w:sz w:val="24"/>
          <w:szCs w:val="24"/>
          <w:lang w:bidi="ar-EG"/>
        </w:rPr>
        <w:t xml:space="preserve"> there were significant differences between </w:t>
      </w:r>
      <w:r w:rsidR="004149D2">
        <w:rPr>
          <w:rFonts w:asciiTheme="majorBidi" w:hAnsiTheme="majorBidi" w:cstheme="majorBidi"/>
          <w:sz w:val="24"/>
          <w:szCs w:val="24"/>
          <w:lang w:bidi="ar-EG"/>
        </w:rPr>
        <w:t xml:space="preserve">the </w:t>
      </w:r>
      <w:r w:rsidRPr="00E30642">
        <w:rPr>
          <w:rFonts w:asciiTheme="majorBidi" w:hAnsiTheme="majorBidi" w:cstheme="majorBidi"/>
          <w:sz w:val="24"/>
          <w:szCs w:val="24"/>
          <w:lang w:bidi="ar-EG"/>
        </w:rPr>
        <w:t xml:space="preserve">studied groups </w:t>
      </w:r>
      <w:r w:rsidR="0047518F" w:rsidRPr="0047518F">
        <w:rPr>
          <w:rFonts w:asciiTheme="majorBidi" w:hAnsiTheme="majorBidi" w:cstheme="majorBidi"/>
          <w:sz w:val="24"/>
          <w:szCs w:val="24"/>
          <w:lang w:bidi="ar-EG"/>
        </w:rPr>
        <w:t>regarding CLL patients' clinical characteristics</w:t>
      </w:r>
      <w:r w:rsidR="004149D2">
        <w:rPr>
          <w:rFonts w:asciiTheme="majorBidi" w:hAnsiTheme="majorBidi" w:cstheme="majorBidi"/>
          <w:sz w:val="24"/>
          <w:szCs w:val="24"/>
          <w:lang w:bidi="ar-EG"/>
        </w:rPr>
        <w:t>,</w:t>
      </w:r>
      <w:r w:rsidRPr="00E30642">
        <w:rPr>
          <w:rFonts w:asciiTheme="majorBidi" w:hAnsiTheme="majorBidi" w:cstheme="majorBidi"/>
          <w:sz w:val="24"/>
          <w:szCs w:val="24"/>
          <w:lang w:bidi="ar-EG"/>
        </w:rPr>
        <w:t xml:space="preserve"> as demonstrated in Table 1</w:t>
      </w:r>
      <w:r w:rsidR="003E72B1">
        <w:rPr>
          <w:rFonts w:asciiTheme="majorBidi" w:hAnsiTheme="majorBidi" w:cstheme="majorBidi"/>
          <w:sz w:val="24"/>
          <w:szCs w:val="24"/>
          <w:lang w:bidi="ar-EG"/>
        </w:rPr>
        <w:t>.</w:t>
      </w:r>
    </w:p>
    <w:p w14:paraId="7F81BF3D" w14:textId="4AB54B38" w:rsidR="00473993" w:rsidRPr="00A1194C" w:rsidRDefault="00473993" w:rsidP="00A1194C">
      <w:pPr>
        <w:pStyle w:val="Caption"/>
        <w:keepNext/>
      </w:pPr>
      <w:r>
        <w:t xml:space="preserve">Table </w:t>
      </w:r>
      <w:fldSimple w:instr=" SEQ Table \* ARABIC ">
        <w:r w:rsidR="009505D9">
          <w:rPr>
            <w:noProof/>
          </w:rPr>
          <w:t>1</w:t>
        </w:r>
      </w:fldSimple>
      <w:r>
        <w:t xml:space="preserve">. </w:t>
      </w:r>
      <w:r w:rsidRPr="00473993">
        <w:rPr>
          <w:lang w:val="en-GB"/>
        </w:rPr>
        <w:t>clinical characteristics of studied patients</w:t>
      </w:r>
      <w:r w:rsidR="00A1194C">
        <w:rPr>
          <w:lang w:val="en-GB"/>
        </w:rPr>
        <w:t>.</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linical characteristics of studied patients"/>
        <w:tblDescription w:val="CLL; chronic Lymphocytic Leukemia, AIHA; autoimmune hemolytic anemia, ITP; immune thrombocytopenia, p value significant when p ≤ 0.05"/>
      </w:tblPr>
      <w:tblGrid>
        <w:gridCol w:w="2601"/>
        <w:gridCol w:w="2704"/>
        <w:gridCol w:w="2880"/>
        <w:gridCol w:w="1260"/>
      </w:tblGrid>
      <w:tr w:rsidR="00473993" w:rsidRPr="004E105A" w14:paraId="2B4B09E4" w14:textId="77777777" w:rsidTr="00B173A2">
        <w:trPr>
          <w:trHeight w:val="431"/>
        </w:trPr>
        <w:tc>
          <w:tcPr>
            <w:tcW w:w="2601" w:type="dxa"/>
            <w:tcBorders>
              <w:top w:val="single" w:sz="4" w:space="0" w:color="auto"/>
              <w:bottom w:val="single" w:sz="4" w:space="0" w:color="auto"/>
            </w:tcBorders>
          </w:tcPr>
          <w:p w14:paraId="45B468FE"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b/>
                <w:bCs/>
                <w:sz w:val="24"/>
                <w:szCs w:val="24"/>
              </w:rPr>
              <w:t xml:space="preserve">Parameters </w:t>
            </w:r>
          </w:p>
        </w:tc>
        <w:tc>
          <w:tcPr>
            <w:tcW w:w="2704" w:type="dxa"/>
            <w:tcBorders>
              <w:top w:val="single" w:sz="4" w:space="0" w:color="auto"/>
              <w:bottom w:val="single" w:sz="4" w:space="0" w:color="auto"/>
            </w:tcBorders>
          </w:tcPr>
          <w:p w14:paraId="352CAA9F" w14:textId="77777777" w:rsidR="00473993" w:rsidRPr="004E105A" w:rsidRDefault="00473993" w:rsidP="00B173A2">
            <w:pPr>
              <w:jc w:val="center"/>
              <w:rPr>
                <w:rFonts w:asciiTheme="majorBidi" w:hAnsiTheme="majorBidi" w:cstheme="majorBidi"/>
                <w:b/>
                <w:bCs/>
                <w:sz w:val="24"/>
                <w:szCs w:val="24"/>
              </w:rPr>
            </w:pPr>
            <w:r w:rsidRPr="004E105A">
              <w:rPr>
                <w:rFonts w:asciiTheme="majorBidi" w:hAnsiTheme="majorBidi" w:cstheme="majorBidi"/>
                <w:b/>
                <w:bCs/>
                <w:sz w:val="24"/>
                <w:szCs w:val="24"/>
              </w:rPr>
              <w:t>Control group, (n=25)</w:t>
            </w:r>
          </w:p>
        </w:tc>
        <w:tc>
          <w:tcPr>
            <w:tcW w:w="2880" w:type="dxa"/>
            <w:tcBorders>
              <w:top w:val="single" w:sz="4" w:space="0" w:color="auto"/>
              <w:bottom w:val="single" w:sz="4" w:space="0" w:color="auto"/>
            </w:tcBorders>
          </w:tcPr>
          <w:p w14:paraId="0D9A6125" w14:textId="77777777" w:rsidR="00473993" w:rsidRPr="004E105A" w:rsidRDefault="00473993" w:rsidP="00B173A2">
            <w:pPr>
              <w:jc w:val="center"/>
              <w:rPr>
                <w:rFonts w:asciiTheme="majorBidi" w:hAnsiTheme="majorBidi" w:cstheme="majorBidi"/>
                <w:b/>
                <w:bCs/>
                <w:sz w:val="24"/>
                <w:szCs w:val="24"/>
              </w:rPr>
            </w:pPr>
            <w:r w:rsidRPr="004E105A">
              <w:rPr>
                <w:rFonts w:asciiTheme="majorBidi" w:hAnsiTheme="majorBidi" w:cstheme="majorBidi"/>
                <w:b/>
                <w:bCs/>
                <w:sz w:val="24"/>
                <w:szCs w:val="24"/>
              </w:rPr>
              <w:t>CLL group, (n=25)</w:t>
            </w:r>
          </w:p>
        </w:tc>
        <w:tc>
          <w:tcPr>
            <w:tcW w:w="1260" w:type="dxa"/>
            <w:tcBorders>
              <w:top w:val="single" w:sz="4" w:space="0" w:color="auto"/>
              <w:bottom w:val="single" w:sz="4" w:space="0" w:color="auto"/>
            </w:tcBorders>
          </w:tcPr>
          <w:p w14:paraId="768D7193"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b/>
                <w:bCs/>
                <w:sz w:val="24"/>
                <w:szCs w:val="24"/>
              </w:rPr>
              <w:t xml:space="preserve">P value </w:t>
            </w:r>
          </w:p>
        </w:tc>
      </w:tr>
      <w:tr w:rsidR="00473993" w:rsidRPr="004E105A" w14:paraId="5CC750A9" w14:textId="77777777" w:rsidTr="00B173A2">
        <w:trPr>
          <w:trHeight w:val="350"/>
        </w:trPr>
        <w:tc>
          <w:tcPr>
            <w:tcW w:w="2601" w:type="dxa"/>
            <w:tcBorders>
              <w:top w:val="single" w:sz="4" w:space="0" w:color="auto"/>
            </w:tcBorders>
          </w:tcPr>
          <w:p w14:paraId="78C74279"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b/>
                <w:bCs/>
                <w:sz w:val="24"/>
                <w:szCs w:val="24"/>
              </w:rPr>
              <w:t>Age (years)</w:t>
            </w:r>
          </w:p>
        </w:tc>
        <w:tc>
          <w:tcPr>
            <w:tcW w:w="2704" w:type="dxa"/>
            <w:tcBorders>
              <w:top w:val="single" w:sz="4" w:space="0" w:color="auto"/>
            </w:tcBorders>
          </w:tcPr>
          <w:p w14:paraId="0F4E0336" w14:textId="77777777" w:rsidR="00473993" w:rsidRPr="004E105A" w:rsidRDefault="00473993" w:rsidP="00B173A2">
            <w:pPr>
              <w:rPr>
                <w:rFonts w:asciiTheme="majorBidi" w:hAnsiTheme="majorBidi" w:cstheme="majorBidi"/>
                <w:sz w:val="24"/>
                <w:szCs w:val="24"/>
              </w:rPr>
            </w:pPr>
            <w:r>
              <w:rPr>
                <w:rFonts w:asciiTheme="majorBidi" w:hAnsiTheme="majorBidi" w:cstheme="majorBidi"/>
                <w:sz w:val="24"/>
                <w:szCs w:val="24"/>
              </w:rPr>
              <w:t>66</w:t>
            </w:r>
            <w:r w:rsidRPr="004E105A">
              <w:rPr>
                <w:rFonts w:asciiTheme="majorBidi" w:hAnsiTheme="majorBidi" w:cstheme="majorBidi"/>
                <w:sz w:val="24"/>
                <w:szCs w:val="24"/>
              </w:rPr>
              <w:t>.</w:t>
            </w:r>
            <w:r>
              <w:rPr>
                <w:rFonts w:asciiTheme="majorBidi" w:hAnsiTheme="majorBidi" w:cstheme="majorBidi"/>
                <w:sz w:val="24"/>
                <w:szCs w:val="24"/>
              </w:rPr>
              <w:t>8</w:t>
            </w:r>
            <w:r w:rsidRPr="004E105A">
              <w:rPr>
                <w:rFonts w:asciiTheme="majorBidi" w:hAnsiTheme="majorBidi" w:cstheme="majorBidi"/>
                <w:sz w:val="24"/>
                <w:szCs w:val="24"/>
              </w:rPr>
              <w:t>6±</w:t>
            </w:r>
            <w:r>
              <w:rPr>
                <w:rFonts w:asciiTheme="majorBidi" w:hAnsiTheme="majorBidi" w:cstheme="majorBidi"/>
                <w:sz w:val="24"/>
                <w:szCs w:val="24"/>
              </w:rPr>
              <w:t>5</w:t>
            </w:r>
            <w:r w:rsidRPr="004E105A">
              <w:rPr>
                <w:rFonts w:asciiTheme="majorBidi" w:hAnsiTheme="majorBidi" w:cstheme="majorBidi"/>
                <w:sz w:val="24"/>
                <w:szCs w:val="24"/>
              </w:rPr>
              <w:t>.</w:t>
            </w:r>
            <w:r>
              <w:rPr>
                <w:rFonts w:asciiTheme="majorBidi" w:hAnsiTheme="majorBidi" w:cstheme="majorBidi"/>
                <w:sz w:val="24"/>
                <w:szCs w:val="24"/>
              </w:rPr>
              <w:t>9</w:t>
            </w:r>
            <w:r w:rsidRPr="004E105A">
              <w:rPr>
                <w:rFonts w:asciiTheme="majorBidi" w:hAnsiTheme="majorBidi" w:cstheme="majorBidi" w:hint="cs"/>
                <w:sz w:val="24"/>
                <w:szCs w:val="24"/>
                <w:rtl/>
              </w:rPr>
              <w:t>3</w:t>
            </w:r>
          </w:p>
        </w:tc>
        <w:tc>
          <w:tcPr>
            <w:tcW w:w="2880" w:type="dxa"/>
            <w:tcBorders>
              <w:top w:val="single" w:sz="4" w:space="0" w:color="auto"/>
            </w:tcBorders>
          </w:tcPr>
          <w:p w14:paraId="3EDDEDC8"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6</w:t>
            </w:r>
            <w:r>
              <w:rPr>
                <w:rFonts w:asciiTheme="majorBidi" w:hAnsiTheme="majorBidi" w:cstheme="majorBidi"/>
                <w:sz w:val="24"/>
                <w:szCs w:val="24"/>
              </w:rPr>
              <w:t>3</w:t>
            </w:r>
            <w:r w:rsidRPr="004E105A">
              <w:rPr>
                <w:rFonts w:asciiTheme="majorBidi" w:hAnsiTheme="majorBidi" w:cstheme="majorBidi"/>
                <w:sz w:val="24"/>
                <w:szCs w:val="24"/>
              </w:rPr>
              <w:t>.</w:t>
            </w:r>
            <w:r>
              <w:rPr>
                <w:rFonts w:asciiTheme="majorBidi" w:hAnsiTheme="majorBidi" w:cstheme="majorBidi"/>
                <w:sz w:val="24"/>
                <w:szCs w:val="24"/>
              </w:rPr>
              <w:t>57</w:t>
            </w:r>
            <w:r w:rsidRPr="004E105A">
              <w:rPr>
                <w:rFonts w:asciiTheme="majorBidi" w:hAnsiTheme="majorBidi" w:cstheme="majorBidi"/>
                <w:sz w:val="24"/>
                <w:szCs w:val="24"/>
              </w:rPr>
              <w:t>±</w:t>
            </w:r>
            <w:r>
              <w:rPr>
                <w:rFonts w:asciiTheme="majorBidi" w:hAnsiTheme="majorBidi" w:cstheme="majorBidi"/>
                <w:sz w:val="24"/>
                <w:szCs w:val="24"/>
              </w:rPr>
              <w:t>6</w:t>
            </w:r>
            <w:r w:rsidRPr="004E105A">
              <w:rPr>
                <w:rFonts w:asciiTheme="majorBidi" w:hAnsiTheme="majorBidi" w:cstheme="majorBidi"/>
                <w:sz w:val="24"/>
                <w:szCs w:val="24"/>
              </w:rPr>
              <w:t>.</w:t>
            </w:r>
            <w:r>
              <w:rPr>
                <w:rFonts w:asciiTheme="majorBidi" w:hAnsiTheme="majorBidi" w:cstheme="majorBidi"/>
                <w:sz w:val="24"/>
                <w:szCs w:val="24"/>
              </w:rPr>
              <w:t>3</w:t>
            </w:r>
            <w:r w:rsidRPr="004E105A">
              <w:rPr>
                <w:rFonts w:asciiTheme="majorBidi" w:hAnsiTheme="majorBidi" w:cstheme="majorBidi"/>
                <w:sz w:val="24"/>
                <w:szCs w:val="24"/>
              </w:rPr>
              <w:t>2</w:t>
            </w:r>
          </w:p>
        </w:tc>
        <w:tc>
          <w:tcPr>
            <w:tcW w:w="1260" w:type="dxa"/>
            <w:tcBorders>
              <w:top w:val="single" w:sz="4" w:space="0" w:color="auto"/>
            </w:tcBorders>
          </w:tcPr>
          <w:p w14:paraId="62F7F037" w14:textId="77777777" w:rsidR="00473993" w:rsidRPr="004E105A" w:rsidRDefault="00473993" w:rsidP="00B173A2">
            <w:pPr>
              <w:rPr>
                <w:rFonts w:asciiTheme="majorBidi" w:hAnsiTheme="majorBidi" w:cstheme="majorBidi"/>
                <w:sz w:val="24"/>
                <w:szCs w:val="24"/>
              </w:rPr>
            </w:pPr>
            <w:r>
              <w:rPr>
                <w:rFonts w:asciiTheme="majorBidi" w:hAnsiTheme="majorBidi" w:cstheme="majorBidi"/>
                <w:sz w:val="24"/>
                <w:szCs w:val="24"/>
              </w:rPr>
              <w:t>0.065</w:t>
            </w:r>
          </w:p>
        </w:tc>
      </w:tr>
      <w:tr w:rsidR="00473993" w:rsidRPr="004E105A" w14:paraId="6CA685DF" w14:textId="77777777" w:rsidTr="00B173A2">
        <w:trPr>
          <w:trHeight w:val="620"/>
        </w:trPr>
        <w:tc>
          <w:tcPr>
            <w:tcW w:w="2601" w:type="dxa"/>
          </w:tcPr>
          <w:p w14:paraId="656E45B3"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b/>
                <w:bCs/>
                <w:sz w:val="24"/>
                <w:szCs w:val="24"/>
              </w:rPr>
              <w:t>Sex [n (%)]:</w:t>
            </w:r>
          </w:p>
          <w:p w14:paraId="5274C9DB"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Male</w:t>
            </w:r>
          </w:p>
          <w:p w14:paraId="6570AAA0"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Female</w:t>
            </w:r>
          </w:p>
        </w:tc>
        <w:tc>
          <w:tcPr>
            <w:tcW w:w="2704" w:type="dxa"/>
          </w:tcPr>
          <w:p w14:paraId="2E4EB4B0" w14:textId="77777777" w:rsidR="00473993" w:rsidRPr="004E105A" w:rsidRDefault="00473993" w:rsidP="00B173A2">
            <w:pPr>
              <w:rPr>
                <w:rFonts w:asciiTheme="majorBidi" w:hAnsiTheme="majorBidi" w:cstheme="majorBidi"/>
                <w:sz w:val="24"/>
                <w:szCs w:val="24"/>
              </w:rPr>
            </w:pPr>
          </w:p>
          <w:p w14:paraId="1C768162"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hint="cs"/>
                <w:sz w:val="24"/>
                <w:szCs w:val="24"/>
                <w:rtl/>
              </w:rPr>
              <w:t>13</w:t>
            </w:r>
            <w:r w:rsidRPr="004E105A">
              <w:rPr>
                <w:rFonts w:asciiTheme="majorBidi" w:hAnsiTheme="majorBidi" w:cstheme="majorBidi"/>
                <w:sz w:val="24"/>
                <w:szCs w:val="24"/>
              </w:rPr>
              <w:t>(</w:t>
            </w:r>
            <w:r>
              <w:rPr>
                <w:rFonts w:asciiTheme="majorBidi" w:hAnsiTheme="majorBidi" w:cstheme="majorBidi"/>
                <w:sz w:val="24"/>
                <w:szCs w:val="24"/>
              </w:rPr>
              <w:t>52</w:t>
            </w:r>
            <w:r w:rsidRPr="004E105A">
              <w:rPr>
                <w:rFonts w:asciiTheme="majorBidi" w:hAnsiTheme="majorBidi" w:cstheme="majorBidi"/>
                <w:sz w:val="24"/>
                <w:szCs w:val="24"/>
              </w:rPr>
              <w:t>%)</w:t>
            </w:r>
          </w:p>
          <w:p w14:paraId="094E3DFC"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hint="cs"/>
                <w:sz w:val="24"/>
                <w:szCs w:val="24"/>
                <w:rtl/>
              </w:rPr>
              <w:t>1</w:t>
            </w:r>
            <w:r>
              <w:rPr>
                <w:rFonts w:asciiTheme="majorBidi" w:hAnsiTheme="majorBidi" w:cstheme="majorBidi"/>
                <w:sz w:val="24"/>
                <w:szCs w:val="24"/>
              </w:rPr>
              <w:t>2</w:t>
            </w:r>
            <w:r w:rsidRPr="004E105A">
              <w:rPr>
                <w:rFonts w:asciiTheme="majorBidi" w:hAnsiTheme="majorBidi" w:cstheme="majorBidi"/>
                <w:sz w:val="24"/>
                <w:szCs w:val="24"/>
              </w:rPr>
              <w:t>(</w:t>
            </w:r>
            <w:r>
              <w:rPr>
                <w:rFonts w:asciiTheme="majorBidi" w:hAnsiTheme="majorBidi" w:cstheme="majorBidi"/>
                <w:sz w:val="24"/>
                <w:szCs w:val="24"/>
              </w:rPr>
              <w:t>48</w:t>
            </w:r>
            <w:r w:rsidRPr="004E105A">
              <w:rPr>
                <w:rFonts w:asciiTheme="majorBidi" w:hAnsiTheme="majorBidi" w:cstheme="majorBidi"/>
                <w:sz w:val="24"/>
                <w:szCs w:val="24"/>
              </w:rPr>
              <w:t>%)</w:t>
            </w:r>
          </w:p>
        </w:tc>
        <w:tc>
          <w:tcPr>
            <w:tcW w:w="2880" w:type="dxa"/>
          </w:tcPr>
          <w:p w14:paraId="19AC9490" w14:textId="77777777" w:rsidR="00473993" w:rsidRDefault="00473993" w:rsidP="00B173A2">
            <w:pPr>
              <w:rPr>
                <w:rFonts w:asciiTheme="majorBidi" w:hAnsiTheme="majorBidi" w:cstheme="majorBidi"/>
                <w:sz w:val="24"/>
                <w:szCs w:val="24"/>
              </w:rPr>
            </w:pPr>
          </w:p>
          <w:p w14:paraId="0CCC0BA4"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hint="cs"/>
                <w:sz w:val="24"/>
                <w:szCs w:val="24"/>
                <w:rtl/>
              </w:rPr>
              <w:t>1</w:t>
            </w:r>
            <w:r>
              <w:rPr>
                <w:rFonts w:asciiTheme="majorBidi" w:hAnsiTheme="majorBidi" w:cstheme="majorBidi"/>
                <w:sz w:val="24"/>
                <w:szCs w:val="24"/>
              </w:rPr>
              <w:t>1</w:t>
            </w:r>
            <w:r w:rsidRPr="004E105A">
              <w:rPr>
                <w:rFonts w:asciiTheme="majorBidi" w:hAnsiTheme="majorBidi" w:cstheme="majorBidi"/>
                <w:sz w:val="24"/>
                <w:szCs w:val="24"/>
              </w:rPr>
              <w:t>(</w:t>
            </w:r>
            <w:r>
              <w:rPr>
                <w:rFonts w:asciiTheme="majorBidi" w:hAnsiTheme="majorBidi" w:cstheme="majorBidi"/>
                <w:sz w:val="24"/>
                <w:szCs w:val="24"/>
              </w:rPr>
              <w:t>44</w:t>
            </w:r>
            <w:r w:rsidRPr="004E105A">
              <w:rPr>
                <w:rFonts w:asciiTheme="majorBidi" w:hAnsiTheme="majorBidi" w:cstheme="majorBidi"/>
                <w:sz w:val="24"/>
                <w:szCs w:val="24"/>
              </w:rPr>
              <w:t>%)</w:t>
            </w:r>
          </w:p>
          <w:p w14:paraId="0AE75651"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hint="cs"/>
                <w:sz w:val="24"/>
                <w:szCs w:val="24"/>
                <w:rtl/>
              </w:rPr>
              <w:t>1</w:t>
            </w:r>
            <w:r>
              <w:rPr>
                <w:rFonts w:asciiTheme="majorBidi" w:hAnsiTheme="majorBidi" w:cstheme="majorBidi"/>
                <w:sz w:val="24"/>
                <w:szCs w:val="24"/>
              </w:rPr>
              <w:t>4</w:t>
            </w:r>
            <w:r w:rsidRPr="004E105A">
              <w:rPr>
                <w:rFonts w:asciiTheme="majorBidi" w:hAnsiTheme="majorBidi" w:cstheme="majorBidi"/>
                <w:sz w:val="24"/>
                <w:szCs w:val="24"/>
              </w:rPr>
              <w:t>(56.7%)</w:t>
            </w:r>
          </w:p>
        </w:tc>
        <w:tc>
          <w:tcPr>
            <w:tcW w:w="1260" w:type="dxa"/>
          </w:tcPr>
          <w:p w14:paraId="67E71CB1" w14:textId="77777777" w:rsidR="00473993" w:rsidRDefault="00473993" w:rsidP="00B173A2">
            <w:pPr>
              <w:rPr>
                <w:rFonts w:asciiTheme="majorBidi" w:hAnsiTheme="majorBidi" w:cstheme="majorBidi"/>
                <w:sz w:val="24"/>
                <w:szCs w:val="24"/>
              </w:rPr>
            </w:pPr>
          </w:p>
          <w:p w14:paraId="2844A624" w14:textId="77777777" w:rsidR="00473993" w:rsidRPr="004E105A" w:rsidRDefault="00473993" w:rsidP="00B173A2">
            <w:pPr>
              <w:rPr>
                <w:rFonts w:asciiTheme="majorBidi" w:hAnsiTheme="majorBidi" w:cstheme="majorBidi"/>
                <w:sz w:val="24"/>
                <w:szCs w:val="24"/>
              </w:rPr>
            </w:pPr>
            <w:r>
              <w:rPr>
                <w:rFonts w:asciiTheme="majorBidi" w:hAnsiTheme="majorBidi" w:cstheme="majorBidi"/>
                <w:sz w:val="24"/>
                <w:szCs w:val="24"/>
              </w:rPr>
              <w:t>0.389</w:t>
            </w:r>
          </w:p>
        </w:tc>
      </w:tr>
      <w:tr w:rsidR="00473993" w:rsidRPr="004E105A" w14:paraId="1E20DCC7" w14:textId="77777777" w:rsidTr="00B173A2">
        <w:trPr>
          <w:trHeight w:val="620"/>
        </w:trPr>
        <w:tc>
          <w:tcPr>
            <w:tcW w:w="2601" w:type="dxa"/>
          </w:tcPr>
          <w:p w14:paraId="4B6AB133"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b/>
                <w:bCs/>
                <w:sz w:val="24"/>
                <w:szCs w:val="24"/>
              </w:rPr>
              <w:t>B symptoms</w:t>
            </w:r>
          </w:p>
          <w:p w14:paraId="571CCEAA"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No</w:t>
            </w:r>
          </w:p>
          <w:p w14:paraId="07312122"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sz w:val="24"/>
                <w:szCs w:val="24"/>
              </w:rPr>
              <w:t>Yes</w:t>
            </w:r>
          </w:p>
        </w:tc>
        <w:tc>
          <w:tcPr>
            <w:tcW w:w="2704" w:type="dxa"/>
          </w:tcPr>
          <w:p w14:paraId="02D0D2DF" w14:textId="77777777" w:rsidR="00473993" w:rsidRPr="004E105A" w:rsidRDefault="00473993" w:rsidP="00B173A2">
            <w:pPr>
              <w:rPr>
                <w:rFonts w:asciiTheme="majorBidi" w:hAnsiTheme="majorBidi" w:cstheme="majorBidi"/>
                <w:sz w:val="24"/>
                <w:szCs w:val="24"/>
              </w:rPr>
            </w:pPr>
          </w:p>
          <w:p w14:paraId="20366D5C" w14:textId="77777777" w:rsidR="00473993" w:rsidRPr="004E105A" w:rsidRDefault="00473993" w:rsidP="00B173A2">
            <w:pPr>
              <w:rPr>
                <w:rFonts w:asciiTheme="majorBidi" w:hAnsiTheme="majorBidi" w:cstheme="majorBidi"/>
                <w:sz w:val="24"/>
                <w:szCs w:val="24"/>
              </w:rPr>
            </w:pPr>
            <w:r>
              <w:rPr>
                <w:rFonts w:asciiTheme="majorBidi" w:hAnsiTheme="majorBidi" w:cstheme="majorBidi"/>
                <w:sz w:val="24"/>
                <w:szCs w:val="24"/>
              </w:rPr>
              <w:t>25</w:t>
            </w:r>
            <w:r w:rsidRPr="004E105A">
              <w:rPr>
                <w:rFonts w:asciiTheme="majorBidi" w:hAnsiTheme="majorBidi" w:cstheme="majorBidi"/>
                <w:sz w:val="24"/>
                <w:szCs w:val="24"/>
              </w:rPr>
              <w:t xml:space="preserve"> (100%)</w:t>
            </w:r>
          </w:p>
          <w:p w14:paraId="630E2CAD"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0 (0%)</w:t>
            </w:r>
          </w:p>
        </w:tc>
        <w:tc>
          <w:tcPr>
            <w:tcW w:w="2880" w:type="dxa"/>
          </w:tcPr>
          <w:p w14:paraId="31D4D9EA" w14:textId="77777777" w:rsidR="00473993" w:rsidRDefault="00473993" w:rsidP="00B173A2">
            <w:pPr>
              <w:rPr>
                <w:rFonts w:asciiTheme="majorBidi" w:hAnsiTheme="majorBidi" w:cstheme="majorBidi"/>
                <w:sz w:val="24"/>
                <w:szCs w:val="24"/>
              </w:rPr>
            </w:pPr>
          </w:p>
          <w:p w14:paraId="4DB8C385" w14:textId="77777777" w:rsidR="00473993" w:rsidRDefault="00473993" w:rsidP="00B173A2">
            <w:pPr>
              <w:rPr>
                <w:rFonts w:asciiTheme="majorBidi" w:hAnsiTheme="majorBidi" w:cstheme="majorBidi"/>
                <w:sz w:val="24"/>
                <w:szCs w:val="24"/>
              </w:rPr>
            </w:pPr>
            <w:r w:rsidRPr="004E105A">
              <w:rPr>
                <w:rFonts w:asciiTheme="majorBidi" w:hAnsiTheme="majorBidi" w:cstheme="majorBidi"/>
                <w:sz w:val="24"/>
                <w:szCs w:val="24"/>
              </w:rPr>
              <w:t>1</w:t>
            </w:r>
            <w:r>
              <w:rPr>
                <w:rFonts w:asciiTheme="majorBidi" w:hAnsiTheme="majorBidi" w:cstheme="majorBidi"/>
                <w:sz w:val="24"/>
                <w:szCs w:val="24"/>
              </w:rPr>
              <w:t>0(40%)</w:t>
            </w:r>
          </w:p>
          <w:p w14:paraId="4431932B" w14:textId="77777777" w:rsidR="00473993" w:rsidRPr="004E105A" w:rsidRDefault="00473993" w:rsidP="00B173A2">
            <w:pPr>
              <w:rPr>
                <w:rFonts w:asciiTheme="majorBidi" w:hAnsiTheme="majorBidi" w:cstheme="majorBidi"/>
                <w:sz w:val="24"/>
                <w:szCs w:val="24"/>
              </w:rPr>
            </w:pPr>
            <w:r>
              <w:rPr>
                <w:rFonts w:asciiTheme="majorBidi" w:hAnsiTheme="majorBidi" w:cstheme="majorBidi"/>
                <w:sz w:val="24"/>
                <w:szCs w:val="24"/>
              </w:rPr>
              <w:t>15(60%)</w:t>
            </w:r>
          </w:p>
        </w:tc>
        <w:tc>
          <w:tcPr>
            <w:tcW w:w="1260" w:type="dxa"/>
          </w:tcPr>
          <w:p w14:paraId="3CE7A7E5" w14:textId="77777777" w:rsidR="00473993" w:rsidRPr="004E105A" w:rsidRDefault="00473993" w:rsidP="00B173A2">
            <w:pPr>
              <w:rPr>
                <w:rFonts w:asciiTheme="majorBidi" w:hAnsiTheme="majorBidi" w:cstheme="majorBidi"/>
                <w:sz w:val="24"/>
                <w:szCs w:val="24"/>
              </w:rPr>
            </w:pPr>
            <w:r w:rsidRPr="00881FB7">
              <w:rPr>
                <w:rFonts w:ascii="Times New Roman" w:hAnsi="Times New Roman" w:cs="Times New Roman"/>
                <w:sz w:val="24"/>
                <w:szCs w:val="24"/>
              </w:rPr>
              <w:t>˂0.001*</w:t>
            </w:r>
          </w:p>
        </w:tc>
      </w:tr>
      <w:tr w:rsidR="00473993" w:rsidRPr="004E105A" w14:paraId="7C8DD6DB" w14:textId="77777777" w:rsidTr="00B173A2">
        <w:trPr>
          <w:trHeight w:val="620"/>
        </w:trPr>
        <w:tc>
          <w:tcPr>
            <w:tcW w:w="2601" w:type="dxa"/>
          </w:tcPr>
          <w:p w14:paraId="6DC276F0"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b/>
                <w:bCs/>
                <w:sz w:val="24"/>
                <w:szCs w:val="24"/>
              </w:rPr>
              <w:t>Fever:</w:t>
            </w:r>
          </w:p>
          <w:p w14:paraId="5859BB50"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No</w:t>
            </w:r>
          </w:p>
          <w:p w14:paraId="0573DC16"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sz w:val="24"/>
                <w:szCs w:val="24"/>
              </w:rPr>
              <w:t>Yes</w:t>
            </w:r>
          </w:p>
        </w:tc>
        <w:tc>
          <w:tcPr>
            <w:tcW w:w="2704" w:type="dxa"/>
          </w:tcPr>
          <w:p w14:paraId="48CEDA4F" w14:textId="77777777" w:rsidR="00473993" w:rsidRPr="004E105A" w:rsidRDefault="00473993" w:rsidP="00B173A2">
            <w:pPr>
              <w:rPr>
                <w:rFonts w:asciiTheme="majorBidi" w:hAnsiTheme="majorBidi" w:cstheme="majorBidi"/>
                <w:sz w:val="24"/>
                <w:szCs w:val="24"/>
              </w:rPr>
            </w:pPr>
          </w:p>
          <w:p w14:paraId="4299E9E2" w14:textId="77777777" w:rsidR="00473993" w:rsidRPr="004E105A" w:rsidRDefault="00473993" w:rsidP="00B173A2">
            <w:pPr>
              <w:rPr>
                <w:rFonts w:asciiTheme="majorBidi" w:hAnsiTheme="majorBidi" w:cstheme="majorBidi"/>
                <w:sz w:val="24"/>
                <w:szCs w:val="24"/>
              </w:rPr>
            </w:pPr>
            <w:r>
              <w:rPr>
                <w:rFonts w:asciiTheme="majorBidi" w:hAnsiTheme="majorBidi" w:cstheme="majorBidi"/>
                <w:sz w:val="24"/>
                <w:szCs w:val="24"/>
              </w:rPr>
              <w:t>25</w:t>
            </w:r>
            <w:r w:rsidRPr="004E105A">
              <w:rPr>
                <w:rFonts w:asciiTheme="majorBidi" w:hAnsiTheme="majorBidi" w:cstheme="majorBidi"/>
                <w:sz w:val="24"/>
                <w:szCs w:val="24"/>
              </w:rPr>
              <w:t xml:space="preserve"> (100%)</w:t>
            </w:r>
          </w:p>
          <w:p w14:paraId="25AE4D22"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0 (0%)</w:t>
            </w:r>
          </w:p>
        </w:tc>
        <w:tc>
          <w:tcPr>
            <w:tcW w:w="2880" w:type="dxa"/>
          </w:tcPr>
          <w:p w14:paraId="2AD1D683" w14:textId="77777777" w:rsidR="00473993" w:rsidRPr="004E105A" w:rsidRDefault="00473993" w:rsidP="00B173A2">
            <w:pPr>
              <w:rPr>
                <w:rFonts w:asciiTheme="majorBidi" w:hAnsiTheme="majorBidi" w:cstheme="majorBidi"/>
                <w:sz w:val="24"/>
                <w:szCs w:val="24"/>
              </w:rPr>
            </w:pPr>
          </w:p>
          <w:p w14:paraId="4F1F2C2A" w14:textId="77777777" w:rsidR="00473993" w:rsidRDefault="00473993" w:rsidP="00B173A2">
            <w:pPr>
              <w:rPr>
                <w:rFonts w:asciiTheme="majorBidi" w:hAnsiTheme="majorBidi" w:cstheme="majorBidi"/>
                <w:sz w:val="24"/>
                <w:szCs w:val="24"/>
              </w:rPr>
            </w:pPr>
            <w:r w:rsidRPr="004E105A">
              <w:rPr>
                <w:rFonts w:asciiTheme="majorBidi" w:hAnsiTheme="majorBidi" w:cstheme="majorBidi"/>
                <w:sz w:val="24"/>
                <w:szCs w:val="24"/>
              </w:rPr>
              <w:t>1</w:t>
            </w:r>
            <w:r>
              <w:rPr>
                <w:rFonts w:asciiTheme="majorBidi" w:hAnsiTheme="majorBidi" w:cstheme="majorBidi"/>
                <w:sz w:val="24"/>
                <w:szCs w:val="24"/>
              </w:rPr>
              <w:t>0(40%)</w:t>
            </w:r>
          </w:p>
          <w:p w14:paraId="79EE3985" w14:textId="77777777" w:rsidR="00473993" w:rsidRPr="004E105A" w:rsidRDefault="00473993" w:rsidP="00B173A2">
            <w:pPr>
              <w:rPr>
                <w:rFonts w:asciiTheme="majorBidi" w:hAnsiTheme="majorBidi" w:cstheme="majorBidi"/>
                <w:sz w:val="24"/>
                <w:szCs w:val="24"/>
              </w:rPr>
            </w:pPr>
            <w:r>
              <w:rPr>
                <w:rFonts w:asciiTheme="majorBidi" w:hAnsiTheme="majorBidi" w:cstheme="majorBidi"/>
                <w:sz w:val="24"/>
                <w:szCs w:val="24"/>
              </w:rPr>
              <w:t>15(60%)</w:t>
            </w:r>
          </w:p>
        </w:tc>
        <w:tc>
          <w:tcPr>
            <w:tcW w:w="1260" w:type="dxa"/>
          </w:tcPr>
          <w:p w14:paraId="4321A398" w14:textId="77777777" w:rsidR="00473993" w:rsidRPr="004E105A" w:rsidRDefault="00473993" w:rsidP="00B173A2">
            <w:pPr>
              <w:rPr>
                <w:rFonts w:asciiTheme="majorBidi" w:hAnsiTheme="majorBidi" w:cstheme="majorBidi"/>
                <w:sz w:val="24"/>
                <w:szCs w:val="24"/>
              </w:rPr>
            </w:pPr>
            <w:r w:rsidRPr="00881FB7">
              <w:rPr>
                <w:rFonts w:ascii="Times New Roman" w:hAnsi="Times New Roman" w:cs="Times New Roman"/>
                <w:sz w:val="24"/>
                <w:szCs w:val="24"/>
              </w:rPr>
              <w:t>˂0.001*</w:t>
            </w:r>
          </w:p>
        </w:tc>
      </w:tr>
      <w:tr w:rsidR="00473993" w:rsidRPr="004E105A" w14:paraId="69C1A2DD" w14:textId="77777777" w:rsidTr="00B173A2">
        <w:trPr>
          <w:trHeight w:val="620"/>
        </w:trPr>
        <w:tc>
          <w:tcPr>
            <w:tcW w:w="2601" w:type="dxa"/>
          </w:tcPr>
          <w:p w14:paraId="68788B30"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b/>
                <w:bCs/>
                <w:sz w:val="24"/>
                <w:szCs w:val="24"/>
              </w:rPr>
              <w:t>Weight loss:</w:t>
            </w:r>
          </w:p>
          <w:p w14:paraId="7380A58C"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No</w:t>
            </w:r>
          </w:p>
          <w:p w14:paraId="295BE864"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Yes</w:t>
            </w:r>
          </w:p>
        </w:tc>
        <w:tc>
          <w:tcPr>
            <w:tcW w:w="2704" w:type="dxa"/>
          </w:tcPr>
          <w:p w14:paraId="45EF19F9" w14:textId="77777777" w:rsidR="00473993" w:rsidRPr="004E105A" w:rsidRDefault="00473993" w:rsidP="00B173A2">
            <w:pPr>
              <w:rPr>
                <w:rFonts w:asciiTheme="majorBidi" w:hAnsiTheme="majorBidi" w:cstheme="majorBidi"/>
                <w:sz w:val="24"/>
                <w:szCs w:val="24"/>
              </w:rPr>
            </w:pPr>
          </w:p>
          <w:p w14:paraId="00C4308A" w14:textId="77777777" w:rsidR="00473993" w:rsidRPr="004E105A" w:rsidRDefault="00473993" w:rsidP="00B173A2">
            <w:pPr>
              <w:rPr>
                <w:rFonts w:asciiTheme="majorBidi" w:hAnsiTheme="majorBidi" w:cstheme="majorBidi"/>
                <w:sz w:val="24"/>
                <w:szCs w:val="24"/>
              </w:rPr>
            </w:pPr>
            <w:r>
              <w:rPr>
                <w:rFonts w:asciiTheme="majorBidi" w:hAnsiTheme="majorBidi" w:cstheme="majorBidi"/>
                <w:sz w:val="24"/>
                <w:szCs w:val="24"/>
              </w:rPr>
              <w:t>25</w:t>
            </w:r>
            <w:r w:rsidRPr="004E105A">
              <w:rPr>
                <w:rFonts w:asciiTheme="majorBidi" w:hAnsiTheme="majorBidi" w:cstheme="majorBidi"/>
                <w:sz w:val="24"/>
                <w:szCs w:val="24"/>
              </w:rPr>
              <w:t xml:space="preserve"> (100%)</w:t>
            </w:r>
          </w:p>
          <w:p w14:paraId="0186D1C3"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0 (0%)</w:t>
            </w:r>
          </w:p>
        </w:tc>
        <w:tc>
          <w:tcPr>
            <w:tcW w:w="2880" w:type="dxa"/>
          </w:tcPr>
          <w:p w14:paraId="2C29DF16" w14:textId="77777777" w:rsidR="00473993" w:rsidRPr="004E105A" w:rsidRDefault="00473993" w:rsidP="00B173A2">
            <w:pPr>
              <w:rPr>
                <w:rFonts w:asciiTheme="majorBidi" w:hAnsiTheme="majorBidi" w:cstheme="majorBidi"/>
                <w:sz w:val="24"/>
                <w:szCs w:val="24"/>
              </w:rPr>
            </w:pPr>
          </w:p>
          <w:p w14:paraId="5D602BA3" w14:textId="77777777" w:rsidR="00473993" w:rsidRDefault="00473993" w:rsidP="00B173A2">
            <w:pPr>
              <w:rPr>
                <w:rFonts w:asciiTheme="majorBidi" w:hAnsiTheme="majorBidi" w:cstheme="majorBidi"/>
                <w:sz w:val="24"/>
                <w:szCs w:val="24"/>
              </w:rPr>
            </w:pPr>
            <w:r w:rsidRPr="004E105A">
              <w:rPr>
                <w:rFonts w:asciiTheme="majorBidi" w:hAnsiTheme="majorBidi" w:cstheme="majorBidi" w:hint="cs"/>
                <w:sz w:val="24"/>
                <w:szCs w:val="24"/>
                <w:rtl/>
              </w:rPr>
              <w:t>1</w:t>
            </w:r>
            <w:r>
              <w:rPr>
                <w:rFonts w:asciiTheme="majorBidi" w:hAnsiTheme="majorBidi" w:cstheme="majorBidi"/>
                <w:sz w:val="24"/>
                <w:szCs w:val="24"/>
              </w:rPr>
              <w:t xml:space="preserve">4 </w:t>
            </w:r>
            <w:r w:rsidRPr="004E105A">
              <w:rPr>
                <w:rFonts w:asciiTheme="majorBidi" w:hAnsiTheme="majorBidi" w:cstheme="majorBidi"/>
                <w:sz w:val="24"/>
                <w:szCs w:val="24"/>
              </w:rPr>
              <w:t>(56.7%)</w:t>
            </w:r>
          </w:p>
          <w:p w14:paraId="4D76F933"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hint="cs"/>
                <w:sz w:val="24"/>
                <w:szCs w:val="24"/>
                <w:rtl/>
              </w:rPr>
              <w:t>1</w:t>
            </w:r>
            <w:r>
              <w:rPr>
                <w:rFonts w:asciiTheme="majorBidi" w:hAnsiTheme="majorBidi" w:cstheme="majorBidi"/>
                <w:sz w:val="24"/>
                <w:szCs w:val="24"/>
              </w:rPr>
              <w:t>1</w:t>
            </w:r>
            <w:r w:rsidRPr="004E105A">
              <w:rPr>
                <w:rFonts w:asciiTheme="majorBidi" w:hAnsiTheme="majorBidi" w:cstheme="majorBidi"/>
                <w:sz w:val="24"/>
                <w:szCs w:val="24"/>
              </w:rPr>
              <w:t>(</w:t>
            </w:r>
            <w:r>
              <w:rPr>
                <w:rFonts w:asciiTheme="majorBidi" w:hAnsiTheme="majorBidi" w:cstheme="majorBidi"/>
                <w:sz w:val="24"/>
                <w:szCs w:val="24"/>
              </w:rPr>
              <w:t>44</w:t>
            </w:r>
            <w:r w:rsidRPr="004E105A">
              <w:rPr>
                <w:rFonts w:asciiTheme="majorBidi" w:hAnsiTheme="majorBidi" w:cstheme="majorBidi"/>
                <w:sz w:val="24"/>
                <w:szCs w:val="24"/>
              </w:rPr>
              <w:t>%)</w:t>
            </w:r>
          </w:p>
        </w:tc>
        <w:tc>
          <w:tcPr>
            <w:tcW w:w="1260" w:type="dxa"/>
          </w:tcPr>
          <w:p w14:paraId="6842E7C0" w14:textId="77777777" w:rsidR="00473993" w:rsidRPr="004E105A" w:rsidRDefault="00473993" w:rsidP="00B173A2">
            <w:pPr>
              <w:rPr>
                <w:rFonts w:asciiTheme="majorBidi" w:hAnsiTheme="majorBidi" w:cstheme="majorBidi"/>
                <w:sz w:val="24"/>
                <w:szCs w:val="24"/>
              </w:rPr>
            </w:pPr>
            <w:r w:rsidRPr="00881FB7">
              <w:rPr>
                <w:rFonts w:ascii="Times New Roman" w:hAnsi="Times New Roman" w:cs="Times New Roman"/>
                <w:sz w:val="24"/>
                <w:szCs w:val="24"/>
              </w:rPr>
              <w:t>˂0.001*</w:t>
            </w:r>
          </w:p>
        </w:tc>
      </w:tr>
      <w:tr w:rsidR="00473993" w:rsidRPr="004E105A" w14:paraId="73ABC9EA" w14:textId="77777777" w:rsidTr="00B173A2">
        <w:trPr>
          <w:trHeight w:val="620"/>
        </w:trPr>
        <w:tc>
          <w:tcPr>
            <w:tcW w:w="2601" w:type="dxa"/>
          </w:tcPr>
          <w:p w14:paraId="4491EAA0"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b/>
                <w:bCs/>
                <w:sz w:val="24"/>
                <w:szCs w:val="24"/>
              </w:rPr>
              <w:t>Bleeding:</w:t>
            </w:r>
          </w:p>
          <w:p w14:paraId="2CE2DD02"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No</w:t>
            </w:r>
          </w:p>
          <w:p w14:paraId="16456A40"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Yes</w:t>
            </w:r>
          </w:p>
        </w:tc>
        <w:tc>
          <w:tcPr>
            <w:tcW w:w="2704" w:type="dxa"/>
          </w:tcPr>
          <w:p w14:paraId="0009C889" w14:textId="77777777" w:rsidR="00473993" w:rsidRPr="004E105A" w:rsidRDefault="00473993" w:rsidP="00B173A2">
            <w:pPr>
              <w:rPr>
                <w:rFonts w:asciiTheme="majorBidi" w:hAnsiTheme="majorBidi" w:cstheme="majorBidi"/>
                <w:sz w:val="24"/>
                <w:szCs w:val="24"/>
              </w:rPr>
            </w:pPr>
          </w:p>
          <w:p w14:paraId="125ED47D" w14:textId="77777777" w:rsidR="00473993" w:rsidRPr="004E105A" w:rsidRDefault="00473993" w:rsidP="00B173A2">
            <w:pPr>
              <w:rPr>
                <w:rFonts w:asciiTheme="majorBidi" w:hAnsiTheme="majorBidi" w:cstheme="majorBidi"/>
                <w:sz w:val="24"/>
                <w:szCs w:val="24"/>
              </w:rPr>
            </w:pPr>
            <w:r>
              <w:rPr>
                <w:rFonts w:asciiTheme="majorBidi" w:hAnsiTheme="majorBidi" w:cstheme="majorBidi"/>
                <w:sz w:val="24"/>
                <w:szCs w:val="24"/>
              </w:rPr>
              <w:t>25</w:t>
            </w:r>
            <w:r w:rsidRPr="004E105A">
              <w:rPr>
                <w:rFonts w:asciiTheme="majorBidi" w:hAnsiTheme="majorBidi" w:cstheme="majorBidi"/>
                <w:sz w:val="24"/>
                <w:szCs w:val="24"/>
              </w:rPr>
              <w:t xml:space="preserve"> (100%)</w:t>
            </w:r>
          </w:p>
          <w:p w14:paraId="5B0A7309"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0 (0%)</w:t>
            </w:r>
          </w:p>
        </w:tc>
        <w:tc>
          <w:tcPr>
            <w:tcW w:w="2880" w:type="dxa"/>
          </w:tcPr>
          <w:p w14:paraId="3AEC0D89" w14:textId="77777777" w:rsidR="00473993" w:rsidRPr="004E105A" w:rsidRDefault="00473993" w:rsidP="00B173A2">
            <w:pPr>
              <w:rPr>
                <w:rFonts w:asciiTheme="majorBidi" w:hAnsiTheme="majorBidi" w:cstheme="majorBidi"/>
                <w:sz w:val="24"/>
                <w:szCs w:val="24"/>
              </w:rPr>
            </w:pPr>
          </w:p>
          <w:p w14:paraId="0CD00C4D"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19</w:t>
            </w:r>
            <w:r>
              <w:rPr>
                <w:rFonts w:asciiTheme="majorBidi" w:hAnsiTheme="majorBidi" w:cstheme="majorBidi"/>
                <w:sz w:val="24"/>
                <w:szCs w:val="24"/>
              </w:rPr>
              <w:t xml:space="preserve"> </w:t>
            </w:r>
            <w:r w:rsidRPr="004E105A">
              <w:rPr>
                <w:rFonts w:asciiTheme="majorBidi" w:hAnsiTheme="majorBidi" w:cstheme="majorBidi"/>
                <w:sz w:val="24"/>
                <w:szCs w:val="24"/>
              </w:rPr>
              <w:t>(</w:t>
            </w:r>
            <w:r>
              <w:rPr>
                <w:rFonts w:asciiTheme="majorBidi" w:hAnsiTheme="majorBidi" w:cstheme="majorBidi"/>
                <w:sz w:val="24"/>
                <w:szCs w:val="24"/>
              </w:rPr>
              <w:t>76</w:t>
            </w:r>
            <w:r w:rsidRPr="004E105A">
              <w:rPr>
                <w:rFonts w:asciiTheme="majorBidi" w:hAnsiTheme="majorBidi" w:cstheme="majorBidi"/>
                <w:sz w:val="24"/>
                <w:szCs w:val="24"/>
              </w:rPr>
              <w:t>%)</w:t>
            </w:r>
          </w:p>
          <w:p w14:paraId="24749D0C"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6</w:t>
            </w:r>
            <w:r>
              <w:rPr>
                <w:rFonts w:asciiTheme="majorBidi" w:hAnsiTheme="majorBidi" w:cstheme="majorBidi"/>
                <w:sz w:val="24"/>
                <w:szCs w:val="24"/>
              </w:rPr>
              <w:t xml:space="preserve"> </w:t>
            </w:r>
            <w:r w:rsidRPr="004E105A">
              <w:rPr>
                <w:rFonts w:asciiTheme="majorBidi" w:hAnsiTheme="majorBidi" w:cstheme="majorBidi"/>
                <w:sz w:val="24"/>
                <w:szCs w:val="24"/>
              </w:rPr>
              <w:t>(</w:t>
            </w:r>
            <w:r>
              <w:rPr>
                <w:rFonts w:asciiTheme="majorBidi" w:hAnsiTheme="majorBidi" w:cstheme="majorBidi"/>
                <w:sz w:val="24"/>
                <w:szCs w:val="24"/>
              </w:rPr>
              <w:t>24</w:t>
            </w:r>
            <w:r w:rsidRPr="004E105A">
              <w:rPr>
                <w:rFonts w:asciiTheme="majorBidi" w:hAnsiTheme="majorBidi" w:cstheme="majorBidi"/>
                <w:sz w:val="24"/>
                <w:szCs w:val="24"/>
              </w:rPr>
              <w:t>%)</w:t>
            </w:r>
          </w:p>
        </w:tc>
        <w:tc>
          <w:tcPr>
            <w:tcW w:w="1260" w:type="dxa"/>
          </w:tcPr>
          <w:p w14:paraId="28B99C3E" w14:textId="77777777" w:rsidR="00473993" w:rsidRPr="004E105A" w:rsidRDefault="00473993" w:rsidP="00B173A2">
            <w:pPr>
              <w:rPr>
                <w:rFonts w:asciiTheme="majorBidi" w:hAnsiTheme="majorBidi" w:cstheme="majorBidi"/>
                <w:sz w:val="24"/>
                <w:szCs w:val="24"/>
              </w:rPr>
            </w:pPr>
            <w:r w:rsidRPr="00881FB7">
              <w:rPr>
                <w:rFonts w:ascii="Times New Roman" w:hAnsi="Times New Roman" w:cs="Times New Roman"/>
                <w:sz w:val="24"/>
                <w:szCs w:val="24"/>
              </w:rPr>
              <w:t>˂0.001*</w:t>
            </w:r>
          </w:p>
        </w:tc>
      </w:tr>
      <w:tr w:rsidR="00473993" w:rsidRPr="004E105A" w14:paraId="76FC3681" w14:textId="77777777" w:rsidTr="00B173A2">
        <w:trPr>
          <w:trHeight w:val="278"/>
        </w:trPr>
        <w:tc>
          <w:tcPr>
            <w:tcW w:w="2601" w:type="dxa"/>
          </w:tcPr>
          <w:p w14:paraId="206E1C95"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b/>
                <w:bCs/>
                <w:sz w:val="24"/>
                <w:szCs w:val="24"/>
              </w:rPr>
              <w:t>Spleen:</w:t>
            </w:r>
          </w:p>
          <w:p w14:paraId="3B4B3C4C"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No</w:t>
            </w:r>
          </w:p>
          <w:p w14:paraId="505503FA"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Yes</w:t>
            </w:r>
          </w:p>
        </w:tc>
        <w:tc>
          <w:tcPr>
            <w:tcW w:w="2704" w:type="dxa"/>
          </w:tcPr>
          <w:p w14:paraId="68867BE3" w14:textId="77777777" w:rsidR="00473993" w:rsidRPr="004E105A" w:rsidRDefault="00473993" w:rsidP="00B173A2">
            <w:pPr>
              <w:rPr>
                <w:rFonts w:asciiTheme="majorBidi" w:hAnsiTheme="majorBidi" w:cstheme="majorBidi"/>
                <w:sz w:val="24"/>
                <w:szCs w:val="24"/>
              </w:rPr>
            </w:pPr>
          </w:p>
          <w:p w14:paraId="0A4BAD27" w14:textId="77777777" w:rsidR="00473993" w:rsidRPr="004E105A" w:rsidRDefault="00473993" w:rsidP="00B173A2">
            <w:pPr>
              <w:rPr>
                <w:rFonts w:asciiTheme="majorBidi" w:hAnsiTheme="majorBidi" w:cstheme="majorBidi"/>
                <w:sz w:val="24"/>
                <w:szCs w:val="24"/>
              </w:rPr>
            </w:pPr>
            <w:r>
              <w:rPr>
                <w:rFonts w:asciiTheme="majorBidi" w:hAnsiTheme="majorBidi" w:cstheme="majorBidi"/>
                <w:sz w:val="24"/>
                <w:szCs w:val="24"/>
              </w:rPr>
              <w:t>25</w:t>
            </w:r>
            <w:r w:rsidRPr="004E105A">
              <w:rPr>
                <w:rFonts w:asciiTheme="majorBidi" w:hAnsiTheme="majorBidi" w:cstheme="majorBidi"/>
                <w:sz w:val="24"/>
                <w:szCs w:val="24"/>
              </w:rPr>
              <w:t xml:space="preserve"> (100%)</w:t>
            </w:r>
          </w:p>
          <w:p w14:paraId="143E640C"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0 (0%)</w:t>
            </w:r>
          </w:p>
        </w:tc>
        <w:tc>
          <w:tcPr>
            <w:tcW w:w="2880" w:type="dxa"/>
          </w:tcPr>
          <w:p w14:paraId="3890E0A6" w14:textId="77777777" w:rsidR="00473993" w:rsidRPr="004E105A" w:rsidRDefault="00473993" w:rsidP="00B173A2">
            <w:pPr>
              <w:rPr>
                <w:rFonts w:asciiTheme="majorBidi" w:hAnsiTheme="majorBidi" w:cstheme="majorBidi"/>
                <w:sz w:val="24"/>
                <w:szCs w:val="24"/>
              </w:rPr>
            </w:pPr>
          </w:p>
          <w:p w14:paraId="2907144D"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hint="cs"/>
                <w:sz w:val="24"/>
                <w:szCs w:val="24"/>
                <w:rtl/>
              </w:rPr>
              <w:t>13</w:t>
            </w:r>
            <w:r w:rsidRPr="004E105A">
              <w:rPr>
                <w:rFonts w:asciiTheme="majorBidi" w:hAnsiTheme="majorBidi" w:cstheme="majorBidi"/>
                <w:sz w:val="24"/>
                <w:szCs w:val="24"/>
              </w:rPr>
              <w:t>(</w:t>
            </w:r>
            <w:r>
              <w:rPr>
                <w:rFonts w:asciiTheme="majorBidi" w:hAnsiTheme="majorBidi" w:cstheme="majorBidi"/>
                <w:sz w:val="24"/>
                <w:szCs w:val="24"/>
              </w:rPr>
              <w:t>52</w:t>
            </w:r>
            <w:r w:rsidRPr="004E105A">
              <w:rPr>
                <w:rFonts w:asciiTheme="majorBidi" w:hAnsiTheme="majorBidi" w:cstheme="majorBidi"/>
                <w:sz w:val="24"/>
                <w:szCs w:val="24"/>
              </w:rPr>
              <w:t>%)</w:t>
            </w:r>
          </w:p>
          <w:p w14:paraId="0FA29934"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hint="cs"/>
                <w:sz w:val="24"/>
                <w:szCs w:val="24"/>
                <w:rtl/>
              </w:rPr>
              <w:t>1</w:t>
            </w:r>
            <w:r>
              <w:rPr>
                <w:rFonts w:asciiTheme="majorBidi" w:hAnsiTheme="majorBidi" w:cstheme="majorBidi"/>
                <w:sz w:val="24"/>
                <w:szCs w:val="24"/>
              </w:rPr>
              <w:t>2</w:t>
            </w:r>
            <w:r w:rsidRPr="004E105A">
              <w:rPr>
                <w:rFonts w:asciiTheme="majorBidi" w:hAnsiTheme="majorBidi" w:cstheme="majorBidi"/>
                <w:sz w:val="24"/>
                <w:szCs w:val="24"/>
              </w:rPr>
              <w:t>(</w:t>
            </w:r>
            <w:r>
              <w:rPr>
                <w:rFonts w:asciiTheme="majorBidi" w:hAnsiTheme="majorBidi" w:cstheme="majorBidi"/>
                <w:sz w:val="24"/>
                <w:szCs w:val="24"/>
              </w:rPr>
              <w:t>48</w:t>
            </w:r>
            <w:r w:rsidRPr="004E105A">
              <w:rPr>
                <w:rFonts w:asciiTheme="majorBidi" w:hAnsiTheme="majorBidi" w:cstheme="majorBidi"/>
                <w:sz w:val="24"/>
                <w:szCs w:val="24"/>
              </w:rPr>
              <w:t>%)</w:t>
            </w:r>
          </w:p>
        </w:tc>
        <w:tc>
          <w:tcPr>
            <w:tcW w:w="1260" w:type="dxa"/>
          </w:tcPr>
          <w:p w14:paraId="6BDC2173" w14:textId="77777777" w:rsidR="00473993" w:rsidRPr="004E105A" w:rsidRDefault="00473993" w:rsidP="00B173A2">
            <w:pPr>
              <w:rPr>
                <w:rFonts w:asciiTheme="majorBidi" w:hAnsiTheme="majorBidi" w:cstheme="majorBidi"/>
                <w:sz w:val="24"/>
                <w:szCs w:val="24"/>
              </w:rPr>
            </w:pPr>
            <w:r w:rsidRPr="00881FB7">
              <w:rPr>
                <w:rFonts w:ascii="Times New Roman" w:hAnsi="Times New Roman" w:cs="Times New Roman"/>
                <w:sz w:val="24"/>
                <w:szCs w:val="24"/>
              </w:rPr>
              <w:t>˂0.001*</w:t>
            </w:r>
          </w:p>
        </w:tc>
      </w:tr>
      <w:tr w:rsidR="00473993" w:rsidRPr="004E105A" w14:paraId="47739B04" w14:textId="77777777" w:rsidTr="00B173A2">
        <w:trPr>
          <w:trHeight w:val="440"/>
        </w:trPr>
        <w:tc>
          <w:tcPr>
            <w:tcW w:w="2601" w:type="dxa"/>
          </w:tcPr>
          <w:p w14:paraId="44C3EB46"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b/>
                <w:bCs/>
                <w:sz w:val="24"/>
                <w:szCs w:val="24"/>
              </w:rPr>
              <w:t>Lymphadenopathy:</w:t>
            </w:r>
          </w:p>
          <w:p w14:paraId="2B25B260"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No</w:t>
            </w:r>
          </w:p>
          <w:p w14:paraId="6038CD76"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Yes</w:t>
            </w:r>
          </w:p>
        </w:tc>
        <w:tc>
          <w:tcPr>
            <w:tcW w:w="2704" w:type="dxa"/>
          </w:tcPr>
          <w:p w14:paraId="7E2F17BB" w14:textId="77777777" w:rsidR="00473993" w:rsidRPr="004E105A" w:rsidRDefault="00473993" w:rsidP="00B173A2">
            <w:pPr>
              <w:rPr>
                <w:rFonts w:asciiTheme="majorBidi" w:hAnsiTheme="majorBidi" w:cstheme="majorBidi"/>
                <w:sz w:val="24"/>
                <w:szCs w:val="24"/>
              </w:rPr>
            </w:pPr>
          </w:p>
          <w:p w14:paraId="6FAE6867" w14:textId="77777777" w:rsidR="00473993" w:rsidRPr="004E105A" w:rsidRDefault="00473993" w:rsidP="00B173A2">
            <w:pPr>
              <w:rPr>
                <w:rFonts w:asciiTheme="majorBidi" w:hAnsiTheme="majorBidi" w:cstheme="majorBidi"/>
                <w:sz w:val="24"/>
                <w:szCs w:val="24"/>
              </w:rPr>
            </w:pPr>
            <w:r>
              <w:rPr>
                <w:rFonts w:asciiTheme="majorBidi" w:hAnsiTheme="majorBidi" w:cstheme="majorBidi"/>
                <w:sz w:val="24"/>
                <w:szCs w:val="24"/>
              </w:rPr>
              <w:t>25</w:t>
            </w:r>
            <w:r w:rsidRPr="004E105A">
              <w:rPr>
                <w:rFonts w:asciiTheme="majorBidi" w:hAnsiTheme="majorBidi" w:cstheme="majorBidi"/>
                <w:sz w:val="24"/>
                <w:szCs w:val="24"/>
              </w:rPr>
              <w:t xml:space="preserve"> (100%)</w:t>
            </w:r>
          </w:p>
          <w:p w14:paraId="10E820D8"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0 (0%)</w:t>
            </w:r>
          </w:p>
        </w:tc>
        <w:tc>
          <w:tcPr>
            <w:tcW w:w="2880" w:type="dxa"/>
          </w:tcPr>
          <w:p w14:paraId="3440C7D3" w14:textId="77777777" w:rsidR="00473993" w:rsidRPr="004E105A" w:rsidRDefault="00473993" w:rsidP="00B173A2">
            <w:pPr>
              <w:rPr>
                <w:rFonts w:asciiTheme="majorBidi" w:hAnsiTheme="majorBidi" w:cstheme="majorBidi"/>
                <w:sz w:val="24"/>
                <w:szCs w:val="24"/>
              </w:rPr>
            </w:pPr>
          </w:p>
          <w:p w14:paraId="343EBCD3"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19(</w:t>
            </w:r>
            <w:r>
              <w:rPr>
                <w:rFonts w:asciiTheme="majorBidi" w:hAnsiTheme="majorBidi" w:cstheme="majorBidi"/>
                <w:sz w:val="24"/>
                <w:szCs w:val="24"/>
              </w:rPr>
              <w:t>76</w:t>
            </w:r>
            <w:r w:rsidRPr="004E105A">
              <w:rPr>
                <w:rFonts w:asciiTheme="majorBidi" w:hAnsiTheme="majorBidi" w:cstheme="majorBidi"/>
                <w:sz w:val="24"/>
                <w:szCs w:val="24"/>
              </w:rPr>
              <w:t>%)</w:t>
            </w:r>
          </w:p>
          <w:p w14:paraId="65DEB5F4"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6(</w:t>
            </w:r>
            <w:r>
              <w:rPr>
                <w:rFonts w:asciiTheme="majorBidi" w:hAnsiTheme="majorBidi" w:cstheme="majorBidi"/>
                <w:sz w:val="24"/>
                <w:szCs w:val="24"/>
              </w:rPr>
              <w:t>24</w:t>
            </w:r>
            <w:r w:rsidRPr="004E105A">
              <w:rPr>
                <w:rFonts w:asciiTheme="majorBidi" w:hAnsiTheme="majorBidi" w:cstheme="majorBidi"/>
                <w:sz w:val="24"/>
                <w:szCs w:val="24"/>
              </w:rPr>
              <w:t>%)</w:t>
            </w:r>
          </w:p>
        </w:tc>
        <w:tc>
          <w:tcPr>
            <w:tcW w:w="1260" w:type="dxa"/>
          </w:tcPr>
          <w:p w14:paraId="2BF74089" w14:textId="77777777" w:rsidR="00473993" w:rsidRPr="004E105A" w:rsidRDefault="00473993" w:rsidP="00B173A2">
            <w:pPr>
              <w:rPr>
                <w:rFonts w:asciiTheme="majorBidi" w:hAnsiTheme="majorBidi" w:cstheme="majorBidi"/>
                <w:sz w:val="24"/>
                <w:szCs w:val="24"/>
              </w:rPr>
            </w:pPr>
            <w:r w:rsidRPr="00881FB7">
              <w:rPr>
                <w:rFonts w:ascii="Times New Roman" w:hAnsi="Times New Roman" w:cs="Times New Roman"/>
                <w:sz w:val="24"/>
                <w:szCs w:val="24"/>
              </w:rPr>
              <w:t>˂0.001*</w:t>
            </w:r>
          </w:p>
        </w:tc>
      </w:tr>
      <w:tr w:rsidR="00473993" w:rsidRPr="004E105A" w14:paraId="3B6FF298" w14:textId="77777777" w:rsidTr="00B173A2">
        <w:trPr>
          <w:trHeight w:val="260"/>
        </w:trPr>
        <w:tc>
          <w:tcPr>
            <w:tcW w:w="2601" w:type="dxa"/>
          </w:tcPr>
          <w:p w14:paraId="390EBABA"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b/>
                <w:bCs/>
                <w:sz w:val="24"/>
                <w:szCs w:val="24"/>
              </w:rPr>
              <w:t>Anemia:</w:t>
            </w:r>
          </w:p>
          <w:p w14:paraId="051E35FC"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No</w:t>
            </w:r>
          </w:p>
          <w:p w14:paraId="7309B1CD"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Yes</w:t>
            </w:r>
          </w:p>
        </w:tc>
        <w:tc>
          <w:tcPr>
            <w:tcW w:w="2704" w:type="dxa"/>
          </w:tcPr>
          <w:p w14:paraId="55F6FA96" w14:textId="77777777" w:rsidR="00473993" w:rsidRPr="004E105A" w:rsidRDefault="00473993" w:rsidP="00B173A2">
            <w:pPr>
              <w:rPr>
                <w:rFonts w:asciiTheme="majorBidi" w:hAnsiTheme="majorBidi" w:cstheme="majorBidi"/>
                <w:sz w:val="24"/>
                <w:szCs w:val="24"/>
              </w:rPr>
            </w:pPr>
          </w:p>
          <w:p w14:paraId="7EF822BB" w14:textId="77777777" w:rsidR="00473993" w:rsidRPr="004E105A" w:rsidRDefault="00473993" w:rsidP="00B173A2">
            <w:pPr>
              <w:rPr>
                <w:rFonts w:asciiTheme="majorBidi" w:hAnsiTheme="majorBidi" w:cstheme="majorBidi"/>
                <w:sz w:val="24"/>
                <w:szCs w:val="24"/>
              </w:rPr>
            </w:pPr>
            <w:r>
              <w:rPr>
                <w:rFonts w:asciiTheme="majorBidi" w:hAnsiTheme="majorBidi" w:cstheme="majorBidi"/>
                <w:sz w:val="24"/>
                <w:szCs w:val="24"/>
              </w:rPr>
              <w:t>25</w:t>
            </w:r>
            <w:r w:rsidRPr="004E105A">
              <w:rPr>
                <w:rFonts w:asciiTheme="majorBidi" w:hAnsiTheme="majorBidi" w:cstheme="majorBidi"/>
                <w:sz w:val="24"/>
                <w:szCs w:val="24"/>
              </w:rPr>
              <w:t xml:space="preserve"> (100%)</w:t>
            </w:r>
          </w:p>
          <w:p w14:paraId="105962C3"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0 (0%)</w:t>
            </w:r>
          </w:p>
        </w:tc>
        <w:tc>
          <w:tcPr>
            <w:tcW w:w="2880" w:type="dxa"/>
          </w:tcPr>
          <w:p w14:paraId="502E8C02"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7</w:t>
            </w:r>
            <w:r>
              <w:rPr>
                <w:rFonts w:asciiTheme="majorBidi" w:hAnsiTheme="majorBidi" w:cstheme="majorBidi"/>
                <w:sz w:val="24"/>
                <w:szCs w:val="24"/>
              </w:rPr>
              <w:t xml:space="preserve"> (28%)</w:t>
            </w:r>
          </w:p>
          <w:p w14:paraId="24BE1945"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18</w:t>
            </w:r>
            <w:r>
              <w:rPr>
                <w:rFonts w:asciiTheme="majorBidi" w:hAnsiTheme="majorBidi" w:cstheme="majorBidi"/>
                <w:sz w:val="24"/>
                <w:szCs w:val="24"/>
              </w:rPr>
              <w:t xml:space="preserve"> (72%)</w:t>
            </w:r>
          </w:p>
        </w:tc>
        <w:tc>
          <w:tcPr>
            <w:tcW w:w="1260" w:type="dxa"/>
          </w:tcPr>
          <w:p w14:paraId="2BDC3F2A" w14:textId="77777777" w:rsidR="00473993" w:rsidRPr="004E105A" w:rsidRDefault="00473993" w:rsidP="00B173A2">
            <w:pPr>
              <w:rPr>
                <w:rFonts w:asciiTheme="majorBidi" w:hAnsiTheme="majorBidi" w:cstheme="majorBidi"/>
                <w:sz w:val="24"/>
                <w:szCs w:val="24"/>
              </w:rPr>
            </w:pPr>
            <w:r w:rsidRPr="00881FB7">
              <w:rPr>
                <w:rFonts w:ascii="Times New Roman" w:hAnsi="Times New Roman" w:cs="Times New Roman"/>
                <w:sz w:val="24"/>
                <w:szCs w:val="24"/>
              </w:rPr>
              <w:t>˂0.001*</w:t>
            </w:r>
          </w:p>
        </w:tc>
      </w:tr>
      <w:tr w:rsidR="00473993" w:rsidRPr="004E105A" w14:paraId="61C05FE9" w14:textId="77777777" w:rsidTr="00B173A2">
        <w:trPr>
          <w:trHeight w:val="620"/>
        </w:trPr>
        <w:tc>
          <w:tcPr>
            <w:tcW w:w="2601" w:type="dxa"/>
          </w:tcPr>
          <w:p w14:paraId="50BA7DDF"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b/>
                <w:bCs/>
                <w:sz w:val="24"/>
                <w:szCs w:val="24"/>
              </w:rPr>
              <w:t>Thrombocytopenia:</w:t>
            </w:r>
          </w:p>
          <w:p w14:paraId="1D7BA6E3"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No</w:t>
            </w:r>
          </w:p>
          <w:p w14:paraId="2BBE01E5"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Yes</w:t>
            </w:r>
          </w:p>
        </w:tc>
        <w:tc>
          <w:tcPr>
            <w:tcW w:w="2704" w:type="dxa"/>
          </w:tcPr>
          <w:p w14:paraId="335B8735" w14:textId="77777777" w:rsidR="00473993" w:rsidRPr="004E105A" w:rsidRDefault="00473993" w:rsidP="00B173A2">
            <w:pPr>
              <w:rPr>
                <w:rFonts w:asciiTheme="majorBidi" w:hAnsiTheme="majorBidi" w:cstheme="majorBidi"/>
                <w:sz w:val="24"/>
                <w:szCs w:val="24"/>
              </w:rPr>
            </w:pPr>
          </w:p>
          <w:p w14:paraId="595ECE00" w14:textId="77777777" w:rsidR="00473993" w:rsidRPr="004E105A" w:rsidRDefault="00473993" w:rsidP="00B173A2">
            <w:pPr>
              <w:rPr>
                <w:rFonts w:asciiTheme="majorBidi" w:hAnsiTheme="majorBidi" w:cstheme="majorBidi"/>
                <w:sz w:val="24"/>
                <w:szCs w:val="24"/>
              </w:rPr>
            </w:pPr>
            <w:r>
              <w:rPr>
                <w:rFonts w:asciiTheme="majorBidi" w:hAnsiTheme="majorBidi" w:cstheme="majorBidi"/>
                <w:sz w:val="24"/>
                <w:szCs w:val="24"/>
              </w:rPr>
              <w:t>25</w:t>
            </w:r>
            <w:r w:rsidRPr="004E105A">
              <w:rPr>
                <w:rFonts w:asciiTheme="majorBidi" w:hAnsiTheme="majorBidi" w:cstheme="majorBidi"/>
                <w:sz w:val="24"/>
                <w:szCs w:val="24"/>
              </w:rPr>
              <w:t xml:space="preserve"> (100%)</w:t>
            </w:r>
          </w:p>
          <w:p w14:paraId="2511B65C"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0 (0%)</w:t>
            </w:r>
          </w:p>
        </w:tc>
        <w:tc>
          <w:tcPr>
            <w:tcW w:w="2880" w:type="dxa"/>
          </w:tcPr>
          <w:p w14:paraId="338DB187" w14:textId="77777777" w:rsidR="00473993" w:rsidRPr="004E105A" w:rsidRDefault="00473993" w:rsidP="00B173A2">
            <w:pPr>
              <w:rPr>
                <w:rFonts w:asciiTheme="majorBidi" w:hAnsiTheme="majorBidi" w:cstheme="majorBidi"/>
                <w:sz w:val="24"/>
                <w:szCs w:val="24"/>
              </w:rPr>
            </w:pPr>
          </w:p>
          <w:p w14:paraId="5DE0542B"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16</w:t>
            </w:r>
            <w:r>
              <w:rPr>
                <w:rFonts w:asciiTheme="majorBidi" w:hAnsiTheme="majorBidi" w:cstheme="majorBidi"/>
                <w:sz w:val="24"/>
                <w:szCs w:val="24"/>
              </w:rPr>
              <w:t xml:space="preserve"> (64%)</w:t>
            </w:r>
          </w:p>
          <w:p w14:paraId="0209E472"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9</w:t>
            </w:r>
            <w:r>
              <w:rPr>
                <w:rFonts w:asciiTheme="majorBidi" w:hAnsiTheme="majorBidi" w:cstheme="majorBidi"/>
                <w:sz w:val="24"/>
                <w:szCs w:val="24"/>
              </w:rPr>
              <w:t xml:space="preserve"> (36%)</w:t>
            </w:r>
          </w:p>
        </w:tc>
        <w:tc>
          <w:tcPr>
            <w:tcW w:w="1260" w:type="dxa"/>
          </w:tcPr>
          <w:p w14:paraId="508D8F54" w14:textId="77777777" w:rsidR="00473993" w:rsidRPr="004E105A" w:rsidRDefault="00473993" w:rsidP="00B173A2">
            <w:pPr>
              <w:rPr>
                <w:rFonts w:asciiTheme="majorBidi" w:hAnsiTheme="majorBidi" w:cstheme="majorBidi"/>
                <w:sz w:val="24"/>
                <w:szCs w:val="24"/>
              </w:rPr>
            </w:pPr>
            <w:r w:rsidRPr="00881FB7">
              <w:rPr>
                <w:rFonts w:ascii="Times New Roman" w:hAnsi="Times New Roman" w:cs="Times New Roman"/>
                <w:sz w:val="24"/>
                <w:szCs w:val="24"/>
              </w:rPr>
              <w:t>˂0.001*</w:t>
            </w:r>
          </w:p>
        </w:tc>
      </w:tr>
      <w:tr w:rsidR="00473993" w:rsidRPr="004E105A" w14:paraId="0B7FC0BE" w14:textId="77777777" w:rsidTr="00B173A2">
        <w:trPr>
          <w:trHeight w:val="620"/>
        </w:trPr>
        <w:tc>
          <w:tcPr>
            <w:tcW w:w="2601" w:type="dxa"/>
          </w:tcPr>
          <w:p w14:paraId="2C2C48AF"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b/>
                <w:bCs/>
                <w:sz w:val="24"/>
                <w:szCs w:val="24"/>
              </w:rPr>
              <w:t>AIHA</w:t>
            </w:r>
          </w:p>
          <w:p w14:paraId="39ED2FA6"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No</w:t>
            </w:r>
          </w:p>
          <w:p w14:paraId="5B49D77C"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sz w:val="24"/>
                <w:szCs w:val="24"/>
              </w:rPr>
              <w:t>Yes</w:t>
            </w:r>
          </w:p>
        </w:tc>
        <w:tc>
          <w:tcPr>
            <w:tcW w:w="2704" w:type="dxa"/>
          </w:tcPr>
          <w:p w14:paraId="3ADC8444" w14:textId="77777777" w:rsidR="00473993" w:rsidRPr="004E105A" w:rsidRDefault="00473993" w:rsidP="00B173A2">
            <w:pPr>
              <w:rPr>
                <w:rFonts w:asciiTheme="majorBidi" w:hAnsiTheme="majorBidi" w:cstheme="majorBidi"/>
                <w:sz w:val="24"/>
                <w:szCs w:val="24"/>
              </w:rPr>
            </w:pPr>
          </w:p>
          <w:p w14:paraId="38CB04D6" w14:textId="77777777" w:rsidR="00473993" w:rsidRPr="004E105A" w:rsidRDefault="00473993" w:rsidP="00B173A2">
            <w:pPr>
              <w:rPr>
                <w:rFonts w:asciiTheme="majorBidi" w:hAnsiTheme="majorBidi" w:cstheme="majorBidi"/>
                <w:sz w:val="24"/>
                <w:szCs w:val="24"/>
              </w:rPr>
            </w:pPr>
            <w:r>
              <w:rPr>
                <w:rFonts w:asciiTheme="majorBidi" w:hAnsiTheme="majorBidi" w:cstheme="majorBidi"/>
                <w:sz w:val="24"/>
                <w:szCs w:val="24"/>
              </w:rPr>
              <w:t>25</w:t>
            </w:r>
            <w:r w:rsidRPr="004E105A">
              <w:rPr>
                <w:rFonts w:asciiTheme="majorBidi" w:hAnsiTheme="majorBidi" w:cstheme="majorBidi"/>
                <w:sz w:val="24"/>
                <w:szCs w:val="24"/>
              </w:rPr>
              <w:t xml:space="preserve"> (100%)</w:t>
            </w:r>
          </w:p>
          <w:p w14:paraId="5F85614E"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0 (0%)</w:t>
            </w:r>
          </w:p>
        </w:tc>
        <w:tc>
          <w:tcPr>
            <w:tcW w:w="2880" w:type="dxa"/>
          </w:tcPr>
          <w:p w14:paraId="1AF2C5D4" w14:textId="77777777" w:rsidR="00473993" w:rsidRPr="004E105A" w:rsidRDefault="00473993" w:rsidP="00B173A2">
            <w:pPr>
              <w:rPr>
                <w:rFonts w:asciiTheme="majorBidi" w:hAnsiTheme="majorBidi" w:cstheme="majorBidi"/>
                <w:sz w:val="24"/>
                <w:szCs w:val="24"/>
              </w:rPr>
            </w:pPr>
          </w:p>
          <w:p w14:paraId="6E9C1D58"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23</w:t>
            </w:r>
            <w:r>
              <w:rPr>
                <w:rFonts w:asciiTheme="majorBidi" w:hAnsiTheme="majorBidi" w:cstheme="majorBidi"/>
                <w:sz w:val="24"/>
                <w:szCs w:val="24"/>
              </w:rPr>
              <w:t xml:space="preserve"> (92%)</w:t>
            </w:r>
          </w:p>
          <w:p w14:paraId="761EB62C"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2</w:t>
            </w:r>
            <w:r>
              <w:rPr>
                <w:rFonts w:asciiTheme="majorBidi" w:hAnsiTheme="majorBidi" w:cstheme="majorBidi"/>
                <w:sz w:val="24"/>
                <w:szCs w:val="24"/>
              </w:rPr>
              <w:t xml:space="preserve"> (8%)</w:t>
            </w:r>
          </w:p>
        </w:tc>
        <w:tc>
          <w:tcPr>
            <w:tcW w:w="1260" w:type="dxa"/>
          </w:tcPr>
          <w:p w14:paraId="133FA3E8" w14:textId="77777777" w:rsidR="00473993" w:rsidRPr="004E105A" w:rsidRDefault="00473993" w:rsidP="00B173A2">
            <w:pPr>
              <w:rPr>
                <w:rFonts w:asciiTheme="majorBidi" w:hAnsiTheme="majorBidi" w:cstheme="majorBidi"/>
                <w:sz w:val="24"/>
                <w:szCs w:val="24"/>
              </w:rPr>
            </w:pPr>
            <w:r w:rsidRPr="00881FB7">
              <w:rPr>
                <w:rFonts w:ascii="Times New Roman" w:hAnsi="Times New Roman" w:cs="Times New Roman"/>
                <w:sz w:val="24"/>
                <w:szCs w:val="24"/>
              </w:rPr>
              <w:t>˂0.001*</w:t>
            </w:r>
          </w:p>
        </w:tc>
      </w:tr>
      <w:tr w:rsidR="00473993" w:rsidRPr="004E105A" w14:paraId="797CBDAF" w14:textId="77777777" w:rsidTr="00B173A2">
        <w:trPr>
          <w:trHeight w:val="620"/>
        </w:trPr>
        <w:tc>
          <w:tcPr>
            <w:tcW w:w="2601" w:type="dxa"/>
            <w:tcBorders>
              <w:bottom w:val="single" w:sz="4" w:space="0" w:color="auto"/>
            </w:tcBorders>
          </w:tcPr>
          <w:p w14:paraId="3F11FB1C"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b/>
                <w:bCs/>
                <w:sz w:val="24"/>
                <w:szCs w:val="24"/>
              </w:rPr>
              <w:t>ITP</w:t>
            </w:r>
          </w:p>
          <w:p w14:paraId="2FDB42F4"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No</w:t>
            </w:r>
          </w:p>
          <w:p w14:paraId="09A4660F" w14:textId="77777777" w:rsidR="00473993" w:rsidRPr="004E105A" w:rsidRDefault="00473993" w:rsidP="00B173A2">
            <w:pPr>
              <w:rPr>
                <w:rFonts w:asciiTheme="majorBidi" w:hAnsiTheme="majorBidi" w:cstheme="majorBidi"/>
                <w:b/>
                <w:bCs/>
                <w:sz w:val="24"/>
                <w:szCs w:val="24"/>
              </w:rPr>
            </w:pPr>
            <w:r w:rsidRPr="004E105A">
              <w:rPr>
                <w:rFonts w:asciiTheme="majorBidi" w:hAnsiTheme="majorBidi" w:cstheme="majorBidi"/>
                <w:sz w:val="24"/>
                <w:szCs w:val="24"/>
              </w:rPr>
              <w:t>Yes</w:t>
            </w:r>
          </w:p>
        </w:tc>
        <w:tc>
          <w:tcPr>
            <w:tcW w:w="2704" w:type="dxa"/>
            <w:tcBorders>
              <w:bottom w:val="single" w:sz="4" w:space="0" w:color="auto"/>
            </w:tcBorders>
          </w:tcPr>
          <w:p w14:paraId="02EBF1A5" w14:textId="77777777" w:rsidR="00473993" w:rsidRPr="004E105A" w:rsidRDefault="00473993" w:rsidP="00B173A2">
            <w:pPr>
              <w:rPr>
                <w:rFonts w:asciiTheme="majorBidi" w:hAnsiTheme="majorBidi" w:cstheme="majorBidi"/>
                <w:sz w:val="24"/>
                <w:szCs w:val="24"/>
              </w:rPr>
            </w:pPr>
          </w:p>
          <w:p w14:paraId="30A1F027" w14:textId="77777777" w:rsidR="00473993" w:rsidRPr="004E105A" w:rsidRDefault="00473993" w:rsidP="00B173A2">
            <w:pPr>
              <w:rPr>
                <w:rFonts w:asciiTheme="majorBidi" w:hAnsiTheme="majorBidi" w:cstheme="majorBidi"/>
                <w:sz w:val="24"/>
                <w:szCs w:val="24"/>
              </w:rPr>
            </w:pPr>
            <w:r>
              <w:rPr>
                <w:rFonts w:asciiTheme="majorBidi" w:hAnsiTheme="majorBidi" w:cstheme="majorBidi"/>
                <w:sz w:val="24"/>
                <w:szCs w:val="24"/>
              </w:rPr>
              <w:t>25</w:t>
            </w:r>
            <w:r w:rsidRPr="004E105A">
              <w:rPr>
                <w:rFonts w:asciiTheme="majorBidi" w:hAnsiTheme="majorBidi" w:cstheme="majorBidi"/>
                <w:sz w:val="24"/>
                <w:szCs w:val="24"/>
              </w:rPr>
              <w:t xml:space="preserve"> (100%)</w:t>
            </w:r>
          </w:p>
          <w:p w14:paraId="4F86DE43"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0 (0%)</w:t>
            </w:r>
          </w:p>
        </w:tc>
        <w:tc>
          <w:tcPr>
            <w:tcW w:w="2880" w:type="dxa"/>
            <w:tcBorders>
              <w:bottom w:val="single" w:sz="4" w:space="0" w:color="auto"/>
            </w:tcBorders>
          </w:tcPr>
          <w:p w14:paraId="040995DF" w14:textId="77777777" w:rsidR="00473993" w:rsidRPr="004E105A" w:rsidRDefault="00473993" w:rsidP="00B173A2">
            <w:pPr>
              <w:rPr>
                <w:rFonts w:asciiTheme="majorBidi" w:hAnsiTheme="majorBidi" w:cstheme="majorBidi"/>
                <w:sz w:val="24"/>
                <w:szCs w:val="24"/>
              </w:rPr>
            </w:pPr>
          </w:p>
          <w:p w14:paraId="7EC74434"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23</w:t>
            </w:r>
            <w:r>
              <w:rPr>
                <w:rFonts w:asciiTheme="majorBidi" w:hAnsiTheme="majorBidi" w:cstheme="majorBidi"/>
                <w:sz w:val="24"/>
                <w:szCs w:val="24"/>
              </w:rPr>
              <w:t xml:space="preserve"> (92%)</w:t>
            </w:r>
          </w:p>
          <w:p w14:paraId="3D9087EF" w14:textId="77777777" w:rsidR="00473993" w:rsidRPr="004E105A" w:rsidRDefault="00473993" w:rsidP="00B173A2">
            <w:pPr>
              <w:rPr>
                <w:rFonts w:asciiTheme="majorBidi" w:hAnsiTheme="majorBidi" w:cstheme="majorBidi"/>
                <w:sz w:val="24"/>
                <w:szCs w:val="24"/>
              </w:rPr>
            </w:pPr>
            <w:r w:rsidRPr="004E105A">
              <w:rPr>
                <w:rFonts w:asciiTheme="majorBidi" w:hAnsiTheme="majorBidi" w:cstheme="majorBidi"/>
                <w:sz w:val="24"/>
                <w:szCs w:val="24"/>
              </w:rPr>
              <w:t>2</w:t>
            </w:r>
            <w:r>
              <w:rPr>
                <w:rFonts w:asciiTheme="majorBidi" w:hAnsiTheme="majorBidi" w:cstheme="majorBidi"/>
                <w:sz w:val="24"/>
                <w:szCs w:val="24"/>
              </w:rPr>
              <w:t xml:space="preserve"> (8%)</w:t>
            </w:r>
          </w:p>
        </w:tc>
        <w:tc>
          <w:tcPr>
            <w:tcW w:w="1260" w:type="dxa"/>
            <w:tcBorders>
              <w:bottom w:val="single" w:sz="4" w:space="0" w:color="auto"/>
            </w:tcBorders>
          </w:tcPr>
          <w:p w14:paraId="6CBBBE34" w14:textId="77777777" w:rsidR="00473993" w:rsidRPr="004E105A" w:rsidRDefault="00473993" w:rsidP="00B173A2">
            <w:pPr>
              <w:rPr>
                <w:rFonts w:asciiTheme="majorBidi" w:hAnsiTheme="majorBidi" w:cstheme="majorBidi"/>
                <w:sz w:val="24"/>
                <w:szCs w:val="24"/>
              </w:rPr>
            </w:pPr>
            <w:r w:rsidRPr="00881FB7">
              <w:rPr>
                <w:rFonts w:ascii="Times New Roman" w:hAnsi="Times New Roman" w:cs="Times New Roman"/>
                <w:sz w:val="24"/>
                <w:szCs w:val="24"/>
              </w:rPr>
              <w:t>˂0.001*</w:t>
            </w:r>
          </w:p>
        </w:tc>
      </w:tr>
    </w:tbl>
    <w:p w14:paraId="3A1384C2" w14:textId="19D8C7AB" w:rsidR="00A1194C" w:rsidRPr="00A1194C" w:rsidRDefault="00A1194C" w:rsidP="00A1194C">
      <w:pPr>
        <w:pStyle w:val="Caption"/>
        <w:keepNext/>
      </w:pPr>
      <w:r w:rsidRPr="00A1194C">
        <w:t xml:space="preserve">CLL; chronic Lymphocytic Leukemia, AIHA; autoimmune hemolytic anemia, ITP; immune thrombocytopenia, </w:t>
      </w:r>
      <w:r>
        <w:t>p-value</w:t>
      </w:r>
      <w:r w:rsidRPr="00A1194C">
        <w:t xml:space="preserve"> significant when p ≤ 0.05</w:t>
      </w:r>
      <w:r>
        <w:t>.</w:t>
      </w:r>
    </w:p>
    <w:p w14:paraId="2151489F" w14:textId="4A600A5D" w:rsidR="00C05559" w:rsidRDefault="0047518F" w:rsidP="00727817">
      <w:pPr>
        <w:autoSpaceDE w:val="0"/>
        <w:autoSpaceDN w:val="0"/>
        <w:adjustRightInd w:val="0"/>
        <w:spacing w:after="0" w:line="360" w:lineRule="auto"/>
        <w:jc w:val="both"/>
        <w:rPr>
          <w:rFonts w:asciiTheme="majorBidi" w:hAnsiTheme="majorBidi" w:cstheme="majorBidi"/>
          <w:color w:val="000000"/>
          <w:sz w:val="24"/>
          <w:szCs w:val="24"/>
        </w:rPr>
      </w:pPr>
      <w:r w:rsidRPr="0047518F">
        <w:rPr>
          <w:rFonts w:asciiTheme="majorBidi" w:hAnsiTheme="majorBidi" w:cstheme="majorBidi"/>
          <w:color w:val="000000"/>
          <w:sz w:val="24"/>
          <w:szCs w:val="24"/>
        </w:rPr>
        <w:t>The current research concerning laboratory tests showed</w:t>
      </w:r>
      <w:r w:rsidR="00871AC8" w:rsidRPr="00E30642">
        <w:rPr>
          <w:rFonts w:asciiTheme="majorBidi" w:hAnsiTheme="majorBidi" w:cstheme="majorBidi"/>
          <w:color w:val="000000"/>
          <w:sz w:val="24"/>
          <w:szCs w:val="24"/>
        </w:rPr>
        <w:t xml:space="preserve"> significant differences between the studied group's regards.</w:t>
      </w:r>
      <w:r w:rsidR="008C46A4" w:rsidRPr="00E30642">
        <w:rPr>
          <w:rFonts w:asciiTheme="majorBidi" w:hAnsiTheme="majorBidi" w:cstheme="majorBidi"/>
          <w:sz w:val="24"/>
          <w:szCs w:val="24"/>
        </w:rPr>
        <w:t xml:space="preserve"> </w:t>
      </w:r>
      <w:r w:rsidR="008C46A4" w:rsidRPr="00E30642">
        <w:rPr>
          <w:rFonts w:asciiTheme="majorBidi" w:hAnsiTheme="majorBidi" w:cstheme="majorBidi"/>
          <w:color w:val="000000"/>
          <w:sz w:val="24"/>
          <w:szCs w:val="24"/>
        </w:rPr>
        <w:t>WBC</w:t>
      </w:r>
      <w:r w:rsidR="00AE0731" w:rsidRPr="00E30642">
        <w:rPr>
          <w:rFonts w:asciiTheme="majorBidi" w:hAnsiTheme="majorBidi" w:cstheme="majorBidi"/>
          <w:color w:val="000000"/>
          <w:sz w:val="24"/>
          <w:szCs w:val="24"/>
        </w:rPr>
        <w:t>,</w:t>
      </w:r>
      <w:r w:rsidR="008C46A4" w:rsidRPr="00E30642">
        <w:rPr>
          <w:rFonts w:asciiTheme="majorBidi" w:hAnsiTheme="majorBidi" w:cstheme="majorBidi"/>
          <w:color w:val="000000"/>
          <w:sz w:val="24"/>
          <w:szCs w:val="24"/>
        </w:rPr>
        <w:t xml:space="preserve"> ALC, hemoglobin, platelets.</w:t>
      </w:r>
      <w:r w:rsidR="00AE0731" w:rsidRPr="00E30642">
        <w:rPr>
          <w:rFonts w:asciiTheme="majorBidi" w:hAnsiTheme="majorBidi" w:cstheme="majorBidi"/>
          <w:color w:val="000000"/>
          <w:sz w:val="24"/>
          <w:szCs w:val="24"/>
        </w:rPr>
        <w:t xml:space="preserve"> As expected, there </w:t>
      </w:r>
      <w:bookmarkStart w:id="12" w:name="_Hlk125498643"/>
      <w:r w:rsidR="00AE0731" w:rsidRPr="00E30642">
        <w:rPr>
          <w:rFonts w:asciiTheme="majorBidi" w:hAnsiTheme="majorBidi" w:cstheme="majorBidi"/>
          <w:color w:val="000000"/>
          <w:sz w:val="24"/>
          <w:szCs w:val="24"/>
        </w:rPr>
        <w:t xml:space="preserve">were significantly higher </w:t>
      </w:r>
      <w:bookmarkEnd w:id="12"/>
      <w:r w:rsidR="00AE0731" w:rsidRPr="00E30642">
        <w:rPr>
          <w:rFonts w:asciiTheme="majorBidi" w:hAnsiTheme="majorBidi" w:cstheme="majorBidi"/>
          <w:color w:val="000000"/>
          <w:sz w:val="24"/>
          <w:szCs w:val="24"/>
        </w:rPr>
        <w:t xml:space="preserve">values of WBC and ALC in the CLL group compared to controls. </w:t>
      </w:r>
      <w:r>
        <w:rPr>
          <w:rFonts w:asciiTheme="majorBidi" w:hAnsiTheme="majorBidi" w:cstheme="majorBidi"/>
          <w:color w:val="000000"/>
          <w:sz w:val="24"/>
          <w:szCs w:val="24"/>
        </w:rPr>
        <w:t>On</w:t>
      </w:r>
      <w:r w:rsidR="00AE0731" w:rsidRPr="00E30642">
        <w:rPr>
          <w:rFonts w:asciiTheme="majorBidi" w:hAnsiTheme="majorBidi" w:cstheme="majorBidi"/>
          <w:color w:val="000000"/>
          <w:sz w:val="24"/>
          <w:szCs w:val="24"/>
        </w:rPr>
        <w:t xml:space="preserve"> the other hand,</w:t>
      </w:r>
      <w:r w:rsidR="00AE0731" w:rsidRPr="00E30642">
        <w:rPr>
          <w:rFonts w:asciiTheme="majorBidi" w:hAnsiTheme="majorBidi" w:cstheme="majorBidi"/>
          <w:sz w:val="24"/>
          <w:szCs w:val="24"/>
        </w:rPr>
        <w:t xml:space="preserve"> there were significantly lower values of </w:t>
      </w:r>
      <w:r w:rsidR="00AE0731" w:rsidRPr="00E30642">
        <w:rPr>
          <w:rFonts w:asciiTheme="majorBidi" w:hAnsiTheme="majorBidi" w:cstheme="majorBidi"/>
          <w:color w:val="000000"/>
          <w:sz w:val="24"/>
          <w:szCs w:val="24"/>
        </w:rPr>
        <w:t>hemoglobin and platelets</w:t>
      </w:r>
      <w:r w:rsidR="00AE0731" w:rsidRPr="00E30642">
        <w:rPr>
          <w:rFonts w:asciiTheme="majorBidi" w:hAnsiTheme="majorBidi" w:cstheme="majorBidi"/>
          <w:sz w:val="24"/>
          <w:szCs w:val="24"/>
        </w:rPr>
        <w:t xml:space="preserve"> </w:t>
      </w:r>
      <w:r w:rsidR="00AE0731" w:rsidRPr="00E30642">
        <w:rPr>
          <w:rFonts w:asciiTheme="majorBidi" w:hAnsiTheme="majorBidi" w:cstheme="majorBidi"/>
          <w:color w:val="000000"/>
          <w:sz w:val="24"/>
          <w:szCs w:val="24"/>
        </w:rPr>
        <w:t>in the CLL group compared to the control</w:t>
      </w:r>
      <w:r w:rsidR="008C29C2" w:rsidRPr="00E30642">
        <w:rPr>
          <w:rFonts w:asciiTheme="majorBidi" w:hAnsiTheme="majorBidi" w:cstheme="majorBidi"/>
          <w:color w:val="000000"/>
          <w:sz w:val="24"/>
          <w:szCs w:val="24"/>
        </w:rPr>
        <w:t xml:space="preserve"> group. </w:t>
      </w:r>
      <w:r w:rsidR="00E20467">
        <w:rPr>
          <w:rFonts w:asciiTheme="majorBidi" w:hAnsiTheme="majorBidi" w:cstheme="majorBidi"/>
          <w:color w:val="000000"/>
          <w:sz w:val="24"/>
          <w:szCs w:val="24"/>
        </w:rPr>
        <w:t>C</w:t>
      </w:r>
      <w:r w:rsidR="008C29C2" w:rsidRPr="00E30642">
        <w:rPr>
          <w:rFonts w:asciiTheme="majorBidi" w:hAnsiTheme="majorBidi" w:cstheme="majorBidi"/>
          <w:color w:val="000000"/>
          <w:sz w:val="24"/>
          <w:szCs w:val="24"/>
        </w:rPr>
        <w:t xml:space="preserve">oncerning severity and diagnostic </w:t>
      </w:r>
      <w:r w:rsidR="00BB616F" w:rsidRPr="00E30642">
        <w:rPr>
          <w:rFonts w:asciiTheme="majorBidi" w:hAnsiTheme="majorBidi" w:cstheme="majorBidi"/>
          <w:color w:val="000000"/>
          <w:sz w:val="24"/>
          <w:szCs w:val="24"/>
        </w:rPr>
        <w:t>markers, LDH,</w:t>
      </w:r>
      <w:r w:rsidR="00684AF9" w:rsidRPr="00E30642">
        <w:rPr>
          <w:rFonts w:asciiTheme="majorBidi" w:hAnsiTheme="majorBidi" w:cstheme="majorBidi"/>
          <w:color w:val="000000"/>
          <w:sz w:val="24"/>
          <w:szCs w:val="24"/>
        </w:rPr>
        <w:t xml:space="preserve"> </w:t>
      </w:r>
      <w:r w:rsidR="00BB616F" w:rsidRPr="00E30642">
        <w:rPr>
          <w:rFonts w:asciiTheme="majorBidi" w:hAnsiTheme="majorBidi" w:cstheme="majorBidi"/>
          <w:color w:val="000000"/>
          <w:sz w:val="24"/>
          <w:szCs w:val="24"/>
        </w:rPr>
        <w:t>serum β2M, ZAP-70</w:t>
      </w:r>
      <w:r w:rsidR="00684AF9" w:rsidRPr="00E30642">
        <w:rPr>
          <w:rFonts w:asciiTheme="majorBidi" w:hAnsiTheme="majorBidi" w:cstheme="majorBidi"/>
          <w:color w:val="000000"/>
          <w:sz w:val="24"/>
          <w:szCs w:val="24"/>
        </w:rPr>
        <w:t>%</w:t>
      </w:r>
      <w:r w:rsidR="00684AF9" w:rsidRPr="00E30642">
        <w:rPr>
          <w:rFonts w:asciiTheme="majorBidi" w:hAnsiTheme="majorBidi" w:cstheme="majorBidi"/>
          <w:sz w:val="24"/>
          <w:szCs w:val="24"/>
        </w:rPr>
        <w:t xml:space="preserve"> </w:t>
      </w:r>
      <w:r w:rsidR="00727817" w:rsidRPr="00727817">
        <w:rPr>
          <w:rFonts w:asciiTheme="majorBidi" w:hAnsiTheme="majorBidi" w:cstheme="majorBidi"/>
          <w:sz w:val="24"/>
          <w:szCs w:val="24"/>
        </w:rPr>
        <w:t>17p del/ p53 mutation</w:t>
      </w:r>
      <w:r w:rsidR="00684AF9" w:rsidRPr="00E30642">
        <w:rPr>
          <w:rFonts w:asciiTheme="majorBidi" w:hAnsiTheme="majorBidi" w:cstheme="majorBidi"/>
          <w:sz w:val="24"/>
          <w:szCs w:val="24"/>
        </w:rPr>
        <w:t>, and</w:t>
      </w:r>
      <w:r w:rsidR="00BB616F" w:rsidRPr="00E30642">
        <w:rPr>
          <w:rFonts w:asciiTheme="majorBidi" w:hAnsiTheme="majorBidi" w:cstheme="majorBidi"/>
          <w:sz w:val="24"/>
          <w:szCs w:val="24"/>
        </w:rPr>
        <w:t xml:space="preserve"> </w:t>
      </w:r>
      <w:r w:rsidR="00BB616F" w:rsidRPr="00E30642">
        <w:rPr>
          <w:rFonts w:asciiTheme="majorBidi" w:hAnsiTheme="majorBidi" w:cstheme="majorBidi"/>
          <w:color w:val="000000"/>
          <w:sz w:val="24"/>
          <w:szCs w:val="24"/>
        </w:rPr>
        <w:t>CD38%</w:t>
      </w:r>
      <w:r w:rsidR="00BB616F" w:rsidRPr="00E30642">
        <w:rPr>
          <w:rFonts w:asciiTheme="majorBidi" w:hAnsiTheme="majorBidi" w:cstheme="majorBidi"/>
          <w:sz w:val="24"/>
          <w:szCs w:val="24"/>
        </w:rPr>
        <w:t xml:space="preserve"> </w:t>
      </w:r>
      <w:r w:rsidR="00BB616F" w:rsidRPr="004149D2">
        <w:rPr>
          <w:rFonts w:asciiTheme="majorBidi" w:hAnsiTheme="majorBidi" w:cstheme="majorBidi"/>
          <w:color w:val="000000"/>
          <w:sz w:val="24"/>
          <w:szCs w:val="24"/>
        </w:rPr>
        <w:t>were significantly higher</w:t>
      </w:r>
      <w:r w:rsidR="00BB616F" w:rsidRPr="00E30642">
        <w:rPr>
          <w:rFonts w:asciiTheme="majorBidi" w:hAnsiTheme="majorBidi" w:cstheme="majorBidi"/>
          <w:color w:val="000000"/>
          <w:sz w:val="24"/>
          <w:szCs w:val="24"/>
        </w:rPr>
        <w:t xml:space="preserve"> in the CLL group </w:t>
      </w:r>
      <w:r>
        <w:rPr>
          <w:rFonts w:asciiTheme="majorBidi" w:hAnsiTheme="majorBidi" w:cstheme="majorBidi"/>
          <w:color w:val="000000"/>
          <w:sz w:val="24"/>
          <w:szCs w:val="24"/>
        </w:rPr>
        <w:t>than</w:t>
      </w:r>
      <w:r w:rsidR="00BB616F" w:rsidRPr="00E30642">
        <w:rPr>
          <w:rFonts w:asciiTheme="majorBidi" w:hAnsiTheme="majorBidi" w:cstheme="majorBidi"/>
          <w:color w:val="000000"/>
          <w:sz w:val="24"/>
          <w:szCs w:val="24"/>
        </w:rPr>
        <w:t xml:space="preserve"> </w:t>
      </w:r>
      <w:r w:rsidR="004149D2">
        <w:rPr>
          <w:rFonts w:asciiTheme="majorBidi" w:hAnsiTheme="majorBidi" w:cstheme="majorBidi"/>
          <w:color w:val="000000"/>
          <w:sz w:val="24"/>
          <w:szCs w:val="24"/>
        </w:rPr>
        <w:t xml:space="preserve">in </w:t>
      </w:r>
      <w:r w:rsidR="00BB616F" w:rsidRPr="00E30642">
        <w:rPr>
          <w:rFonts w:asciiTheme="majorBidi" w:hAnsiTheme="majorBidi" w:cstheme="majorBidi"/>
          <w:color w:val="000000"/>
          <w:sz w:val="24"/>
          <w:szCs w:val="24"/>
        </w:rPr>
        <w:t>controls.  Regards risk stratification, according</w:t>
      </w:r>
      <w:r w:rsidR="0068137C" w:rsidRPr="00E30642">
        <w:rPr>
          <w:rFonts w:asciiTheme="majorBidi" w:hAnsiTheme="majorBidi" w:cstheme="majorBidi"/>
          <w:color w:val="000000"/>
          <w:sz w:val="24"/>
          <w:szCs w:val="24"/>
        </w:rPr>
        <w:t xml:space="preserve"> to the Rai staging system, </w:t>
      </w:r>
      <w:r w:rsidR="00D11C34" w:rsidRPr="00E30642">
        <w:rPr>
          <w:rFonts w:asciiTheme="majorBidi" w:hAnsiTheme="majorBidi" w:cstheme="majorBidi"/>
          <w:color w:val="000000"/>
          <w:sz w:val="24"/>
          <w:szCs w:val="24"/>
        </w:rPr>
        <w:t>10(40%) patients</w:t>
      </w:r>
      <w:r w:rsidR="00B315DF" w:rsidRPr="00E30642">
        <w:rPr>
          <w:rFonts w:asciiTheme="majorBidi" w:hAnsiTheme="majorBidi" w:cstheme="majorBidi"/>
          <w:color w:val="000000"/>
          <w:sz w:val="24"/>
          <w:szCs w:val="24"/>
        </w:rPr>
        <w:t xml:space="preserve"> had</w:t>
      </w:r>
      <w:r w:rsidR="00684AF9" w:rsidRPr="00E30642">
        <w:rPr>
          <w:rFonts w:asciiTheme="majorBidi" w:hAnsiTheme="majorBidi" w:cstheme="majorBidi"/>
          <w:color w:val="000000"/>
          <w:sz w:val="24"/>
          <w:szCs w:val="24"/>
        </w:rPr>
        <w:t xml:space="preserve"> low risk,</w:t>
      </w:r>
      <w:r w:rsidR="00B315DF" w:rsidRPr="00E30642">
        <w:rPr>
          <w:rFonts w:asciiTheme="majorBidi" w:hAnsiTheme="majorBidi" w:cstheme="majorBidi"/>
          <w:sz w:val="24"/>
          <w:szCs w:val="24"/>
        </w:rPr>
        <w:t xml:space="preserve"> </w:t>
      </w:r>
      <w:r w:rsidR="00D11C34" w:rsidRPr="00E30642">
        <w:rPr>
          <w:rFonts w:asciiTheme="majorBidi" w:hAnsiTheme="majorBidi" w:cstheme="majorBidi"/>
          <w:color w:val="000000"/>
          <w:sz w:val="24"/>
          <w:szCs w:val="24"/>
        </w:rPr>
        <w:t>9(36%)</w:t>
      </w:r>
      <w:r w:rsidR="004149D2">
        <w:rPr>
          <w:rFonts w:asciiTheme="majorBidi" w:hAnsiTheme="majorBidi" w:cstheme="majorBidi"/>
          <w:color w:val="000000"/>
          <w:sz w:val="24"/>
          <w:szCs w:val="24"/>
        </w:rPr>
        <w:t xml:space="preserve"> </w:t>
      </w:r>
      <w:r w:rsidR="00B315DF" w:rsidRPr="00E30642">
        <w:rPr>
          <w:rFonts w:asciiTheme="majorBidi" w:hAnsiTheme="majorBidi" w:cstheme="majorBidi"/>
          <w:color w:val="000000"/>
          <w:sz w:val="24"/>
          <w:szCs w:val="24"/>
        </w:rPr>
        <w:t>patients had</w:t>
      </w:r>
      <w:r w:rsidR="00B315DF" w:rsidRPr="00E30642">
        <w:rPr>
          <w:rFonts w:asciiTheme="majorBidi" w:hAnsiTheme="majorBidi" w:cstheme="majorBidi"/>
          <w:sz w:val="24"/>
          <w:szCs w:val="24"/>
        </w:rPr>
        <w:t xml:space="preserve"> </w:t>
      </w:r>
      <w:r w:rsidR="00B315DF" w:rsidRPr="00E30642">
        <w:rPr>
          <w:rFonts w:asciiTheme="majorBidi" w:hAnsiTheme="majorBidi" w:cstheme="majorBidi"/>
          <w:color w:val="000000"/>
          <w:sz w:val="24"/>
          <w:szCs w:val="24"/>
        </w:rPr>
        <w:t>intermediate risk</w:t>
      </w:r>
      <w:r>
        <w:rPr>
          <w:rFonts w:asciiTheme="majorBidi" w:hAnsiTheme="majorBidi" w:cstheme="majorBidi"/>
          <w:color w:val="000000"/>
          <w:sz w:val="24"/>
          <w:szCs w:val="24"/>
        </w:rPr>
        <w:t>,</w:t>
      </w:r>
      <w:r w:rsidR="00B315DF" w:rsidRPr="00E30642">
        <w:rPr>
          <w:rFonts w:asciiTheme="majorBidi" w:hAnsiTheme="majorBidi" w:cstheme="majorBidi"/>
          <w:color w:val="000000"/>
          <w:sz w:val="24"/>
          <w:szCs w:val="24"/>
        </w:rPr>
        <w:t xml:space="preserve"> and </w:t>
      </w:r>
      <w:r w:rsidR="00D11C34" w:rsidRPr="00E30642">
        <w:rPr>
          <w:rFonts w:asciiTheme="majorBidi" w:hAnsiTheme="majorBidi" w:cstheme="majorBidi"/>
          <w:color w:val="000000"/>
          <w:sz w:val="24"/>
          <w:szCs w:val="24"/>
        </w:rPr>
        <w:t xml:space="preserve">6(24%) </w:t>
      </w:r>
      <w:r w:rsidR="00B315DF" w:rsidRPr="00E30642">
        <w:rPr>
          <w:rFonts w:asciiTheme="majorBidi" w:hAnsiTheme="majorBidi" w:cstheme="majorBidi"/>
          <w:color w:val="000000"/>
          <w:sz w:val="24"/>
          <w:szCs w:val="24"/>
        </w:rPr>
        <w:t xml:space="preserve">patients were </w:t>
      </w:r>
      <w:r w:rsidR="00684AF9" w:rsidRPr="00E30642">
        <w:rPr>
          <w:rFonts w:asciiTheme="majorBidi" w:hAnsiTheme="majorBidi" w:cstheme="majorBidi"/>
          <w:color w:val="000000"/>
          <w:sz w:val="24"/>
          <w:szCs w:val="24"/>
        </w:rPr>
        <w:t>high-risk</w:t>
      </w:r>
      <w:r w:rsidR="00B315DF" w:rsidRPr="00E30642">
        <w:rPr>
          <w:rFonts w:asciiTheme="majorBidi" w:hAnsiTheme="majorBidi" w:cstheme="majorBidi"/>
          <w:color w:val="000000"/>
          <w:sz w:val="24"/>
          <w:szCs w:val="24"/>
        </w:rPr>
        <w:t>.</w:t>
      </w:r>
      <w:r w:rsidR="00684AF9" w:rsidRPr="00E30642">
        <w:rPr>
          <w:rFonts w:asciiTheme="majorBidi" w:hAnsiTheme="majorBidi" w:cstheme="majorBidi"/>
          <w:color w:val="000000"/>
          <w:sz w:val="24"/>
          <w:szCs w:val="24"/>
        </w:rPr>
        <w:t xml:space="preserve"> </w:t>
      </w:r>
      <w:r w:rsidR="00871AC8" w:rsidRPr="00E30642">
        <w:rPr>
          <w:rFonts w:asciiTheme="majorBidi" w:hAnsiTheme="majorBidi" w:cstheme="majorBidi"/>
          <w:color w:val="000000"/>
          <w:sz w:val="24"/>
          <w:szCs w:val="24"/>
        </w:rPr>
        <w:t>(Table 2, P</w:t>
      </w:r>
      <w:r w:rsidR="00D11C34" w:rsidRPr="00E30642">
        <w:rPr>
          <w:rFonts w:asciiTheme="majorBidi" w:hAnsiTheme="majorBidi" w:cstheme="majorBidi"/>
          <w:color w:val="000000"/>
          <w:sz w:val="24"/>
          <w:szCs w:val="24"/>
        </w:rPr>
        <w:t>˂0.01*</w:t>
      </w:r>
      <w:r w:rsidR="00871AC8" w:rsidRPr="00E30642">
        <w:rPr>
          <w:rFonts w:asciiTheme="majorBidi" w:hAnsiTheme="majorBidi" w:cstheme="majorBidi"/>
          <w:color w:val="000000"/>
          <w:sz w:val="24"/>
          <w:szCs w:val="24"/>
        </w:rPr>
        <w:t>).</w:t>
      </w:r>
      <w:r w:rsidR="00D11C34" w:rsidRPr="00E30642">
        <w:rPr>
          <w:rFonts w:asciiTheme="majorBidi" w:hAnsiTheme="majorBidi" w:cstheme="majorBidi"/>
          <w:sz w:val="24"/>
          <w:szCs w:val="24"/>
        </w:rPr>
        <w:t xml:space="preserve"> </w:t>
      </w:r>
      <w:r w:rsidR="004149D2" w:rsidRPr="004149D2">
        <w:rPr>
          <w:rFonts w:asciiTheme="majorBidi" w:hAnsiTheme="majorBidi" w:cstheme="majorBidi"/>
          <w:color w:val="000000"/>
          <w:sz w:val="24"/>
          <w:szCs w:val="24"/>
        </w:rPr>
        <w:t xml:space="preserve">We also used the Binet staging system </w:t>
      </w:r>
      <w:r w:rsidR="004149D2">
        <w:rPr>
          <w:rFonts w:asciiTheme="majorBidi" w:hAnsiTheme="majorBidi" w:cstheme="majorBidi"/>
          <w:color w:val="000000"/>
          <w:sz w:val="24"/>
          <w:szCs w:val="24"/>
        </w:rPr>
        <w:t>to evaluate CLL’s severity further</w:t>
      </w:r>
      <w:r w:rsidR="00D11C34" w:rsidRPr="00E30642">
        <w:rPr>
          <w:rFonts w:asciiTheme="majorBidi" w:hAnsiTheme="majorBidi" w:cstheme="majorBidi"/>
          <w:color w:val="000000"/>
          <w:sz w:val="24"/>
          <w:szCs w:val="24"/>
        </w:rPr>
        <w:t>. According to Binet staging system,</w:t>
      </w:r>
      <w:r w:rsidR="00D11C34" w:rsidRPr="00E30642">
        <w:rPr>
          <w:rFonts w:asciiTheme="majorBidi" w:hAnsiTheme="majorBidi" w:cstheme="majorBidi"/>
          <w:sz w:val="24"/>
          <w:szCs w:val="24"/>
        </w:rPr>
        <w:t xml:space="preserve"> </w:t>
      </w:r>
      <w:r w:rsidR="00D11C34" w:rsidRPr="00E30642">
        <w:rPr>
          <w:rFonts w:asciiTheme="majorBidi" w:hAnsiTheme="majorBidi" w:cstheme="majorBidi"/>
          <w:color w:val="000000"/>
          <w:sz w:val="24"/>
          <w:szCs w:val="24"/>
        </w:rPr>
        <w:t xml:space="preserve">11(44%) patients </w:t>
      </w:r>
      <w:bookmarkStart w:id="13" w:name="_Hlk125499160"/>
      <w:r w:rsidR="00D11C34" w:rsidRPr="00E30642">
        <w:rPr>
          <w:rFonts w:asciiTheme="majorBidi" w:hAnsiTheme="majorBidi" w:cstheme="majorBidi"/>
          <w:color w:val="000000"/>
          <w:sz w:val="24"/>
          <w:szCs w:val="24"/>
        </w:rPr>
        <w:t>in stage A</w:t>
      </w:r>
      <w:bookmarkEnd w:id="13"/>
      <w:r w:rsidR="00D11C34" w:rsidRPr="00E30642">
        <w:rPr>
          <w:rFonts w:asciiTheme="majorBidi" w:hAnsiTheme="majorBidi" w:cstheme="majorBidi"/>
          <w:color w:val="000000"/>
          <w:sz w:val="24"/>
          <w:szCs w:val="24"/>
        </w:rPr>
        <w:t>, 8(32%) patients in stage B and 6(24%) patients in stage C. (Table 2, P˂0.01*)</w:t>
      </w:r>
      <w:r w:rsidR="00A1194C">
        <w:rPr>
          <w:rFonts w:asciiTheme="majorBidi" w:hAnsiTheme="majorBidi" w:cstheme="majorBidi"/>
          <w:color w:val="000000"/>
          <w:sz w:val="24"/>
          <w:szCs w:val="24"/>
        </w:rPr>
        <w:t>.</w:t>
      </w:r>
    </w:p>
    <w:p w14:paraId="51C24B6B" w14:textId="5D1F67EE" w:rsidR="00E83135" w:rsidRDefault="00E83135" w:rsidP="00E83135">
      <w:pPr>
        <w:pStyle w:val="Caption"/>
        <w:keepNext/>
      </w:pPr>
      <w:r>
        <w:t xml:space="preserve">Table </w:t>
      </w:r>
      <w:fldSimple w:instr=" SEQ Table \* ARABIC ">
        <w:r w:rsidR="009505D9">
          <w:rPr>
            <w:noProof/>
          </w:rPr>
          <w:t>2</w:t>
        </w:r>
      </w:fldSimple>
      <w:r>
        <w:t xml:space="preserve">. </w:t>
      </w:r>
      <w:r w:rsidRPr="00E83135">
        <w:rPr>
          <w:lang w:val="en-GB"/>
        </w:rPr>
        <w:t>laboratory characteristics of the studied patient</w:t>
      </w:r>
      <w:r>
        <w:rPr>
          <w:lang w:val="en-GB"/>
        </w:rPr>
        <w:t>.</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aboratory characteristics of the studied patient."/>
        <w:tblDescription w:val="Hb; hemoglobin, WBC; white blood cells, ALC; absolute lymphocyte count, AST; aspartate aminotransferase, ALT; alanine transaminase, LDH; lactate Dehydrogenase ZAP-70%; Zeta-chain-associated protein kinase 70. A chi-square test was used for categorical variables to compare different groups. Student’s t-test was used for quantitative variables. *P &lt; 0.05 when compared with the control group."/>
      </w:tblPr>
      <w:tblGrid>
        <w:gridCol w:w="3505"/>
        <w:gridCol w:w="1980"/>
        <w:gridCol w:w="2160"/>
        <w:gridCol w:w="1800"/>
      </w:tblGrid>
      <w:tr w:rsidR="00A1194C" w:rsidRPr="0080772E" w14:paraId="1D947C88" w14:textId="77777777" w:rsidTr="00B173A2">
        <w:trPr>
          <w:trHeight w:val="270"/>
        </w:trPr>
        <w:tc>
          <w:tcPr>
            <w:tcW w:w="3505" w:type="dxa"/>
            <w:tcBorders>
              <w:top w:val="single" w:sz="4" w:space="0" w:color="auto"/>
              <w:bottom w:val="single" w:sz="4" w:space="0" w:color="auto"/>
            </w:tcBorders>
          </w:tcPr>
          <w:p w14:paraId="56D23BDB" w14:textId="77777777" w:rsidR="00A1194C" w:rsidRPr="001C021C" w:rsidRDefault="00A1194C" w:rsidP="00B173A2">
            <w:pPr>
              <w:rPr>
                <w:rFonts w:asciiTheme="majorBidi" w:hAnsiTheme="majorBidi" w:cstheme="majorBidi"/>
                <w:sz w:val="24"/>
                <w:szCs w:val="24"/>
              </w:rPr>
            </w:pPr>
            <w:r w:rsidRPr="00300DD7">
              <w:rPr>
                <w:rFonts w:asciiTheme="majorBidi" w:hAnsiTheme="majorBidi" w:cstheme="majorBidi"/>
                <w:b/>
                <w:bCs/>
                <w:sz w:val="24"/>
                <w:szCs w:val="24"/>
              </w:rPr>
              <w:t xml:space="preserve">Parameters </w:t>
            </w:r>
          </w:p>
        </w:tc>
        <w:tc>
          <w:tcPr>
            <w:tcW w:w="1980" w:type="dxa"/>
            <w:tcBorders>
              <w:top w:val="single" w:sz="4" w:space="0" w:color="auto"/>
              <w:bottom w:val="single" w:sz="4" w:space="0" w:color="auto"/>
            </w:tcBorders>
          </w:tcPr>
          <w:p w14:paraId="5A4F1E5E" w14:textId="77777777" w:rsidR="00A1194C" w:rsidRPr="008B3612" w:rsidRDefault="00A1194C" w:rsidP="00B173A2">
            <w:pPr>
              <w:rPr>
                <w:rFonts w:ascii="Times New Roman" w:hAnsi="Times New Roman" w:cs="Times New Roman"/>
                <w:color w:val="000000"/>
                <w:sz w:val="24"/>
                <w:szCs w:val="24"/>
              </w:rPr>
            </w:pPr>
            <w:r w:rsidRPr="00300DD7">
              <w:rPr>
                <w:rFonts w:asciiTheme="majorBidi" w:hAnsiTheme="majorBidi" w:cstheme="majorBidi"/>
                <w:b/>
                <w:bCs/>
                <w:sz w:val="24"/>
                <w:szCs w:val="24"/>
              </w:rPr>
              <w:t>Control group, (n=25)</w:t>
            </w:r>
          </w:p>
        </w:tc>
        <w:tc>
          <w:tcPr>
            <w:tcW w:w="2160" w:type="dxa"/>
            <w:tcBorders>
              <w:top w:val="single" w:sz="4" w:space="0" w:color="auto"/>
              <w:bottom w:val="single" w:sz="4" w:space="0" w:color="auto"/>
            </w:tcBorders>
          </w:tcPr>
          <w:p w14:paraId="284CE5E0" w14:textId="77777777" w:rsidR="00A1194C" w:rsidRPr="00300DD7" w:rsidRDefault="00A1194C" w:rsidP="00B173A2">
            <w:pPr>
              <w:jc w:val="center"/>
              <w:rPr>
                <w:rFonts w:asciiTheme="majorBidi" w:hAnsiTheme="majorBidi" w:cstheme="majorBidi"/>
                <w:b/>
                <w:bCs/>
                <w:sz w:val="24"/>
                <w:szCs w:val="24"/>
              </w:rPr>
            </w:pPr>
            <w:r w:rsidRPr="00300DD7">
              <w:rPr>
                <w:rFonts w:asciiTheme="majorBidi" w:hAnsiTheme="majorBidi" w:cstheme="majorBidi"/>
                <w:b/>
                <w:bCs/>
                <w:sz w:val="24"/>
                <w:szCs w:val="24"/>
              </w:rPr>
              <w:t>CLL</w:t>
            </w:r>
          </w:p>
          <w:p w14:paraId="291B812B" w14:textId="77777777" w:rsidR="00A1194C" w:rsidRDefault="00A1194C" w:rsidP="00B173A2">
            <w:pPr>
              <w:rPr>
                <w:rFonts w:asciiTheme="majorBidi" w:hAnsiTheme="majorBidi" w:cstheme="majorBidi"/>
                <w:sz w:val="24"/>
                <w:szCs w:val="24"/>
              </w:rPr>
            </w:pPr>
            <w:r w:rsidRPr="00300DD7">
              <w:rPr>
                <w:rFonts w:asciiTheme="majorBidi" w:hAnsiTheme="majorBidi" w:cstheme="majorBidi"/>
                <w:b/>
                <w:bCs/>
                <w:sz w:val="24"/>
                <w:szCs w:val="24"/>
              </w:rPr>
              <w:t>group, (n=25)</w:t>
            </w:r>
          </w:p>
        </w:tc>
        <w:tc>
          <w:tcPr>
            <w:tcW w:w="1800" w:type="dxa"/>
            <w:tcBorders>
              <w:top w:val="single" w:sz="4" w:space="0" w:color="auto"/>
              <w:bottom w:val="single" w:sz="4" w:space="0" w:color="auto"/>
            </w:tcBorders>
          </w:tcPr>
          <w:p w14:paraId="1F370A57" w14:textId="77777777" w:rsidR="00A1194C" w:rsidRPr="0080772E" w:rsidRDefault="00A1194C" w:rsidP="00B173A2">
            <w:pPr>
              <w:rPr>
                <w:rFonts w:asciiTheme="majorBidi" w:hAnsiTheme="majorBidi" w:cstheme="majorBidi"/>
                <w:sz w:val="24"/>
                <w:szCs w:val="24"/>
              </w:rPr>
            </w:pPr>
            <w:r w:rsidRPr="00300DD7">
              <w:rPr>
                <w:rFonts w:asciiTheme="majorBidi" w:hAnsiTheme="majorBidi" w:cstheme="majorBidi"/>
                <w:b/>
                <w:bCs/>
                <w:sz w:val="24"/>
                <w:szCs w:val="24"/>
              </w:rPr>
              <w:t xml:space="preserve">P value </w:t>
            </w:r>
          </w:p>
        </w:tc>
      </w:tr>
      <w:tr w:rsidR="00A1194C" w:rsidRPr="0080772E" w14:paraId="4FCE1DAD" w14:textId="77777777" w:rsidTr="00B173A2">
        <w:trPr>
          <w:trHeight w:val="270"/>
        </w:trPr>
        <w:tc>
          <w:tcPr>
            <w:tcW w:w="3505" w:type="dxa"/>
            <w:tcBorders>
              <w:top w:val="single" w:sz="4" w:space="0" w:color="auto"/>
            </w:tcBorders>
          </w:tcPr>
          <w:p w14:paraId="647A2779"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WBC (× 109/L)</w:t>
            </w:r>
          </w:p>
        </w:tc>
        <w:tc>
          <w:tcPr>
            <w:tcW w:w="1980" w:type="dxa"/>
            <w:tcBorders>
              <w:top w:val="single" w:sz="4" w:space="0" w:color="auto"/>
            </w:tcBorders>
          </w:tcPr>
          <w:p w14:paraId="3D494465" w14:textId="77777777" w:rsidR="00A1194C" w:rsidRPr="00D751BA" w:rsidRDefault="00A1194C" w:rsidP="00B173A2">
            <w:pPr>
              <w:rPr>
                <w:rFonts w:ascii="Times New Roman" w:hAnsi="Times New Roman" w:cs="Times New Roman"/>
                <w:color w:val="000000"/>
                <w:sz w:val="24"/>
                <w:szCs w:val="24"/>
              </w:rPr>
            </w:pPr>
            <w:r w:rsidRPr="008B3612">
              <w:rPr>
                <w:rFonts w:ascii="Times New Roman" w:hAnsi="Times New Roman" w:cs="Times New Roman"/>
                <w:color w:val="000000"/>
                <w:sz w:val="24"/>
                <w:szCs w:val="24"/>
              </w:rPr>
              <w:t>6.13±</w:t>
            </w:r>
            <w:r>
              <w:rPr>
                <w:rFonts w:ascii="Times New Roman" w:hAnsi="Times New Roman" w:cs="Times New Roman"/>
                <w:color w:val="000000"/>
                <w:sz w:val="24"/>
                <w:szCs w:val="24"/>
              </w:rPr>
              <w:t>1</w:t>
            </w:r>
            <w:r w:rsidRPr="008B3612">
              <w:rPr>
                <w:rFonts w:ascii="Times New Roman" w:hAnsi="Times New Roman" w:cs="Times New Roman"/>
                <w:color w:val="000000"/>
                <w:sz w:val="24"/>
                <w:szCs w:val="24"/>
              </w:rPr>
              <w:t>.93</w:t>
            </w:r>
          </w:p>
        </w:tc>
        <w:tc>
          <w:tcPr>
            <w:tcW w:w="2160" w:type="dxa"/>
            <w:tcBorders>
              <w:top w:val="single" w:sz="4" w:space="0" w:color="auto"/>
            </w:tcBorders>
          </w:tcPr>
          <w:p w14:paraId="3ED19EB3"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78.70±55.11</w:t>
            </w:r>
          </w:p>
        </w:tc>
        <w:tc>
          <w:tcPr>
            <w:tcW w:w="1800" w:type="dxa"/>
            <w:tcBorders>
              <w:top w:val="single" w:sz="4" w:space="0" w:color="auto"/>
            </w:tcBorders>
          </w:tcPr>
          <w:p w14:paraId="0AC201DC"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˂0.001*</w:t>
            </w:r>
          </w:p>
        </w:tc>
      </w:tr>
      <w:tr w:rsidR="00A1194C" w:rsidRPr="0080772E" w14:paraId="7A0ADCDC" w14:textId="77777777" w:rsidTr="00B173A2">
        <w:trPr>
          <w:trHeight w:val="310"/>
        </w:trPr>
        <w:tc>
          <w:tcPr>
            <w:tcW w:w="3505" w:type="dxa"/>
          </w:tcPr>
          <w:p w14:paraId="31555E00"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ALC (× 109/L)</w:t>
            </w:r>
          </w:p>
        </w:tc>
        <w:tc>
          <w:tcPr>
            <w:tcW w:w="1980" w:type="dxa"/>
          </w:tcPr>
          <w:p w14:paraId="3303EBE9" w14:textId="77777777" w:rsidR="00A1194C" w:rsidRPr="00D751BA" w:rsidRDefault="00A1194C" w:rsidP="00B173A2">
            <w:pPr>
              <w:rPr>
                <w:rFonts w:ascii="Times New Roman" w:hAnsi="Times New Roman" w:cs="Times New Roman"/>
                <w:color w:val="000000"/>
                <w:sz w:val="24"/>
                <w:szCs w:val="24"/>
              </w:rPr>
            </w:pPr>
            <w:r>
              <w:rPr>
                <w:rFonts w:ascii="Times New Roman" w:hAnsi="Times New Roman" w:cs="Times New Roman"/>
                <w:color w:val="000000"/>
                <w:sz w:val="24"/>
                <w:szCs w:val="24"/>
              </w:rPr>
              <w:t>2</w:t>
            </w:r>
            <w:r w:rsidRPr="008B3612">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8B3612">
              <w:rPr>
                <w:rFonts w:ascii="Times New Roman" w:hAnsi="Times New Roman" w:cs="Times New Roman"/>
                <w:color w:val="000000"/>
                <w:sz w:val="24"/>
                <w:szCs w:val="24"/>
              </w:rPr>
              <w:t>3±0.93</w:t>
            </w:r>
          </w:p>
        </w:tc>
        <w:tc>
          <w:tcPr>
            <w:tcW w:w="2160" w:type="dxa"/>
          </w:tcPr>
          <w:p w14:paraId="387E0F2E"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58.484±46.32</w:t>
            </w:r>
          </w:p>
        </w:tc>
        <w:tc>
          <w:tcPr>
            <w:tcW w:w="1800" w:type="dxa"/>
          </w:tcPr>
          <w:p w14:paraId="571920C4"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˂0.001*</w:t>
            </w:r>
          </w:p>
        </w:tc>
      </w:tr>
      <w:tr w:rsidR="00A1194C" w:rsidRPr="0080772E" w14:paraId="10F09C9F" w14:textId="77777777" w:rsidTr="00B173A2">
        <w:trPr>
          <w:trHeight w:val="310"/>
        </w:trPr>
        <w:tc>
          <w:tcPr>
            <w:tcW w:w="3505" w:type="dxa"/>
          </w:tcPr>
          <w:p w14:paraId="0DC7E613"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Hemoglobin (g/dl)</w:t>
            </w:r>
          </w:p>
        </w:tc>
        <w:tc>
          <w:tcPr>
            <w:tcW w:w="1980" w:type="dxa"/>
          </w:tcPr>
          <w:p w14:paraId="48D22E02" w14:textId="77777777" w:rsidR="00A1194C" w:rsidRPr="00D751BA" w:rsidRDefault="00A1194C" w:rsidP="00B173A2">
            <w:pPr>
              <w:rPr>
                <w:rFonts w:ascii="Times New Roman" w:hAnsi="Times New Roman" w:cs="Times New Roman"/>
                <w:color w:val="000000"/>
                <w:sz w:val="24"/>
                <w:szCs w:val="24"/>
              </w:rPr>
            </w:pPr>
            <w:r w:rsidRPr="002B45FF">
              <w:rPr>
                <w:rFonts w:ascii="Times New Roman" w:hAnsi="Times New Roman" w:cs="Times New Roman"/>
                <w:color w:val="000000"/>
                <w:sz w:val="24"/>
                <w:szCs w:val="24"/>
              </w:rPr>
              <w:t>13.</w:t>
            </w:r>
            <w:r>
              <w:rPr>
                <w:rFonts w:ascii="Times New Roman" w:hAnsi="Times New Roman" w:cs="Times New Roman"/>
                <w:color w:val="000000"/>
                <w:sz w:val="24"/>
                <w:szCs w:val="24"/>
              </w:rPr>
              <w:t>5</w:t>
            </w:r>
            <w:r w:rsidRPr="002B45FF">
              <w:rPr>
                <w:rFonts w:ascii="Times New Roman" w:hAnsi="Times New Roman" w:cs="Times New Roman"/>
                <w:color w:val="000000"/>
                <w:sz w:val="24"/>
                <w:szCs w:val="24"/>
              </w:rPr>
              <w:t>±0.</w:t>
            </w:r>
            <w:r>
              <w:rPr>
                <w:rFonts w:ascii="Times New Roman" w:hAnsi="Times New Roman" w:cs="Times New Roman"/>
                <w:color w:val="000000"/>
                <w:sz w:val="24"/>
                <w:szCs w:val="24"/>
              </w:rPr>
              <w:t>6</w:t>
            </w:r>
            <w:r w:rsidRPr="002B45FF">
              <w:rPr>
                <w:rFonts w:ascii="Times New Roman" w:hAnsi="Times New Roman" w:cs="Times New Roman"/>
                <w:color w:val="000000"/>
                <w:sz w:val="24"/>
                <w:szCs w:val="24"/>
              </w:rPr>
              <w:t>1</w:t>
            </w:r>
          </w:p>
        </w:tc>
        <w:tc>
          <w:tcPr>
            <w:tcW w:w="2160" w:type="dxa"/>
          </w:tcPr>
          <w:p w14:paraId="423BEB07" w14:textId="77777777" w:rsidR="00A1194C" w:rsidRPr="00D751BA" w:rsidRDefault="00A1194C" w:rsidP="00B173A2">
            <w:pPr>
              <w:rPr>
                <w:rFonts w:ascii="Times New Roman" w:hAnsi="Times New Roman" w:cs="Times New Roman"/>
                <w:color w:val="000000"/>
                <w:sz w:val="24"/>
                <w:szCs w:val="24"/>
              </w:rPr>
            </w:pPr>
            <w:r w:rsidRPr="002B45FF">
              <w:rPr>
                <w:rFonts w:ascii="Times New Roman" w:hAnsi="Times New Roman" w:cs="Times New Roman"/>
                <w:color w:val="000000"/>
                <w:sz w:val="24"/>
                <w:szCs w:val="24"/>
              </w:rPr>
              <w:t>10.3±</w:t>
            </w:r>
            <w:r>
              <w:rPr>
                <w:rFonts w:ascii="Times New Roman" w:hAnsi="Times New Roman" w:cs="Times New Roman"/>
                <w:color w:val="000000"/>
                <w:sz w:val="24"/>
                <w:szCs w:val="24"/>
              </w:rPr>
              <w:t>1.9</w:t>
            </w:r>
            <w:r w:rsidRPr="002B45FF">
              <w:rPr>
                <w:rFonts w:ascii="Times New Roman" w:hAnsi="Times New Roman" w:cs="Times New Roman"/>
                <w:color w:val="000000"/>
                <w:sz w:val="24"/>
                <w:szCs w:val="24"/>
              </w:rPr>
              <w:t>6</w:t>
            </w:r>
          </w:p>
        </w:tc>
        <w:tc>
          <w:tcPr>
            <w:tcW w:w="1800" w:type="dxa"/>
          </w:tcPr>
          <w:p w14:paraId="0FB43F64"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˂0.001*</w:t>
            </w:r>
          </w:p>
        </w:tc>
      </w:tr>
      <w:tr w:rsidR="00A1194C" w:rsidRPr="0080772E" w14:paraId="5A3B629C" w14:textId="77777777" w:rsidTr="00B173A2">
        <w:trPr>
          <w:trHeight w:val="310"/>
        </w:trPr>
        <w:tc>
          <w:tcPr>
            <w:tcW w:w="3505" w:type="dxa"/>
          </w:tcPr>
          <w:p w14:paraId="79B54990"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Platelets (× 109/L)</w:t>
            </w:r>
          </w:p>
        </w:tc>
        <w:tc>
          <w:tcPr>
            <w:tcW w:w="1980" w:type="dxa"/>
          </w:tcPr>
          <w:p w14:paraId="3AD4164B" w14:textId="77777777" w:rsidR="00A1194C" w:rsidRPr="00D751BA" w:rsidRDefault="00A1194C" w:rsidP="00B173A2">
            <w:pPr>
              <w:rPr>
                <w:rFonts w:ascii="Times New Roman" w:hAnsi="Times New Roman" w:cs="Times New Roman"/>
                <w:color w:val="000000"/>
                <w:sz w:val="24"/>
                <w:szCs w:val="24"/>
              </w:rPr>
            </w:pPr>
            <w:r w:rsidRPr="002B45FF">
              <w:rPr>
                <w:rFonts w:ascii="Times New Roman" w:hAnsi="Times New Roman" w:cs="Times New Roman"/>
                <w:color w:val="000000"/>
                <w:sz w:val="24"/>
                <w:szCs w:val="24"/>
              </w:rPr>
              <w:t>23</w:t>
            </w:r>
            <w:r>
              <w:rPr>
                <w:rFonts w:ascii="Times New Roman" w:hAnsi="Times New Roman" w:cs="Times New Roman"/>
                <w:color w:val="000000"/>
                <w:sz w:val="24"/>
                <w:szCs w:val="24"/>
              </w:rPr>
              <w:t>7</w:t>
            </w:r>
            <w:r w:rsidRPr="002B45FF">
              <w:rPr>
                <w:rFonts w:ascii="Times New Roman" w:hAnsi="Times New Roman" w:cs="Times New Roman"/>
                <w:color w:val="000000"/>
                <w:sz w:val="24"/>
                <w:szCs w:val="24"/>
              </w:rPr>
              <w:t>.2±</w:t>
            </w:r>
            <w:r w:rsidRPr="002B45FF">
              <w:rPr>
                <w:rFonts w:ascii="Times New Roman" w:hAnsi="Times New Roman" w:cs="Times New Roman"/>
                <w:color w:val="000000"/>
                <w:sz w:val="24"/>
                <w:szCs w:val="24"/>
              </w:rPr>
              <w:tab/>
            </w:r>
            <w:r>
              <w:rPr>
                <w:rFonts w:ascii="Times New Roman" w:hAnsi="Times New Roman" w:cs="Times New Roman"/>
                <w:color w:val="000000"/>
                <w:sz w:val="24"/>
                <w:szCs w:val="24"/>
              </w:rPr>
              <w:t>35</w:t>
            </w:r>
            <w:r w:rsidRPr="002B45FF">
              <w:rPr>
                <w:rFonts w:ascii="Times New Roman" w:hAnsi="Times New Roman" w:cs="Times New Roman"/>
                <w:color w:val="000000"/>
                <w:sz w:val="24"/>
                <w:szCs w:val="24"/>
              </w:rPr>
              <w:t>.3</w:t>
            </w:r>
          </w:p>
        </w:tc>
        <w:tc>
          <w:tcPr>
            <w:tcW w:w="2160" w:type="dxa"/>
          </w:tcPr>
          <w:p w14:paraId="7568142F" w14:textId="77777777" w:rsidR="00A1194C" w:rsidRPr="00D751BA" w:rsidRDefault="00A1194C" w:rsidP="00B173A2">
            <w:pPr>
              <w:rPr>
                <w:rFonts w:ascii="Times New Roman" w:hAnsi="Times New Roman" w:cs="Times New Roman"/>
                <w:color w:val="000000"/>
                <w:sz w:val="24"/>
                <w:szCs w:val="24"/>
              </w:rPr>
            </w:pPr>
            <w:r w:rsidRPr="002B45FF">
              <w:rPr>
                <w:rFonts w:ascii="Times New Roman" w:hAnsi="Times New Roman" w:cs="Times New Roman"/>
                <w:color w:val="000000"/>
                <w:sz w:val="24"/>
                <w:szCs w:val="24"/>
              </w:rPr>
              <w:t>1</w:t>
            </w:r>
            <w:r>
              <w:rPr>
                <w:rFonts w:ascii="Times New Roman" w:hAnsi="Times New Roman" w:cs="Times New Roman"/>
                <w:color w:val="000000"/>
                <w:sz w:val="24"/>
                <w:szCs w:val="24"/>
              </w:rPr>
              <w:t>92</w:t>
            </w:r>
            <w:r w:rsidRPr="002B45FF">
              <w:rPr>
                <w:rFonts w:ascii="Times New Roman" w:hAnsi="Times New Roman" w:cs="Times New Roman"/>
                <w:color w:val="000000"/>
                <w:sz w:val="24"/>
                <w:szCs w:val="24"/>
              </w:rPr>
              <w:t>.4±</w:t>
            </w:r>
            <w:r>
              <w:rPr>
                <w:rFonts w:ascii="Times New Roman" w:hAnsi="Times New Roman" w:cs="Times New Roman"/>
                <w:color w:val="000000"/>
                <w:sz w:val="24"/>
                <w:szCs w:val="24"/>
              </w:rPr>
              <w:t>96</w:t>
            </w:r>
            <w:r w:rsidRPr="002B45FF">
              <w:rPr>
                <w:rFonts w:ascii="Times New Roman" w:hAnsi="Times New Roman" w:cs="Times New Roman"/>
                <w:color w:val="000000"/>
                <w:sz w:val="24"/>
                <w:szCs w:val="24"/>
              </w:rPr>
              <w:t>.5</w:t>
            </w:r>
          </w:p>
        </w:tc>
        <w:tc>
          <w:tcPr>
            <w:tcW w:w="1800" w:type="dxa"/>
          </w:tcPr>
          <w:p w14:paraId="34DB4038"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˂0.001*</w:t>
            </w:r>
          </w:p>
        </w:tc>
      </w:tr>
      <w:tr w:rsidR="00A1194C" w:rsidRPr="0080772E" w14:paraId="370C1CF2" w14:textId="77777777" w:rsidTr="00B173A2">
        <w:trPr>
          <w:trHeight w:val="287"/>
        </w:trPr>
        <w:tc>
          <w:tcPr>
            <w:tcW w:w="3505" w:type="dxa"/>
          </w:tcPr>
          <w:p w14:paraId="3342D257"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AST (IU/L)</w:t>
            </w:r>
          </w:p>
        </w:tc>
        <w:tc>
          <w:tcPr>
            <w:tcW w:w="1980" w:type="dxa"/>
          </w:tcPr>
          <w:p w14:paraId="258C1B04" w14:textId="77777777" w:rsidR="00A1194C" w:rsidRPr="00D751BA" w:rsidRDefault="00A1194C" w:rsidP="00B173A2">
            <w:pPr>
              <w:rPr>
                <w:rFonts w:ascii="Times New Roman" w:hAnsi="Times New Roman" w:cs="Times New Roman"/>
                <w:color w:val="000000"/>
                <w:sz w:val="24"/>
                <w:szCs w:val="24"/>
              </w:rPr>
            </w:pPr>
            <w:r>
              <w:rPr>
                <w:rFonts w:ascii="Times New Roman" w:hAnsi="Times New Roman" w:cs="Times New Roman"/>
                <w:color w:val="000000"/>
                <w:sz w:val="24"/>
                <w:szCs w:val="24"/>
              </w:rPr>
              <w:t>18</w:t>
            </w:r>
            <w:r w:rsidRPr="002B45FF">
              <w:rPr>
                <w:rFonts w:ascii="Times New Roman" w:hAnsi="Times New Roman" w:cs="Times New Roman"/>
                <w:color w:val="000000"/>
                <w:sz w:val="24"/>
                <w:szCs w:val="24"/>
              </w:rPr>
              <w:t>.5</w:t>
            </w:r>
            <w:r>
              <w:rPr>
                <w:rFonts w:ascii="Times New Roman" w:hAnsi="Times New Roman" w:cs="Times New Roman"/>
                <w:color w:val="000000"/>
                <w:sz w:val="24"/>
                <w:szCs w:val="24"/>
              </w:rPr>
              <w:t>9</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9</w:t>
            </w:r>
          </w:p>
        </w:tc>
        <w:tc>
          <w:tcPr>
            <w:tcW w:w="2160" w:type="dxa"/>
          </w:tcPr>
          <w:p w14:paraId="0AF51FE7" w14:textId="77777777" w:rsidR="00A1194C" w:rsidRPr="00D751BA" w:rsidRDefault="00A1194C" w:rsidP="00B173A2">
            <w:pPr>
              <w:rPr>
                <w:rFonts w:ascii="Times New Roman" w:hAnsi="Times New Roman" w:cs="Times New Roman"/>
                <w:color w:val="000000"/>
                <w:sz w:val="24"/>
                <w:szCs w:val="24"/>
              </w:rPr>
            </w:pPr>
            <w:r>
              <w:rPr>
                <w:rFonts w:ascii="Times New Roman" w:hAnsi="Times New Roman" w:cs="Times New Roman"/>
                <w:color w:val="000000"/>
                <w:sz w:val="24"/>
                <w:szCs w:val="24"/>
              </w:rPr>
              <w:t>19</w:t>
            </w:r>
            <w:r w:rsidRPr="002B45FF">
              <w:rPr>
                <w:rFonts w:ascii="Times New Roman" w:hAnsi="Times New Roman" w:cs="Times New Roman"/>
                <w:color w:val="000000"/>
                <w:sz w:val="24"/>
                <w:szCs w:val="24"/>
              </w:rPr>
              <w:t>.4±3.2</w:t>
            </w:r>
          </w:p>
        </w:tc>
        <w:tc>
          <w:tcPr>
            <w:tcW w:w="1800" w:type="dxa"/>
          </w:tcPr>
          <w:p w14:paraId="78D5A446"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0.719</w:t>
            </w:r>
          </w:p>
        </w:tc>
      </w:tr>
      <w:tr w:rsidR="00A1194C" w:rsidRPr="0080772E" w14:paraId="102A6598" w14:textId="77777777" w:rsidTr="00B173A2">
        <w:trPr>
          <w:trHeight w:val="170"/>
        </w:trPr>
        <w:tc>
          <w:tcPr>
            <w:tcW w:w="3505" w:type="dxa"/>
          </w:tcPr>
          <w:p w14:paraId="66BF5225"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ALT(IU/L)</w:t>
            </w:r>
          </w:p>
        </w:tc>
        <w:tc>
          <w:tcPr>
            <w:tcW w:w="1980" w:type="dxa"/>
          </w:tcPr>
          <w:p w14:paraId="54BF344D" w14:textId="77777777" w:rsidR="00A1194C" w:rsidRPr="00D751BA" w:rsidRDefault="00A1194C" w:rsidP="00B173A2">
            <w:pPr>
              <w:rPr>
                <w:rFonts w:ascii="Times New Roman" w:hAnsi="Times New Roman" w:cs="Times New Roman"/>
                <w:color w:val="000000"/>
                <w:sz w:val="24"/>
                <w:szCs w:val="24"/>
              </w:rPr>
            </w:pPr>
            <w:r>
              <w:rPr>
                <w:rFonts w:ascii="Times New Roman" w:hAnsi="Times New Roman" w:cs="Times New Roman"/>
                <w:color w:val="000000"/>
                <w:sz w:val="24"/>
                <w:szCs w:val="24"/>
              </w:rPr>
              <w:t>21</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93</w:t>
            </w:r>
            <w:r w:rsidRPr="002B45FF">
              <w:rPr>
                <w:rFonts w:ascii="Times New Roman" w:hAnsi="Times New Roman" w:cs="Times New Roman"/>
                <w:color w:val="000000"/>
                <w:sz w:val="24"/>
                <w:szCs w:val="24"/>
              </w:rPr>
              <w:t>±3.</w:t>
            </w:r>
            <w:r>
              <w:rPr>
                <w:rFonts w:ascii="Times New Roman" w:hAnsi="Times New Roman" w:cs="Times New Roman"/>
                <w:color w:val="000000"/>
                <w:sz w:val="24"/>
                <w:szCs w:val="24"/>
              </w:rPr>
              <w:t>5</w:t>
            </w:r>
          </w:p>
        </w:tc>
        <w:tc>
          <w:tcPr>
            <w:tcW w:w="2160" w:type="dxa"/>
          </w:tcPr>
          <w:p w14:paraId="4646462A" w14:textId="77777777" w:rsidR="00A1194C" w:rsidRPr="00D751BA" w:rsidRDefault="00A1194C" w:rsidP="00B173A2">
            <w:pPr>
              <w:rPr>
                <w:rFonts w:ascii="Times New Roman" w:hAnsi="Times New Roman" w:cs="Times New Roman"/>
                <w:color w:val="000000"/>
                <w:sz w:val="24"/>
                <w:szCs w:val="24"/>
              </w:rPr>
            </w:pPr>
            <w:r>
              <w:rPr>
                <w:rFonts w:ascii="Times New Roman" w:hAnsi="Times New Roman" w:cs="Times New Roman"/>
                <w:color w:val="000000"/>
                <w:sz w:val="24"/>
                <w:szCs w:val="24"/>
              </w:rPr>
              <w:t>22</w:t>
            </w:r>
            <w:r w:rsidRPr="002B45FF">
              <w:rPr>
                <w:rFonts w:ascii="Times New Roman" w:hAnsi="Times New Roman" w:cs="Times New Roman"/>
                <w:color w:val="000000"/>
                <w:sz w:val="24"/>
                <w:szCs w:val="24"/>
              </w:rPr>
              <w:t>.9±5.3</w:t>
            </w:r>
          </w:p>
        </w:tc>
        <w:tc>
          <w:tcPr>
            <w:tcW w:w="1800" w:type="dxa"/>
          </w:tcPr>
          <w:p w14:paraId="10FE8B15"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0.412</w:t>
            </w:r>
          </w:p>
        </w:tc>
      </w:tr>
      <w:tr w:rsidR="00A1194C" w:rsidRPr="0080772E" w14:paraId="1284653D" w14:textId="77777777" w:rsidTr="00B173A2">
        <w:trPr>
          <w:trHeight w:val="134"/>
        </w:trPr>
        <w:tc>
          <w:tcPr>
            <w:tcW w:w="3505" w:type="dxa"/>
          </w:tcPr>
          <w:p w14:paraId="45883E34"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Total bilirubin (mg/dl)</w:t>
            </w:r>
          </w:p>
        </w:tc>
        <w:tc>
          <w:tcPr>
            <w:tcW w:w="1980" w:type="dxa"/>
          </w:tcPr>
          <w:p w14:paraId="16C71D65"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0.988±0.133</w:t>
            </w:r>
          </w:p>
        </w:tc>
        <w:tc>
          <w:tcPr>
            <w:tcW w:w="2160" w:type="dxa"/>
          </w:tcPr>
          <w:p w14:paraId="6FBF709F"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1.001±0.272</w:t>
            </w:r>
          </w:p>
        </w:tc>
        <w:tc>
          <w:tcPr>
            <w:tcW w:w="1800" w:type="dxa"/>
          </w:tcPr>
          <w:p w14:paraId="1E50882A"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0.7943</w:t>
            </w:r>
          </w:p>
        </w:tc>
      </w:tr>
      <w:tr w:rsidR="00A1194C" w:rsidRPr="0080772E" w14:paraId="137250D1" w14:textId="77777777" w:rsidTr="00B173A2">
        <w:trPr>
          <w:trHeight w:val="350"/>
        </w:trPr>
        <w:tc>
          <w:tcPr>
            <w:tcW w:w="3505" w:type="dxa"/>
          </w:tcPr>
          <w:p w14:paraId="7C2C8E8D"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Albumin (g/dl)</w:t>
            </w:r>
          </w:p>
        </w:tc>
        <w:tc>
          <w:tcPr>
            <w:tcW w:w="1980" w:type="dxa"/>
          </w:tcPr>
          <w:p w14:paraId="5465BCAB" w14:textId="77777777" w:rsidR="00A1194C" w:rsidRPr="00D751BA" w:rsidRDefault="00A1194C" w:rsidP="00B173A2">
            <w:pPr>
              <w:rPr>
                <w:rFonts w:ascii="Times New Roman" w:hAnsi="Times New Roman" w:cs="Times New Roman"/>
                <w:color w:val="000000"/>
                <w:sz w:val="24"/>
                <w:szCs w:val="24"/>
              </w:rPr>
            </w:pPr>
            <w:r w:rsidRPr="002B45FF">
              <w:rPr>
                <w:rFonts w:ascii="Times New Roman" w:hAnsi="Times New Roman" w:cs="Times New Roman"/>
                <w:color w:val="000000"/>
                <w:sz w:val="24"/>
                <w:szCs w:val="24"/>
              </w:rPr>
              <w:t>4.</w:t>
            </w:r>
            <w:r>
              <w:rPr>
                <w:rFonts w:ascii="Times New Roman" w:hAnsi="Times New Roman" w:cs="Times New Roman"/>
                <w:color w:val="000000"/>
                <w:sz w:val="24"/>
                <w:szCs w:val="24"/>
              </w:rPr>
              <w:t>14</w:t>
            </w:r>
            <w:r w:rsidRPr="002B45FF">
              <w:rPr>
                <w:rFonts w:ascii="Times New Roman" w:hAnsi="Times New Roman" w:cs="Times New Roman"/>
                <w:color w:val="000000"/>
                <w:sz w:val="24"/>
                <w:szCs w:val="24"/>
              </w:rPr>
              <w:t>±0.</w:t>
            </w:r>
            <w:r>
              <w:rPr>
                <w:rFonts w:ascii="Times New Roman" w:hAnsi="Times New Roman" w:cs="Times New Roman"/>
                <w:color w:val="000000"/>
                <w:sz w:val="24"/>
                <w:szCs w:val="24"/>
              </w:rPr>
              <w:t>16</w:t>
            </w:r>
          </w:p>
        </w:tc>
        <w:tc>
          <w:tcPr>
            <w:tcW w:w="2160" w:type="dxa"/>
          </w:tcPr>
          <w:p w14:paraId="5E03D94A" w14:textId="77777777" w:rsidR="00A1194C" w:rsidRPr="00D751BA" w:rsidRDefault="00A1194C" w:rsidP="00B173A2">
            <w:pPr>
              <w:rPr>
                <w:rFonts w:ascii="Times New Roman" w:hAnsi="Times New Roman" w:cs="Times New Roman"/>
                <w:color w:val="000000"/>
                <w:sz w:val="24"/>
                <w:szCs w:val="24"/>
              </w:rPr>
            </w:pPr>
            <w:r>
              <w:rPr>
                <w:rFonts w:ascii="Times New Roman" w:hAnsi="Times New Roman" w:cs="Times New Roman"/>
                <w:color w:val="000000"/>
                <w:sz w:val="24"/>
                <w:szCs w:val="24"/>
              </w:rPr>
              <w:t>4</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2B45FF">
              <w:rPr>
                <w:rFonts w:ascii="Times New Roman" w:hAnsi="Times New Roman" w:cs="Times New Roman"/>
                <w:color w:val="000000"/>
                <w:sz w:val="24"/>
                <w:szCs w:val="24"/>
              </w:rPr>
              <w:t>±0.</w:t>
            </w:r>
            <w:r>
              <w:rPr>
                <w:rFonts w:ascii="Times New Roman" w:hAnsi="Times New Roman" w:cs="Times New Roman"/>
                <w:color w:val="000000"/>
                <w:sz w:val="24"/>
                <w:szCs w:val="24"/>
              </w:rPr>
              <w:t>22</w:t>
            </w:r>
          </w:p>
        </w:tc>
        <w:tc>
          <w:tcPr>
            <w:tcW w:w="1800" w:type="dxa"/>
          </w:tcPr>
          <w:p w14:paraId="54B3DEAC"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0.465</w:t>
            </w:r>
          </w:p>
        </w:tc>
      </w:tr>
      <w:tr w:rsidR="00A1194C" w:rsidRPr="0080772E" w14:paraId="41229ABF" w14:textId="77777777" w:rsidTr="00B173A2">
        <w:trPr>
          <w:trHeight w:val="350"/>
        </w:trPr>
        <w:tc>
          <w:tcPr>
            <w:tcW w:w="3505" w:type="dxa"/>
          </w:tcPr>
          <w:p w14:paraId="23931DB8"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S. creatinine (mg/dl)</w:t>
            </w:r>
          </w:p>
        </w:tc>
        <w:tc>
          <w:tcPr>
            <w:tcW w:w="1980" w:type="dxa"/>
          </w:tcPr>
          <w:p w14:paraId="5DE7F3BC" w14:textId="77777777" w:rsidR="00A1194C" w:rsidRPr="00D751BA" w:rsidRDefault="00A1194C" w:rsidP="00B173A2">
            <w:pPr>
              <w:rPr>
                <w:rFonts w:ascii="Times New Roman" w:hAnsi="Times New Roman" w:cs="Times New Roman"/>
                <w:color w:val="000000"/>
                <w:sz w:val="24"/>
                <w:szCs w:val="24"/>
              </w:rPr>
            </w:pPr>
            <w:r w:rsidRPr="002B45FF">
              <w:rPr>
                <w:rFonts w:ascii="Times New Roman" w:hAnsi="Times New Roman" w:cs="Times New Roman"/>
                <w:color w:val="000000"/>
                <w:sz w:val="24"/>
                <w:szCs w:val="24"/>
              </w:rPr>
              <w:t>0.7</w:t>
            </w:r>
            <w:r>
              <w:rPr>
                <w:rFonts w:ascii="Times New Roman" w:hAnsi="Times New Roman" w:cs="Times New Roman"/>
                <w:color w:val="000000"/>
                <w:sz w:val="24"/>
                <w:szCs w:val="24"/>
              </w:rPr>
              <w:t>2</w:t>
            </w:r>
            <w:r w:rsidRPr="002B45FF">
              <w:rPr>
                <w:rFonts w:ascii="Times New Roman" w:hAnsi="Times New Roman" w:cs="Times New Roman"/>
                <w:color w:val="000000"/>
                <w:sz w:val="24"/>
                <w:szCs w:val="24"/>
              </w:rPr>
              <w:t>±0.22</w:t>
            </w:r>
          </w:p>
        </w:tc>
        <w:tc>
          <w:tcPr>
            <w:tcW w:w="2160" w:type="dxa"/>
          </w:tcPr>
          <w:p w14:paraId="267E4F9C" w14:textId="77777777" w:rsidR="00A1194C" w:rsidRPr="00D751BA" w:rsidRDefault="00A1194C" w:rsidP="00B173A2">
            <w:pPr>
              <w:rPr>
                <w:rFonts w:ascii="Times New Roman" w:hAnsi="Times New Roman" w:cs="Times New Roman"/>
                <w:color w:val="000000"/>
                <w:sz w:val="24"/>
                <w:szCs w:val="24"/>
              </w:rPr>
            </w:pPr>
            <w:r>
              <w:rPr>
                <w:rFonts w:ascii="Times New Roman" w:hAnsi="Times New Roman" w:cs="Times New Roman"/>
                <w:color w:val="000000"/>
                <w:sz w:val="24"/>
                <w:szCs w:val="24"/>
              </w:rPr>
              <w:t>0</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74</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25</w:t>
            </w:r>
          </w:p>
        </w:tc>
        <w:tc>
          <w:tcPr>
            <w:tcW w:w="1800" w:type="dxa"/>
          </w:tcPr>
          <w:p w14:paraId="56C0E51E"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0.576</w:t>
            </w:r>
          </w:p>
        </w:tc>
      </w:tr>
      <w:tr w:rsidR="00A1194C" w:rsidRPr="0080772E" w14:paraId="559F98BD" w14:textId="77777777" w:rsidTr="00B173A2">
        <w:trPr>
          <w:trHeight w:val="350"/>
        </w:trPr>
        <w:tc>
          <w:tcPr>
            <w:tcW w:w="3505" w:type="dxa"/>
          </w:tcPr>
          <w:p w14:paraId="67976BF9"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Alpha-fetoprotein(ng/ml)</w:t>
            </w:r>
          </w:p>
        </w:tc>
        <w:tc>
          <w:tcPr>
            <w:tcW w:w="1980" w:type="dxa"/>
          </w:tcPr>
          <w:p w14:paraId="37162073" w14:textId="77777777" w:rsidR="00A1194C" w:rsidRPr="00D751BA" w:rsidRDefault="00A1194C" w:rsidP="00B173A2">
            <w:pPr>
              <w:rPr>
                <w:rFonts w:ascii="Times New Roman" w:hAnsi="Times New Roman" w:cs="Times New Roman"/>
                <w:color w:val="000000"/>
                <w:sz w:val="24"/>
                <w:szCs w:val="24"/>
              </w:rPr>
            </w:pPr>
            <w:r>
              <w:rPr>
                <w:rFonts w:ascii="Times New Roman" w:hAnsi="Times New Roman" w:cs="Times New Roman"/>
                <w:color w:val="000000"/>
                <w:sz w:val="24"/>
                <w:szCs w:val="24"/>
              </w:rPr>
              <w:t>8</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2B45FF">
              <w:rPr>
                <w:rFonts w:ascii="Times New Roman" w:hAnsi="Times New Roman" w:cs="Times New Roman"/>
                <w:color w:val="000000"/>
                <w:sz w:val="24"/>
                <w:szCs w:val="24"/>
              </w:rPr>
              <w:t>9±</w:t>
            </w:r>
            <w:r>
              <w:rPr>
                <w:rFonts w:ascii="Times New Roman" w:hAnsi="Times New Roman" w:cs="Times New Roman"/>
                <w:color w:val="000000"/>
                <w:sz w:val="24"/>
                <w:szCs w:val="24"/>
              </w:rPr>
              <w:t>2.</w:t>
            </w:r>
            <w:r w:rsidRPr="002B45FF">
              <w:rPr>
                <w:rFonts w:ascii="Times New Roman" w:hAnsi="Times New Roman" w:cs="Times New Roman"/>
                <w:color w:val="000000"/>
                <w:sz w:val="24"/>
                <w:szCs w:val="24"/>
              </w:rPr>
              <w:t xml:space="preserve">9 </w:t>
            </w:r>
          </w:p>
        </w:tc>
        <w:tc>
          <w:tcPr>
            <w:tcW w:w="2160" w:type="dxa"/>
          </w:tcPr>
          <w:p w14:paraId="66E7B251" w14:textId="77777777" w:rsidR="00A1194C" w:rsidRPr="00D751BA" w:rsidRDefault="00A1194C" w:rsidP="00B173A2">
            <w:pPr>
              <w:rPr>
                <w:rFonts w:ascii="Times New Roman" w:hAnsi="Times New Roman" w:cs="Times New Roman"/>
                <w:color w:val="000000"/>
                <w:sz w:val="24"/>
                <w:szCs w:val="24"/>
              </w:rPr>
            </w:pPr>
            <w:r>
              <w:rPr>
                <w:rFonts w:ascii="Times New Roman" w:hAnsi="Times New Roman" w:cs="Times New Roman"/>
                <w:color w:val="000000"/>
                <w:sz w:val="24"/>
                <w:szCs w:val="24"/>
              </w:rPr>
              <w:t>8</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2B45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sidRPr="002B45FF">
              <w:rPr>
                <w:rFonts w:ascii="Times New Roman" w:hAnsi="Times New Roman" w:cs="Times New Roman"/>
                <w:color w:val="000000"/>
                <w:sz w:val="24"/>
                <w:szCs w:val="24"/>
              </w:rPr>
              <w:t>.2</w:t>
            </w:r>
          </w:p>
        </w:tc>
        <w:tc>
          <w:tcPr>
            <w:tcW w:w="1800" w:type="dxa"/>
          </w:tcPr>
          <w:p w14:paraId="61B0C5C2"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0.592</w:t>
            </w:r>
          </w:p>
        </w:tc>
      </w:tr>
      <w:tr w:rsidR="00A1194C" w:rsidRPr="0080772E" w14:paraId="024C1CC1" w14:textId="77777777" w:rsidTr="00B173A2">
        <w:trPr>
          <w:trHeight w:val="350"/>
        </w:trPr>
        <w:tc>
          <w:tcPr>
            <w:tcW w:w="3505" w:type="dxa"/>
          </w:tcPr>
          <w:p w14:paraId="66B36EC3"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LDH</w:t>
            </w:r>
          </w:p>
        </w:tc>
        <w:tc>
          <w:tcPr>
            <w:tcW w:w="1980" w:type="dxa"/>
          </w:tcPr>
          <w:p w14:paraId="0CAD2275" w14:textId="77777777" w:rsidR="00A1194C" w:rsidRPr="00D751BA" w:rsidRDefault="00A1194C" w:rsidP="00B173A2">
            <w:pPr>
              <w:rPr>
                <w:rFonts w:ascii="Times New Roman" w:hAnsi="Times New Roman" w:cs="Times New Roman"/>
                <w:color w:val="000000"/>
                <w:sz w:val="24"/>
                <w:szCs w:val="24"/>
              </w:rPr>
            </w:pPr>
            <w:r>
              <w:rPr>
                <w:rFonts w:ascii="Times New Roman" w:hAnsi="Times New Roman" w:cs="Times New Roman"/>
                <w:color w:val="000000"/>
                <w:sz w:val="24"/>
                <w:szCs w:val="24"/>
              </w:rPr>
              <w:t>200</w:t>
            </w:r>
            <w:r w:rsidRPr="002B45FF">
              <w:rPr>
                <w:rFonts w:ascii="Times New Roman" w:hAnsi="Times New Roman" w:cs="Times New Roman"/>
                <w:color w:val="000000"/>
                <w:sz w:val="24"/>
                <w:szCs w:val="24"/>
              </w:rPr>
              <w:t>.2±</w:t>
            </w:r>
            <w:r w:rsidRPr="002B45FF">
              <w:rPr>
                <w:rFonts w:ascii="Times New Roman" w:hAnsi="Times New Roman" w:cs="Times New Roman"/>
                <w:color w:val="000000"/>
                <w:sz w:val="24"/>
                <w:szCs w:val="24"/>
              </w:rPr>
              <w:tab/>
            </w:r>
            <w:r>
              <w:rPr>
                <w:rFonts w:ascii="Times New Roman" w:hAnsi="Times New Roman" w:cs="Times New Roman"/>
                <w:color w:val="000000"/>
                <w:sz w:val="24"/>
                <w:szCs w:val="24"/>
              </w:rPr>
              <w:t>41</w:t>
            </w:r>
            <w:r w:rsidRPr="002B45FF">
              <w:rPr>
                <w:rFonts w:ascii="Times New Roman" w:hAnsi="Times New Roman" w:cs="Times New Roman"/>
                <w:color w:val="000000"/>
                <w:sz w:val="24"/>
                <w:szCs w:val="24"/>
              </w:rPr>
              <w:t>.3</w:t>
            </w:r>
          </w:p>
        </w:tc>
        <w:tc>
          <w:tcPr>
            <w:tcW w:w="2160" w:type="dxa"/>
          </w:tcPr>
          <w:p w14:paraId="690FA064" w14:textId="77777777" w:rsidR="00A1194C" w:rsidRPr="00D751BA" w:rsidRDefault="00A1194C" w:rsidP="00B173A2">
            <w:pPr>
              <w:rPr>
                <w:rFonts w:ascii="Times New Roman" w:hAnsi="Times New Roman" w:cs="Times New Roman"/>
                <w:color w:val="000000"/>
                <w:sz w:val="24"/>
                <w:szCs w:val="24"/>
              </w:rPr>
            </w:pPr>
            <w:r>
              <w:rPr>
                <w:rFonts w:ascii="Times New Roman" w:hAnsi="Times New Roman" w:cs="Times New Roman"/>
                <w:color w:val="000000"/>
                <w:sz w:val="24"/>
                <w:szCs w:val="24"/>
              </w:rPr>
              <w:t>422</w:t>
            </w:r>
            <w:r w:rsidRPr="002B45FF">
              <w:rPr>
                <w:rFonts w:ascii="Times New Roman" w:hAnsi="Times New Roman" w:cs="Times New Roman"/>
                <w:color w:val="000000"/>
                <w:sz w:val="24"/>
                <w:szCs w:val="24"/>
              </w:rPr>
              <w:t>.4±</w:t>
            </w:r>
            <w:r>
              <w:rPr>
                <w:rFonts w:ascii="Times New Roman" w:hAnsi="Times New Roman" w:cs="Times New Roman"/>
                <w:color w:val="000000"/>
                <w:sz w:val="24"/>
                <w:szCs w:val="24"/>
              </w:rPr>
              <w:t>137</w:t>
            </w:r>
            <w:r w:rsidRPr="002B45FF">
              <w:rPr>
                <w:rFonts w:ascii="Times New Roman" w:hAnsi="Times New Roman" w:cs="Times New Roman"/>
                <w:color w:val="000000"/>
                <w:sz w:val="24"/>
                <w:szCs w:val="24"/>
              </w:rPr>
              <w:t>.5</w:t>
            </w:r>
          </w:p>
        </w:tc>
        <w:tc>
          <w:tcPr>
            <w:tcW w:w="1800" w:type="dxa"/>
          </w:tcPr>
          <w:p w14:paraId="17891DE2"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˂0.001*</w:t>
            </w:r>
          </w:p>
        </w:tc>
      </w:tr>
      <w:tr w:rsidR="00A1194C" w:rsidRPr="0080772E" w14:paraId="77F3D0BD" w14:textId="77777777" w:rsidTr="00B173A2">
        <w:trPr>
          <w:trHeight w:val="350"/>
        </w:trPr>
        <w:tc>
          <w:tcPr>
            <w:tcW w:w="3505" w:type="dxa"/>
          </w:tcPr>
          <w:p w14:paraId="3CF7CDB0"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Serum β2M (ng/dl)</w:t>
            </w:r>
          </w:p>
        </w:tc>
        <w:tc>
          <w:tcPr>
            <w:tcW w:w="1980" w:type="dxa"/>
          </w:tcPr>
          <w:p w14:paraId="099AADEA"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2.52 ± 0.77</w:t>
            </w:r>
          </w:p>
        </w:tc>
        <w:tc>
          <w:tcPr>
            <w:tcW w:w="2160" w:type="dxa"/>
          </w:tcPr>
          <w:p w14:paraId="0E0E8D61"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5.80 ± 1.26</w:t>
            </w:r>
          </w:p>
        </w:tc>
        <w:tc>
          <w:tcPr>
            <w:tcW w:w="1800" w:type="dxa"/>
          </w:tcPr>
          <w:p w14:paraId="5F526B86"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˂0.001*</w:t>
            </w:r>
          </w:p>
        </w:tc>
      </w:tr>
      <w:tr w:rsidR="00A1194C" w:rsidRPr="0080772E" w14:paraId="52AD4BB1" w14:textId="77777777" w:rsidTr="00B173A2">
        <w:trPr>
          <w:trHeight w:val="350"/>
        </w:trPr>
        <w:tc>
          <w:tcPr>
            <w:tcW w:w="3505" w:type="dxa"/>
          </w:tcPr>
          <w:p w14:paraId="5F9BD36D"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ZAP-70%</w:t>
            </w:r>
          </w:p>
          <w:p w14:paraId="780AE4AC"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ZAP-70- (&lt;20%)</w:t>
            </w:r>
          </w:p>
          <w:p w14:paraId="54F37FC9"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ZAP-70+(≥ 20%)</w:t>
            </w:r>
          </w:p>
        </w:tc>
        <w:tc>
          <w:tcPr>
            <w:tcW w:w="1980" w:type="dxa"/>
          </w:tcPr>
          <w:p w14:paraId="1C7A320A" w14:textId="77777777" w:rsidR="00A1194C" w:rsidRPr="00D751BA" w:rsidRDefault="00A1194C" w:rsidP="00B173A2">
            <w:pPr>
              <w:rPr>
                <w:rFonts w:ascii="Times New Roman" w:hAnsi="Times New Roman" w:cs="Times New Roman"/>
                <w:color w:val="000000"/>
                <w:sz w:val="24"/>
                <w:szCs w:val="24"/>
              </w:rPr>
            </w:pPr>
          </w:p>
          <w:p w14:paraId="16DE7251"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25(100%)</w:t>
            </w:r>
          </w:p>
          <w:p w14:paraId="6ED4483E"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0(0%)</w:t>
            </w:r>
          </w:p>
        </w:tc>
        <w:tc>
          <w:tcPr>
            <w:tcW w:w="2160" w:type="dxa"/>
          </w:tcPr>
          <w:p w14:paraId="60E462EA" w14:textId="77777777" w:rsidR="00A1194C" w:rsidRPr="00D751BA" w:rsidRDefault="00A1194C" w:rsidP="00B173A2">
            <w:pPr>
              <w:rPr>
                <w:rFonts w:ascii="Times New Roman" w:hAnsi="Times New Roman" w:cs="Times New Roman"/>
                <w:color w:val="000000"/>
                <w:sz w:val="24"/>
                <w:szCs w:val="24"/>
              </w:rPr>
            </w:pPr>
          </w:p>
          <w:p w14:paraId="34B39688"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17(68%)</w:t>
            </w:r>
          </w:p>
          <w:p w14:paraId="68A2ABFB"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8(32%)</w:t>
            </w:r>
          </w:p>
        </w:tc>
        <w:tc>
          <w:tcPr>
            <w:tcW w:w="1800" w:type="dxa"/>
          </w:tcPr>
          <w:p w14:paraId="43ACAE73"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˂0.001*</w:t>
            </w:r>
          </w:p>
        </w:tc>
      </w:tr>
      <w:tr w:rsidR="00A1194C" w:rsidRPr="0080772E" w14:paraId="2E2A46C8" w14:textId="77777777" w:rsidTr="00B173A2">
        <w:trPr>
          <w:trHeight w:val="350"/>
        </w:trPr>
        <w:tc>
          <w:tcPr>
            <w:tcW w:w="3505" w:type="dxa"/>
          </w:tcPr>
          <w:p w14:paraId="5D3D9DF1"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CD38%</w:t>
            </w:r>
          </w:p>
          <w:p w14:paraId="1FE0FBD2"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CD38- (&lt;20%)</w:t>
            </w:r>
          </w:p>
          <w:p w14:paraId="152975E4"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CD38+ (≥20%)</w:t>
            </w:r>
          </w:p>
        </w:tc>
        <w:tc>
          <w:tcPr>
            <w:tcW w:w="1980" w:type="dxa"/>
          </w:tcPr>
          <w:p w14:paraId="729C740E" w14:textId="77777777" w:rsidR="00A1194C" w:rsidRPr="00D751BA" w:rsidRDefault="00A1194C" w:rsidP="00B173A2">
            <w:pPr>
              <w:rPr>
                <w:rFonts w:ascii="Times New Roman" w:hAnsi="Times New Roman" w:cs="Times New Roman"/>
                <w:color w:val="000000"/>
                <w:sz w:val="24"/>
                <w:szCs w:val="24"/>
              </w:rPr>
            </w:pPr>
          </w:p>
          <w:p w14:paraId="771D412E"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25(100%)</w:t>
            </w:r>
          </w:p>
          <w:p w14:paraId="385A8AE8"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0(0%)</w:t>
            </w:r>
          </w:p>
        </w:tc>
        <w:tc>
          <w:tcPr>
            <w:tcW w:w="2160" w:type="dxa"/>
          </w:tcPr>
          <w:p w14:paraId="048FB03D" w14:textId="77777777" w:rsidR="00A1194C" w:rsidRPr="00D751BA" w:rsidRDefault="00A1194C" w:rsidP="00B173A2">
            <w:pPr>
              <w:rPr>
                <w:rFonts w:ascii="Times New Roman" w:hAnsi="Times New Roman" w:cs="Times New Roman"/>
                <w:color w:val="000000"/>
                <w:sz w:val="24"/>
                <w:szCs w:val="24"/>
              </w:rPr>
            </w:pPr>
          </w:p>
          <w:p w14:paraId="1768D25A"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16 (64%)</w:t>
            </w:r>
          </w:p>
          <w:p w14:paraId="2B5A9765"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9 (36%)</w:t>
            </w:r>
          </w:p>
        </w:tc>
        <w:tc>
          <w:tcPr>
            <w:tcW w:w="1800" w:type="dxa"/>
          </w:tcPr>
          <w:p w14:paraId="4D6EC938"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˂0.001*</w:t>
            </w:r>
          </w:p>
        </w:tc>
      </w:tr>
      <w:tr w:rsidR="00A1194C" w:rsidRPr="0080772E" w14:paraId="528FF038" w14:textId="77777777" w:rsidTr="00B173A2">
        <w:trPr>
          <w:trHeight w:val="350"/>
        </w:trPr>
        <w:tc>
          <w:tcPr>
            <w:tcW w:w="3505" w:type="dxa"/>
          </w:tcPr>
          <w:p w14:paraId="26EA2D8A"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17p del/ p53 mutation</w:t>
            </w:r>
          </w:p>
          <w:p w14:paraId="00E1DA88"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Positive</w:t>
            </w:r>
          </w:p>
          <w:p w14:paraId="73894D40"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Negative</w:t>
            </w:r>
          </w:p>
        </w:tc>
        <w:tc>
          <w:tcPr>
            <w:tcW w:w="1980" w:type="dxa"/>
          </w:tcPr>
          <w:p w14:paraId="756572C7" w14:textId="77777777" w:rsidR="00A1194C" w:rsidRPr="00D751BA" w:rsidRDefault="00A1194C" w:rsidP="00B173A2">
            <w:pPr>
              <w:rPr>
                <w:rFonts w:ascii="Times New Roman" w:hAnsi="Times New Roman" w:cs="Times New Roman"/>
                <w:color w:val="000000"/>
                <w:sz w:val="24"/>
                <w:szCs w:val="24"/>
              </w:rPr>
            </w:pPr>
          </w:p>
          <w:p w14:paraId="4FF142A4"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0(0%)</w:t>
            </w:r>
          </w:p>
          <w:p w14:paraId="75965B47"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25(100%)</w:t>
            </w:r>
          </w:p>
        </w:tc>
        <w:tc>
          <w:tcPr>
            <w:tcW w:w="2160" w:type="dxa"/>
          </w:tcPr>
          <w:p w14:paraId="24389A7F" w14:textId="77777777" w:rsidR="00A1194C" w:rsidRPr="00D751BA" w:rsidRDefault="00A1194C" w:rsidP="00B173A2">
            <w:pPr>
              <w:rPr>
                <w:rFonts w:ascii="Times New Roman" w:hAnsi="Times New Roman" w:cs="Times New Roman"/>
                <w:color w:val="000000"/>
                <w:sz w:val="24"/>
                <w:szCs w:val="24"/>
              </w:rPr>
            </w:pPr>
          </w:p>
          <w:p w14:paraId="2A8BBC9A"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3(12%)</w:t>
            </w:r>
          </w:p>
          <w:p w14:paraId="4DCF17D7"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22(88%)</w:t>
            </w:r>
          </w:p>
        </w:tc>
        <w:tc>
          <w:tcPr>
            <w:tcW w:w="1800" w:type="dxa"/>
          </w:tcPr>
          <w:p w14:paraId="1CD28047"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˂0.001*</w:t>
            </w:r>
          </w:p>
        </w:tc>
      </w:tr>
      <w:tr w:rsidR="00A1194C" w:rsidRPr="0080772E" w14:paraId="18415E97" w14:textId="77777777" w:rsidTr="00B173A2">
        <w:trPr>
          <w:trHeight w:val="350"/>
        </w:trPr>
        <w:tc>
          <w:tcPr>
            <w:tcW w:w="3505" w:type="dxa"/>
          </w:tcPr>
          <w:p w14:paraId="76FF78AB"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Modified Rai staging system:</w:t>
            </w:r>
          </w:p>
          <w:p w14:paraId="41C540A4"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Low risk</w:t>
            </w:r>
          </w:p>
          <w:p w14:paraId="474DAB9E"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Intermediate risk</w:t>
            </w:r>
          </w:p>
          <w:p w14:paraId="09BDB6A7"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High-risk</w:t>
            </w:r>
          </w:p>
        </w:tc>
        <w:tc>
          <w:tcPr>
            <w:tcW w:w="1980" w:type="dxa"/>
          </w:tcPr>
          <w:p w14:paraId="4E14C782" w14:textId="77777777" w:rsidR="00A1194C" w:rsidRPr="00D751BA" w:rsidRDefault="00A1194C" w:rsidP="00B173A2">
            <w:pPr>
              <w:rPr>
                <w:rFonts w:ascii="Times New Roman" w:hAnsi="Times New Roman" w:cs="Times New Roman"/>
                <w:color w:val="000000"/>
                <w:sz w:val="24"/>
                <w:szCs w:val="24"/>
              </w:rPr>
            </w:pPr>
          </w:p>
          <w:p w14:paraId="0E36B1D4"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0(0%)</w:t>
            </w:r>
          </w:p>
        </w:tc>
        <w:tc>
          <w:tcPr>
            <w:tcW w:w="2160" w:type="dxa"/>
          </w:tcPr>
          <w:p w14:paraId="6350BF32" w14:textId="77777777" w:rsidR="00A1194C" w:rsidRPr="00D751BA" w:rsidRDefault="00A1194C" w:rsidP="00B173A2">
            <w:pPr>
              <w:rPr>
                <w:rFonts w:ascii="Times New Roman" w:hAnsi="Times New Roman" w:cs="Times New Roman"/>
                <w:color w:val="000000"/>
                <w:sz w:val="24"/>
                <w:szCs w:val="24"/>
              </w:rPr>
            </w:pPr>
          </w:p>
          <w:p w14:paraId="2BC3CF4F"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10(40%)</w:t>
            </w:r>
          </w:p>
          <w:p w14:paraId="11F4E3FE"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9(36%)</w:t>
            </w:r>
          </w:p>
          <w:p w14:paraId="7ADB3607"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6(24%)</w:t>
            </w:r>
          </w:p>
        </w:tc>
        <w:tc>
          <w:tcPr>
            <w:tcW w:w="1800" w:type="dxa"/>
          </w:tcPr>
          <w:p w14:paraId="46B49192"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˂0.001*</w:t>
            </w:r>
          </w:p>
        </w:tc>
      </w:tr>
      <w:tr w:rsidR="00A1194C" w:rsidRPr="0080772E" w14:paraId="255DB6A2" w14:textId="77777777" w:rsidTr="00B173A2">
        <w:trPr>
          <w:trHeight w:val="800"/>
        </w:trPr>
        <w:tc>
          <w:tcPr>
            <w:tcW w:w="3505" w:type="dxa"/>
            <w:tcBorders>
              <w:bottom w:val="single" w:sz="4" w:space="0" w:color="auto"/>
            </w:tcBorders>
          </w:tcPr>
          <w:p w14:paraId="1ED68473"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Binet staging system.</w:t>
            </w:r>
          </w:p>
          <w:p w14:paraId="26A3EF18"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Stage A</w:t>
            </w:r>
          </w:p>
          <w:p w14:paraId="7A1831D9"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Stage B</w:t>
            </w:r>
          </w:p>
          <w:p w14:paraId="0D3D52A3"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Stage C</w:t>
            </w:r>
          </w:p>
        </w:tc>
        <w:tc>
          <w:tcPr>
            <w:tcW w:w="1980" w:type="dxa"/>
            <w:tcBorders>
              <w:bottom w:val="single" w:sz="4" w:space="0" w:color="auto"/>
            </w:tcBorders>
          </w:tcPr>
          <w:p w14:paraId="0497F3FC"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0(0%)</w:t>
            </w:r>
          </w:p>
        </w:tc>
        <w:tc>
          <w:tcPr>
            <w:tcW w:w="2160" w:type="dxa"/>
            <w:tcBorders>
              <w:bottom w:val="single" w:sz="4" w:space="0" w:color="auto"/>
            </w:tcBorders>
          </w:tcPr>
          <w:p w14:paraId="5477C9EF" w14:textId="77777777" w:rsidR="00A1194C" w:rsidRPr="00D751BA" w:rsidRDefault="00A1194C" w:rsidP="00B173A2">
            <w:pPr>
              <w:rPr>
                <w:rFonts w:ascii="Times New Roman" w:hAnsi="Times New Roman" w:cs="Times New Roman"/>
                <w:color w:val="000000"/>
                <w:sz w:val="24"/>
                <w:szCs w:val="24"/>
              </w:rPr>
            </w:pPr>
          </w:p>
          <w:p w14:paraId="128AC94B"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11(44%)</w:t>
            </w:r>
          </w:p>
          <w:p w14:paraId="7158F233"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8(32%)</w:t>
            </w:r>
          </w:p>
          <w:p w14:paraId="7C5071F4"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6(24%)</w:t>
            </w:r>
          </w:p>
        </w:tc>
        <w:tc>
          <w:tcPr>
            <w:tcW w:w="1800" w:type="dxa"/>
            <w:tcBorders>
              <w:bottom w:val="single" w:sz="4" w:space="0" w:color="auto"/>
            </w:tcBorders>
          </w:tcPr>
          <w:p w14:paraId="35309F58" w14:textId="77777777" w:rsidR="00A1194C" w:rsidRPr="00D751BA" w:rsidRDefault="00A1194C" w:rsidP="00B173A2">
            <w:pPr>
              <w:rPr>
                <w:rFonts w:ascii="Times New Roman" w:hAnsi="Times New Roman" w:cs="Times New Roman"/>
                <w:color w:val="000000"/>
                <w:sz w:val="24"/>
                <w:szCs w:val="24"/>
              </w:rPr>
            </w:pPr>
            <w:r w:rsidRPr="00D751BA">
              <w:rPr>
                <w:rFonts w:ascii="Times New Roman" w:hAnsi="Times New Roman" w:cs="Times New Roman"/>
                <w:color w:val="000000"/>
                <w:sz w:val="24"/>
                <w:szCs w:val="24"/>
              </w:rPr>
              <w:t>˂0.001*</w:t>
            </w:r>
          </w:p>
        </w:tc>
      </w:tr>
    </w:tbl>
    <w:p w14:paraId="617A71D7" w14:textId="37A4F3F4" w:rsidR="00A1194C" w:rsidRPr="00E83135" w:rsidRDefault="00E83135" w:rsidP="00E83135">
      <w:pPr>
        <w:pStyle w:val="Caption"/>
        <w:keepNext/>
      </w:pPr>
      <w:r w:rsidRPr="00E83135">
        <w:t>Hb; hemoglobin, WBC; white blood cells, ALC; absolute lymphocyte count, AST; aspartate aminotransferase, ALT; alanine transaminase, LDH; lactate Dehydrogenase ZAP-70%; Zeta-chain-associated protein kinase 70. A chi-square test was used for categorical variables to compare different groups. Student’s t-test was used for quantitative variables. *P &lt; 0.05 when compared with the control group.</w:t>
      </w:r>
    </w:p>
    <w:p w14:paraId="465BC112" w14:textId="0EE675F9" w:rsidR="00C05559" w:rsidRPr="00E30642" w:rsidRDefault="00871AC8" w:rsidP="00E30642">
      <w:pPr>
        <w:autoSpaceDE w:val="0"/>
        <w:autoSpaceDN w:val="0"/>
        <w:adjustRightInd w:val="0"/>
        <w:spacing w:after="0" w:line="360" w:lineRule="auto"/>
        <w:rPr>
          <w:rFonts w:asciiTheme="majorBidi" w:hAnsiTheme="majorBidi" w:cstheme="majorBidi"/>
          <w:b/>
          <w:bCs/>
          <w:color w:val="000000"/>
          <w:sz w:val="24"/>
          <w:szCs w:val="24"/>
        </w:rPr>
      </w:pPr>
      <w:bookmarkStart w:id="14" w:name="_Hlk125502752"/>
      <w:r w:rsidRPr="00E30642">
        <w:rPr>
          <w:rFonts w:asciiTheme="majorBidi" w:hAnsiTheme="majorBidi" w:cstheme="majorBidi"/>
          <w:b/>
          <w:bCs/>
          <w:color w:val="000000"/>
          <w:sz w:val="24"/>
          <w:szCs w:val="24"/>
        </w:rPr>
        <w:t xml:space="preserve">The Circulatory miR-150-5 p expression levels in studied groups. </w:t>
      </w:r>
    </w:p>
    <w:p w14:paraId="15CDC01C" w14:textId="279819CC" w:rsidR="003E28DC" w:rsidRDefault="00871AC8" w:rsidP="00E30642">
      <w:pPr>
        <w:autoSpaceDE w:val="0"/>
        <w:autoSpaceDN w:val="0"/>
        <w:adjustRightInd w:val="0"/>
        <w:spacing w:after="0" w:line="360" w:lineRule="auto"/>
        <w:jc w:val="both"/>
        <w:rPr>
          <w:rFonts w:asciiTheme="majorBidi" w:hAnsiTheme="majorBidi" w:cstheme="majorBidi"/>
          <w:color w:val="000000"/>
          <w:sz w:val="24"/>
          <w:szCs w:val="24"/>
        </w:rPr>
      </w:pPr>
      <w:r w:rsidRPr="00E30642">
        <w:rPr>
          <w:rFonts w:asciiTheme="majorBidi" w:hAnsiTheme="majorBidi" w:cstheme="majorBidi"/>
          <w:color w:val="000000"/>
          <w:sz w:val="24"/>
          <w:szCs w:val="24"/>
        </w:rPr>
        <w:t>CLL patients (</w:t>
      </w:r>
      <w:r w:rsidR="00C05559" w:rsidRPr="00E30642">
        <w:rPr>
          <w:rFonts w:asciiTheme="majorBidi" w:hAnsiTheme="majorBidi" w:cstheme="majorBidi"/>
          <w:color w:val="000000"/>
          <w:sz w:val="24"/>
          <w:szCs w:val="24"/>
        </w:rPr>
        <w:t>0.464±0.16</w:t>
      </w:r>
      <w:r w:rsidRPr="00E30642">
        <w:rPr>
          <w:rFonts w:asciiTheme="majorBidi" w:hAnsiTheme="majorBidi" w:cstheme="majorBidi"/>
          <w:color w:val="000000"/>
          <w:sz w:val="24"/>
          <w:szCs w:val="24"/>
        </w:rPr>
        <w:t xml:space="preserve">) </w:t>
      </w:r>
      <w:r w:rsidRPr="004149D2">
        <w:rPr>
          <w:rFonts w:asciiTheme="majorBidi" w:hAnsiTheme="majorBidi" w:cstheme="majorBidi"/>
          <w:color w:val="000000"/>
          <w:sz w:val="24"/>
          <w:szCs w:val="24"/>
        </w:rPr>
        <w:t>had</w:t>
      </w:r>
      <w:r w:rsidR="00C05559" w:rsidRPr="004149D2">
        <w:rPr>
          <w:rFonts w:asciiTheme="majorBidi" w:hAnsiTheme="majorBidi" w:cstheme="majorBidi"/>
          <w:color w:val="000000"/>
          <w:sz w:val="24"/>
          <w:szCs w:val="24"/>
        </w:rPr>
        <w:t xml:space="preserve"> a significantly lower level of miR-150-5 p expression </w:t>
      </w:r>
      <w:r w:rsidR="0047518F" w:rsidRPr="004149D2">
        <w:rPr>
          <w:rFonts w:asciiTheme="majorBidi" w:hAnsiTheme="majorBidi" w:cstheme="majorBidi"/>
          <w:color w:val="000000"/>
          <w:sz w:val="24"/>
          <w:szCs w:val="24"/>
        </w:rPr>
        <w:t>than</w:t>
      </w:r>
      <w:r w:rsidR="00C05559" w:rsidRPr="004149D2">
        <w:rPr>
          <w:rFonts w:asciiTheme="majorBidi" w:hAnsiTheme="majorBidi" w:cstheme="majorBidi"/>
          <w:color w:val="000000"/>
          <w:sz w:val="24"/>
          <w:szCs w:val="24"/>
        </w:rPr>
        <w:t xml:space="preserve"> the control group (0.88±0.12)</w:t>
      </w:r>
      <w:r w:rsidR="00A63389" w:rsidRPr="004149D2">
        <w:rPr>
          <w:rFonts w:asciiTheme="majorBidi" w:hAnsiTheme="majorBidi" w:cstheme="majorBidi"/>
          <w:color w:val="000000"/>
          <w:sz w:val="24"/>
          <w:szCs w:val="24"/>
        </w:rPr>
        <w:t>,</w:t>
      </w:r>
      <w:r w:rsidR="004149D2" w:rsidRPr="004149D2">
        <w:rPr>
          <w:rFonts w:asciiTheme="majorBidi" w:hAnsiTheme="majorBidi" w:cstheme="majorBidi"/>
          <w:color w:val="000000"/>
          <w:sz w:val="24"/>
          <w:szCs w:val="24"/>
        </w:rPr>
        <w:t xml:space="preserve"> </w:t>
      </w:r>
      <w:r w:rsidR="00C05559" w:rsidRPr="004149D2">
        <w:rPr>
          <w:rFonts w:asciiTheme="majorBidi" w:hAnsiTheme="majorBidi" w:cstheme="majorBidi"/>
          <w:color w:val="000000"/>
          <w:sz w:val="24"/>
          <w:szCs w:val="24"/>
        </w:rPr>
        <w:t>figure 2</w:t>
      </w:r>
      <w:r w:rsidR="00A63389" w:rsidRPr="004149D2">
        <w:rPr>
          <w:rFonts w:asciiTheme="majorBidi" w:hAnsiTheme="majorBidi" w:cstheme="majorBidi"/>
          <w:color w:val="000000"/>
          <w:sz w:val="24"/>
          <w:szCs w:val="24"/>
        </w:rPr>
        <w:t>,</w:t>
      </w:r>
      <w:r w:rsidR="004149D2" w:rsidRPr="004149D2">
        <w:rPr>
          <w:rFonts w:asciiTheme="majorBidi" w:hAnsiTheme="majorBidi" w:cstheme="majorBidi"/>
          <w:color w:val="000000"/>
          <w:sz w:val="24"/>
          <w:szCs w:val="24"/>
        </w:rPr>
        <w:t xml:space="preserve"> </w:t>
      </w:r>
      <w:r w:rsidR="00C05559" w:rsidRPr="004149D2">
        <w:rPr>
          <w:rFonts w:asciiTheme="majorBidi" w:hAnsiTheme="majorBidi" w:cstheme="majorBidi"/>
          <w:color w:val="000000"/>
          <w:sz w:val="24"/>
          <w:szCs w:val="24"/>
        </w:rPr>
        <w:t>p ˂0.001*.</w:t>
      </w:r>
    </w:p>
    <w:p w14:paraId="6C2B3728" w14:textId="77777777" w:rsidR="002F40F5" w:rsidRDefault="002F40F5" w:rsidP="002F40F5">
      <w:pPr>
        <w:keepNext/>
        <w:autoSpaceDE w:val="0"/>
        <w:autoSpaceDN w:val="0"/>
        <w:adjustRightInd w:val="0"/>
        <w:spacing w:after="0" w:line="360" w:lineRule="auto"/>
        <w:jc w:val="both"/>
      </w:pPr>
      <w:r>
        <w:rPr>
          <w:noProof/>
        </w:rPr>
        <w:drawing>
          <wp:inline distT="0" distB="0" distL="0" distR="0" wp14:anchorId="5D31D18E" wp14:editId="5B410FB3">
            <wp:extent cx="4584700" cy="2703165"/>
            <wp:effectExtent l="19050" t="19050" r="25400" b="21590"/>
            <wp:docPr id="4"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ox and whiske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7362" cy="2704734"/>
                    </a:xfrm>
                    <a:prstGeom prst="rect">
                      <a:avLst/>
                    </a:prstGeom>
                    <a:noFill/>
                    <a:ln>
                      <a:solidFill>
                        <a:sysClr val="windowText" lastClr="000000"/>
                      </a:solidFill>
                    </a:ln>
                  </pic:spPr>
                </pic:pic>
              </a:graphicData>
            </a:graphic>
          </wp:inline>
        </w:drawing>
      </w:r>
    </w:p>
    <w:p w14:paraId="11225D83" w14:textId="2090B16A" w:rsidR="002F40F5" w:rsidRPr="00E30642" w:rsidRDefault="002F40F5" w:rsidP="002F40F5">
      <w:pPr>
        <w:pStyle w:val="Caption"/>
        <w:jc w:val="both"/>
        <w:rPr>
          <w:rFonts w:asciiTheme="majorBidi" w:hAnsiTheme="majorBidi" w:cstheme="majorBidi"/>
          <w:color w:val="000000"/>
          <w:sz w:val="24"/>
          <w:szCs w:val="24"/>
        </w:rPr>
      </w:pPr>
      <w:r>
        <w:t xml:space="preserve">Figure </w:t>
      </w:r>
      <w:fldSimple w:instr=" SEQ Figure \* ARABIC ">
        <w:r w:rsidR="009505D9">
          <w:rPr>
            <w:noProof/>
          </w:rPr>
          <w:t>2</w:t>
        </w:r>
      </w:fldSimple>
      <w:r>
        <w:t xml:space="preserve">. </w:t>
      </w:r>
      <w:r w:rsidRPr="002F40F5">
        <w:rPr>
          <w:b/>
          <w:bCs/>
        </w:rPr>
        <w:t>Comparison between studied groups regards relative expression level of miR-150-5 p</w:t>
      </w:r>
      <w:r>
        <w:rPr>
          <w:b/>
          <w:bCs/>
        </w:rPr>
        <w:t>.</w:t>
      </w:r>
    </w:p>
    <w:p w14:paraId="7F0EBF1C" w14:textId="10378C42" w:rsidR="003E28DC" w:rsidRPr="00E30642" w:rsidRDefault="00871AC8" w:rsidP="00E30642">
      <w:pPr>
        <w:autoSpaceDE w:val="0"/>
        <w:autoSpaceDN w:val="0"/>
        <w:adjustRightInd w:val="0"/>
        <w:spacing w:after="0" w:line="360" w:lineRule="auto"/>
        <w:jc w:val="both"/>
        <w:rPr>
          <w:rFonts w:asciiTheme="majorBidi" w:eastAsia="Calibri" w:hAnsiTheme="majorBidi" w:cstheme="majorBidi"/>
          <w:b/>
          <w:bCs/>
          <w:sz w:val="24"/>
          <w:szCs w:val="24"/>
        </w:rPr>
      </w:pPr>
      <w:r w:rsidRPr="00E30642">
        <w:rPr>
          <w:rFonts w:asciiTheme="majorBidi" w:eastAsia="Calibri" w:hAnsiTheme="majorBidi" w:cstheme="majorBidi"/>
          <w:b/>
          <w:bCs/>
          <w:sz w:val="24"/>
          <w:szCs w:val="24"/>
        </w:rPr>
        <w:t xml:space="preserve">The relationship between the relative expression level of </w:t>
      </w:r>
      <w:r w:rsidR="007011BE" w:rsidRPr="00E30642">
        <w:rPr>
          <w:rFonts w:asciiTheme="majorBidi" w:eastAsia="Calibri" w:hAnsiTheme="majorBidi" w:cstheme="majorBidi"/>
          <w:b/>
          <w:bCs/>
          <w:sz w:val="24"/>
          <w:szCs w:val="24"/>
        </w:rPr>
        <w:t>miR-150-5 p</w:t>
      </w:r>
      <w:r w:rsidRPr="00E30642">
        <w:rPr>
          <w:rFonts w:asciiTheme="majorBidi" w:eastAsia="Calibri" w:hAnsiTheme="majorBidi" w:cstheme="majorBidi"/>
          <w:b/>
          <w:bCs/>
          <w:sz w:val="24"/>
          <w:szCs w:val="24"/>
        </w:rPr>
        <w:t xml:space="preserve"> and clinicopathological characteristics in </w:t>
      </w:r>
      <w:r w:rsidR="007011BE" w:rsidRPr="00E30642">
        <w:rPr>
          <w:rFonts w:asciiTheme="majorBidi" w:eastAsia="Calibri" w:hAnsiTheme="majorBidi" w:cstheme="majorBidi"/>
          <w:b/>
          <w:bCs/>
          <w:sz w:val="24"/>
          <w:szCs w:val="24"/>
        </w:rPr>
        <w:t>CLL</w:t>
      </w:r>
      <w:r w:rsidRPr="00E30642">
        <w:rPr>
          <w:rFonts w:asciiTheme="majorBidi" w:eastAsia="Calibri" w:hAnsiTheme="majorBidi" w:cstheme="majorBidi"/>
          <w:b/>
          <w:bCs/>
          <w:sz w:val="24"/>
          <w:szCs w:val="24"/>
        </w:rPr>
        <w:t xml:space="preserve"> patients.</w:t>
      </w:r>
    </w:p>
    <w:p w14:paraId="73C688A2" w14:textId="2229B957" w:rsidR="003E28DC" w:rsidRDefault="00871AC8" w:rsidP="00E30642">
      <w:pPr>
        <w:autoSpaceDE w:val="0"/>
        <w:autoSpaceDN w:val="0"/>
        <w:adjustRightInd w:val="0"/>
        <w:spacing w:after="0" w:line="360" w:lineRule="auto"/>
        <w:ind w:firstLine="720"/>
        <w:jc w:val="both"/>
        <w:rPr>
          <w:rFonts w:asciiTheme="majorBidi" w:eastAsia="Calibri" w:hAnsiTheme="majorBidi" w:cstheme="majorBidi"/>
          <w:sz w:val="24"/>
          <w:szCs w:val="24"/>
        </w:rPr>
      </w:pPr>
      <w:bookmarkStart w:id="15" w:name="_Hlk62012170"/>
      <w:r w:rsidRPr="00E30642">
        <w:rPr>
          <w:rFonts w:asciiTheme="majorBidi" w:eastAsia="Calibri" w:hAnsiTheme="majorBidi" w:cstheme="majorBidi"/>
          <w:sz w:val="24"/>
          <w:szCs w:val="24"/>
        </w:rPr>
        <w:t xml:space="preserve">According to the current study, there were statistically significant differences regards HCV infection percentage among </w:t>
      </w:r>
      <w:r w:rsidR="00DB5864" w:rsidRPr="00E30642">
        <w:rPr>
          <w:rFonts w:asciiTheme="majorBidi" w:eastAsia="Calibri" w:hAnsiTheme="majorBidi" w:cstheme="majorBidi"/>
          <w:sz w:val="24"/>
          <w:szCs w:val="24"/>
        </w:rPr>
        <w:t>CLL</w:t>
      </w:r>
      <w:r w:rsidRPr="00E30642">
        <w:rPr>
          <w:rFonts w:asciiTheme="majorBidi" w:eastAsia="Calibri" w:hAnsiTheme="majorBidi" w:cstheme="majorBidi"/>
          <w:sz w:val="24"/>
          <w:szCs w:val="24"/>
        </w:rPr>
        <w:t xml:space="preserve"> patients, with about </w:t>
      </w:r>
      <w:r w:rsidR="00977970" w:rsidRPr="00E30642">
        <w:rPr>
          <w:rFonts w:asciiTheme="majorBidi" w:eastAsia="Calibri" w:hAnsiTheme="majorBidi" w:cstheme="majorBidi"/>
          <w:sz w:val="24"/>
          <w:szCs w:val="24"/>
        </w:rPr>
        <w:t>19 (76%)</w:t>
      </w:r>
      <w:r w:rsidRPr="00E30642">
        <w:rPr>
          <w:rFonts w:asciiTheme="majorBidi" w:eastAsia="Calibri" w:hAnsiTheme="majorBidi" w:cstheme="majorBidi"/>
          <w:sz w:val="24"/>
          <w:szCs w:val="24"/>
        </w:rPr>
        <w:t xml:space="preserve"> of </w:t>
      </w:r>
      <w:r w:rsidR="00DB5864" w:rsidRPr="00E30642">
        <w:rPr>
          <w:rFonts w:asciiTheme="majorBidi" w:eastAsia="Calibri" w:hAnsiTheme="majorBidi" w:cstheme="majorBidi"/>
          <w:sz w:val="24"/>
          <w:szCs w:val="24"/>
        </w:rPr>
        <w:t>CLL</w:t>
      </w:r>
      <w:r w:rsidRPr="00E30642">
        <w:rPr>
          <w:rFonts w:asciiTheme="majorBidi" w:eastAsia="Calibri" w:hAnsiTheme="majorBidi" w:cstheme="majorBidi"/>
          <w:sz w:val="24"/>
          <w:szCs w:val="24"/>
        </w:rPr>
        <w:t xml:space="preserve"> </w:t>
      </w:r>
      <w:r w:rsidR="00977970" w:rsidRPr="00E30642">
        <w:rPr>
          <w:rFonts w:asciiTheme="majorBidi" w:eastAsia="Calibri" w:hAnsiTheme="majorBidi" w:cstheme="majorBidi"/>
          <w:sz w:val="24"/>
          <w:szCs w:val="24"/>
        </w:rPr>
        <w:t xml:space="preserve">patients not </w:t>
      </w:r>
      <w:r w:rsidRPr="00E30642">
        <w:rPr>
          <w:rFonts w:asciiTheme="majorBidi" w:eastAsia="Calibri" w:hAnsiTheme="majorBidi" w:cstheme="majorBidi"/>
          <w:sz w:val="24"/>
          <w:szCs w:val="24"/>
        </w:rPr>
        <w:t xml:space="preserve">infected with HCV and </w:t>
      </w:r>
      <w:r w:rsidR="00977970" w:rsidRPr="00E30642">
        <w:rPr>
          <w:rFonts w:asciiTheme="majorBidi" w:eastAsia="Calibri" w:hAnsiTheme="majorBidi" w:cstheme="majorBidi"/>
          <w:sz w:val="24"/>
          <w:szCs w:val="24"/>
        </w:rPr>
        <w:t>6 (24%)</w:t>
      </w:r>
      <w:r w:rsidRPr="00E30642">
        <w:rPr>
          <w:rFonts w:asciiTheme="majorBidi" w:eastAsia="Calibri" w:hAnsiTheme="majorBidi" w:cstheme="majorBidi"/>
          <w:sz w:val="24"/>
          <w:szCs w:val="24"/>
        </w:rPr>
        <w:t xml:space="preserve"> of </w:t>
      </w:r>
      <w:r w:rsidR="00977970" w:rsidRPr="00E30642">
        <w:rPr>
          <w:rFonts w:asciiTheme="majorBidi" w:eastAsia="Calibri" w:hAnsiTheme="majorBidi" w:cstheme="majorBidi"/>
          <w:sz w:val="24"/>
          <w:szCs w:val="24"/>
        </w:rPr>
        <w:t>CLL</w:t>
      </w:r>
      <w:r w:rsidRPr="00E30642">
        <w:rPr>
          <w:rFonts w:asciiTheme="majorBidi" w:eastAsia="Calibri" w:hAnsiTheme="majorBidi" w:cstheme="majorBidi"/>
          <w:sz w:val="24"/>
          <w:szCs w:val="24"/>
        </w:rPr>
        <w:t xml:space="preserve"> </w:t>
      </w:r>
      <w:bookmarkStart w:id="16" w:name="_Hlk123939488"/>
      <w:r w:rsidR="00977970" w:rsidRPr="00E30642">
        <w:rPr>
          <w:rFonts w:asciiTheme="majorBidi" w:eastAsia="Calibri" w:hAnsiTheme="majorBidi" w:cstheme="majorBidi"/>
          <w:sz w:val="24"/>
          <w:szCs w:val="24"/>
        </w:rPr>
        <w:t xml:space="preserve">patients </w:t>
      </w:r>
      <w:r w:rsidRPr="00E30642">
        <w:rPr>
          <w:rFonts w:asciiTheme="majorBidi" w:eastAsia="Calibri" w:hAnsiTheme="majorBidi" w:cstheme="majorBidi"/>
          <w:sz w:val="24"/>
          <w:szCs w:val="24"/>
        </w:rPr>
        <w:t xml:space="preserve">infected </w:t>
      </w:r>
      <w:bookmarkEnd w:id="16"/>
      <w:r w:rsidRPr="00E30642">
        <w:rPr>
          <w:rFonts w:asciiTheme="majorBidi" w:eastAsia="Calibri" w:hAnsiTheme="majorBidi" w:cstheme="majorBidi"/>
          <w:sz w:val="24"/>
          <w:szCs w:val="24"/>
        </w:rPr>
        <w:t>with HCV</w:t>
      </w:r>
      <w:r w:rsidRPr="00E30642">
        <w:rPr>
          <w:rFonts w:asciiTheme="majorBidi" w:hAnsiTheme="majorBidi" w:cstheme="majorBidi"/>
          <w:sz w:val="24"/>
          <w:szCs w:val="24"/>
        </w:rPr>
        <w:t xml:space="preserve"> </w:t>
      </w:r>
      <w:r w:rsidRPr="00E30642">
        <w:rPr>
          <w:rFonts w:asciiTheme="majorBidi" w:eastAsia="Calibri" w:hAnsiTheme="majorBidi" w:cstheme="majorBidi"/>
          <w:sz w:val="24"/>
          <w:szCs w:val="24"/>
        </w:rPr>
        <w:t xml:space="preserve">P ˂0.001*. In addition, </w:t>
      </w:r>
      <w:r w:rsidR="00977970" w:rsidRPr="00E30642">
        <w:rPr>
          <w:rFonts w:asciiTheme="majorBidi" w:eastAsia="Calibri" w:hAnsiTheme="majorBidi" w:cstheme="majorBidi"/>
          <w:sz w:val="24"/>
          <w:szCs w:val="24"/>
        </w:rPr>
        <w:t xml:space="preserve">11(55%) </w:t>
      </w:r>
      <w:r w:rsidRPr="00E30642">
        <w:rPr>
          <w:rFonts w:asciiTheme="majorBidi" w:eastAsia="Calibri" w:hAnsiTheme="majorBidi" w:cstheme="majorBidi"/>
          <w:sz w:val="24"/>
          <w:szCs w:val="24"/>
        </w:rPr>
        <w:t xml:space="preserve">of patients had B symptoms, </w:t>
      </w:r>
      <w:r w:rsidR="00977970" w:rsidRPr="00E30642">
        <w:rPr>
          <w:rFonts w:asciiTheme="majorBidi" w:eastAsia="Calibri" w:hAnsiTheme="majorBidi" w:cstheme="majorBidi"/>
          <w:sz w:val="24"/>
          <w:szCs w:val="24"/>
        </w:rPr>
        <w:t>6(24%) of</w:t>
      </w:r>
      <w:r w:rsidRPr="00E30642">
        <w:rPr>
          <w:rFonts w:asciiTheme="majorBidi" w:eastAsia="Calibri" w:hAnsiTheme="majorBidi" w:cstheme="majorBidi"/>
          <w:sz w:val="24"/>
          <w:szCs w:val="24"/>
        </w:rPr>
        <w:t xml:space="preserve"> patients had </w:t>
      </w:r>
      <w:r w:rsidR="00977970" w:rsidRPr="00E30642">
        <w:rPr>
          <w:rFonts w:asciiTheme="majorBidi" w:eastAsia="Calibri" w:hAnsiTheme="majorBidi" w:cstheme="majorBidi"/>
          <w:sz w:val="24"/>
          <w:szCs w:val="24"/>
        </w:rPr>
        <w:t xml:space="preserve">Lymphadenopathy </w:t>
      </w:r>
      <w:r w:rsidRPr="00E30642">
        <w:rPr>
          <w:rFonts w:asciiTheme="majorBidi" w:eastAsia="Calibri" w:hAnsiTheme="majorBidi" w:cstheme="majorBidi"/>
          <w:sz w:val="24"/>
          <w:szCs w:val="24"/>
        </w:rPr>
        <w:t xml:space="preserve">and </w:t>
      </w:r>
      <w:r w:rsidR="00977970" w:rsidRPr="00E30642">
        <w:rPr>
          <w:rFonts w:asciiTheme="majorBidi" w:eastAsia="Calibri" w:hAnsiTheme="majorBidi" w:cstheme="majorBidi"/>
          <w:sz w:val="24"/>
          <w:szCs w:val="24"/>
        </w:rPr>
        <w:t>12(48%)</w:t>
      </w:r>
      <w:r w:rsidR="00977970" w:rsidRPr="00E30642">
        <w:rPr>
          <w:rFonts w:asciiTheme="majorBidi" w:hAnsiTheme="majorBidi" w:cstheme="majorBidi"/>
          <w:sz w:val="24"/>
          <w:szCs w:val="24"/>
        </w:rPr>
        <w:t xml:space="preserve"> </w:t>
      </w:r>
      <w:r w:rsidR="00977970" w:rsidRPr="00E30642">
        <w:rPr>
          <w:rFonts w:asciiTheme="majorBidi" w:eastAsia="Calibri" w:hAnsiTheme="majorBidi" w:cstheme="majorBidi"/>
          <w:sz w:val="24"/>
          <w:szCs w:val="24"/>
        </w:rPr>
        <w:t xml:space="preserve">of patients had </w:t>
      </w:r>
      <w:r w:rsidR="006C7D75" w:rsidRPr="00E30642">
        <w:rPr>
          <w:rFonts w:asciiTheme="majorBidi" w:eastAsia="Calibri" w:hAnsiTheme="majorBidi" w:cstheme="majorBidi"/>
          <w:sz w:val="24"/>
          <w:szCs w:val="24"/>
        </w:rPr>
        <w:t>HSM.</w:t>
      </w:r>
      <w:r w:rsidRPr="00E30642">
        <w:rPr>
          <w:rFonts w:asciiTheme="majorBidi" w:eastAsia="Calibri" w:hAnsiTheme="majorBidi" w:cstheme="majorBidi"/>
          <w:sz w:val="24"/>
          <w:szCs w:val="24"/>
        </w:rPr>
        <w:t xml:space="preserve"> </w:t>
      </w:r>
      <w:bookmarkEnd w:id="15"/>
      <w:r w:rsidRPr="00E30642">
        <w:rPr>
          <w:rFonts w:asciiTheme="majorBidi" w:eastAsia="Calibri" w:hAnsiTheme="majorBidi" w:cstheme="majorBidi"/>
          <w:sz w:val="24"/>
          <w:szCs w:val="24"/>
        </w:rPr>
        <w:t xml:space="preserve">(Table </w:t>
      </w:r>
      <w:r w:rsidR="00977970" w:rsidRPr="00E30642">
        <w:rPr>
          <w:rFonts w:asciiTheme="majorBidi" w:eastAsia="Calibri" w:hAnsiTheme="majorBidi" w:cstheme="majorBidi"/>
          <w:sz w:val="24"/>
          <w:szCs w:val="24"/>
        </w:rPr>
        <w:t>3</w:t>
      </w:r>
      <w:r w:rsidRPr="00E30642">
        <w:rPr>
          <w:rFonts w:asciiTheme="majorBidi" w:eastAsia="Calibri" w:hAnsiTheme="majorBidi" w:cstheme="majorBidi"/>
          <w:sz w:val="24"/>
          <w:szCs w:val="24"/>
        </w:rPr>
        <w:t>).</w:t>
      </w:r>
    </w:p>
    <w:p w14:paraId="1B808C36" w14:textId="7B746FE2" w:rsidR="00537868" w:rsidRPr="00537868" w:rsidRDefault="00537868" w:rsidP="00537868">
      <w:pPr>
        <w:pStyle w:val="Caption"/>
        <w:keepNext/>
      </w:pPr>
      <w:r>
        <w:t xml:space="preserve">Table </w:t>
      </w:r>
      <w:fldSimple w:instr=" SEQ Table \* ARABIC ">
        <w:r w:rsidR="009505D9">
          <w:rPr>
            <w:noProof/>
          </w:rPr>
          <w:t>3</w:t>
        </w:r>
      </w:fldSimple>
      <w:r>
        <w:t xml:space="preserve">. </w:t>
      </w:r>
      <w:r w:rsidRPr="00537868">
        <w:t>The relationship between the relative expression level of miR-150-5 p</w:t>
      </w:r>
      <w:r w:rsidRPr="00537868">
        <w:rPr>
          <w:b/>
          <w:bCs/>
        </w:rPr>
        <w:t xml:space="preserve"> </w:t>
      </w:r>
      <w:r w:rsidRPr="00537868">
        <w:t>and clinicopathological characteristics in CLL patients.</w:t>
      </w:r>
    </w:p>
    <w:tbl>
      <w:tblPr>
        <w:tblW w:w="9450" w:type="dxa"/>
        <w:jc w:val="center"/>
        <w:tblLayout w:type="fixed"/>
        <w:tblLook w:val="04A0" w:firstRow="1" w:lastRow="0" w:firstColumn="1" w:lastColumn="0" w:noHBand="0" w:noVBand="1"/>
        <w:tblCaption w:val="The relationship between the relative expression level of miR-150-5 p and clinicopathological characteristics in CLL patients."/>
      </w:tblPr>
      <w:tblGrid>
        <w:gridCol w:w="3235"/>
        <w:gridCol w:w="2250"/>
        <w:gridCol w:w="3965"/>
      </w:tblGrid>
      <w:tr w:rsidR="0045448F" w:rsidRPr="00DE0567" w14:paraId="6F78CEEB" w14:textId="77777777" w:rsidTr="0045448F">
        <w:trPr>
          <w:trHeight w:val="314"/>
          <w:jc w:val="center"/>
        </w:trPr>
        <w:tc>
          <w:tcPr>
            <w:tcW w:w="3235" w:type="dxa"/>
            <w:tcBorders>
              <w:top w:val="single" w:sz="4" w:space="0" w:color="auto"/>
              <w:bottom w:val="single" w:sz="4" w:space="0" w:color="auto"/>
            </w:tcBorders>
            <w:shd w:val="clear" w:color="auto" w:fill="auto"/>
          </w:tcPr>
          <w:p w14:paraId="32DCA610" w14:textId="77777777" w:rsidR="0045448F" w:rsidRPr="00DE0567" w:rsidRDefault="0045448F" w:rsidP="00B173A2">
            <w:pPr>
              <w:spacing w:after="0" w:line="240" w:lineRule="auto"/>
              <w:rPr>
                <w:rFonts w:ascii="Times New Roman" w:eastAsia="Calibri" w:hAnsi="Times New Roman" w:cs="Times New Roman"/>
                <w:b/>
                <w:bCs/>
                <w:sz w:val="20"/>
                <w:szCs w:val="20"/>
                <w:lang w:val="en-GB"/>
              </w:rPr>
            </w:pPr>
            <w:r w:rsidRPr="00DE0567">
              <w:rPr>
                <w:rFonts w:ascii="Times New Roman" w:eastAsia="Calibri" w:hAnsi="Times New Roman" w:cs="Times New Roman"/>
                <w:b/>
                <w:bCs/>
                <w:sz w:val="20"/>
                <w:szCs w:val="20"/>
                <w:lang w:val="en-GB"/>
              </w:rPr>
              <w:t xml:space="preserve">Parameters </w:t>
            </w:r>
          </w:p>
        </w:tc>
        <w:tc>
          <w:tcPr>
            <w:tcW w:w="2250" w:type="dxa"/>
            <w:tcBorders>
              <w:top w:val="single" w:sz="4" w:space="0" w:color="auto"/>
              <w:bottom w:val="single" w:sz="4" w:space="0" w:color="auto"/>
            </w:tcBorders>
            <w:shd w:val="clear" w:color="auto" w:fill="auto"/>
          </w:tcPr>
          <w:p w14:paraId="55DB72FA" w14:textId="77777777" w:rsidR="0045448F" w:rsidRPr="00DE0567" w:rsidRDefault="0045448F" w:rsidP="00B173A2">
            <w:pPr>
              <w:autoSpaceDE w:val="0"/>
              <w:autoSpaceDN w:val="0"/>
              <w:adjustRightInd w:val="0"/>
              <w:spacing w:after="0" w:line="240" w:lineRule="auto"/>
              <w:rPr>
                <w:rFonts w:ascii="Times New Roman" w:eastAsia="Calibri" w:hAnsi="Times New Roman" w:cs="Times New Roman"/>
                <w:b/>
                <w:bCs/>
                <w:sz w:val="20"/>
                <w:szCs w:val="20"/>
              </w:rPr>
            </w:pPr>
            <w:r w:rsidRPr="00DE0567">
              <w:rPr>
                <w:rFonts w:ascii="Times New Roman" w:eastAsia="Calibri" w:hAnsi="Times New Roman" w:cs="Times New Roman"/>
                <w:b/>
                <w:bCs/>
                <w:sz w:val="20"/>
                <w:szCs w:val="20"/>
              </w:rPr>
              <w:t>CLL patients (n=25)</w:t>
            </w:r>
          </w:p>
        </w:tc>
        <w:tc>
          <w:tcPr>
            <w:tcW w:w="3965" w:type="dxa"/>
            <w:tcBorders>
              <w:top w:val="single" w:sz="4" w:space="0" w:color="auto"/>
              <w:bottom w:val="single" w:sz="4" w:space="0" w:color="auto"/>
            </w:tcBorders>
          </w:tcPr>
          <w:p w14:paraId="5ED6BF61" w14:textId="77777777" w:rsidR="0045448F" w:rsidRPr="00DE0567" w:rsidRDefault="0045448F" w:rsidP="00B173A2">
            <w:pPr>
              <w:autoSpaceDE w:val="0"/>
              <w:autoSpaceDN w:val="0"/>
              <w:adjustRightInd w:val="0"/>
              <w:spacing w:after="0" w:line="240" w:lineRule="auto"/>
              <w:rPr>
                <w:rFonts w:ascii="Times New Roman" w:eastAsia="AdvGulliv-R" w:hAnsi="Times New Roman" w:cs="Times New Roman"/>
                <w:b/>
                <w:bCs/>
                <w:sz w:val="20"/>
                <w:szCs w:val="20"/>
              </w:rPr>
            </w:pPr>
            <w:r w:rsidRPr="00DE0567">
              <w:rPr>
                <w:rFonts w:asciiTheme="majorBidi" w:hAnsiTheme="majorBidi" w:cstheme="majorBidi"/>
                <w:b/>
                <w:bCs/>
                <w:sz w:val="20"/>
                <w:szCs w:val="20"/>
              </w:rPr>
              <w:t>miR-150-5 p</w:t>
            </w:r>
          </w:p>
        </w:tc>
      </w:tr>
      <w:tr w:rsidR="0045448F" w:rsidRPr="00DE0567" w14:paraId="064AABAF" w14:textId="77777777" w:rsidTr="00B173A2">
        <w:trPr>
          <w:trHeight w:val="867"/>
          <w:jc w:val="center"/>
        </w:trPr>
        <w:tc>
          <w:tcPr>
            <w:tcW w:w="3235" w:type="dxa"/>
            <w:tcBorders>
              <w:top w:val="single" w:sz="4" w:space="0" w:color="auto"/>
            </w:tcBorders>
            <w:shd w:val="clear" w:color="auto" w:fill="auto"/>
          </w:tcPr>
          <w:p w14:paraId="08A6EFAE" w14:textId="77777777" w:rsidR="0045448F" w:rsidRPr="00DE0567" w:rsidRDefault="0045448F" w:rsidP="00B173A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Non-</w:t>
            </w:r>
            <w:r w:rsidRPr="00DE0567">
              <w:rPr>
                <w:rFonts w:ascii="Times New Roman" w:eastAsia="Calibri" w:hAnsi="Times New Roman" w:cs="Times New Roman"/>
                <w:sz w:val="20"/>
                <w:szCs w:val="20"/>
              </w:rPr>
              <w:t xml:space="preserve">HCV </w:t>
            </w:r>
          </w:p>
          <w:p w14:paraId="0745A5AE" w14:textId="77777777" w:rsidR="0045448F" w:rsidRPr="00DE0567" w:rsidRDefault="0045448F" w:rsidP="00B173A2">
            <w:pPr>
              <w:spacing w:after="0" w:line="240" w:lineRule="auto"/>
              <w:rPr>
                <w:rFonts w:ascii="Times New Roman" w:eastAsia="Calibri" w:hAnsi="Times New Roman" w:cs="Times New Roman"/>
                <w:sz w:val="20"/>
                <w:szCs w:val="20"/>
              </w:rPr>
            </w:pPr>
            <w:r w:rsidRPr="00DE0567">
              <w:rPr>
                <w:rFonts w:ascii="Times New Roman" w:eastAsia="Calibri" w:hAnsi="Times New Roman" w:cs="Times New Roman"/>
                <w:sz w:val="20"/>
                <w:szCs w:val="20"/>
              </w:rPr>
              <w:t xml:space="preserve">HCV </w:t>
            </w:r>
          </w:p>
          <w:p w14:paraId="15F1B1EC" w14:textId="77777777" w:rsidR="0045448F" w:rsidRPr="00DE0567" w:rsidRDefault="0045448F" w:rsidP="00B173A2">
            <w:pPr>
              <w:spacing w:after="0" w:line="240" w:lineRule="auto"/>
              <w:rPr>
                <w:rFonts w:ascii="Times New Roman" w:eastAsia="Calibri" w:hAnsi="Times New Roman" w:cs="Times New Roman"/>
                <w:sz w:val="20"/>
                <w:szCs w:val="20"/>
              </w:rPr>
            </w:pPr>
            <w:r w:rsidRPr="00DE0567">
              <w:rPr>
                <w:rFonts w:ascii="Times New Roman" w:eastAsia="Calibri" w:hAnsi="Times New Roman" w:cs="Times New Roman"/>
                <w:sz w:val="20"/>
                <w:szCs w:val="20"/>
              </w:rPr>
              <w:t>P value</w:t>
            </w:r>
          </w:p>
        </w:tc>
        <w:tc>
          <w:tcPr>
            <w:tcW w:w="2250" w:type="dxa"/>
            <w:tcBorders>
              <w:top w:val="single" w:sz="4" w:space="0" w:color="auto"/>
            </w:tcBorders>
            <w:shd w:val="clear" w:color="auto" w:fill="auto"/>
          </w:tcPr>
          <w:p w14:paraId="74435691" w14:textId="77777777" w:rsidR="0045448F" w:rsidRPr="00DE0567" w:rsidRDefault="0045448F" w:rsidP="00B173A2">
            <w:pPr>
              <w:spacing w:after="0" w:line="240" w:lineRule="auto"/>
              <w:rPr>
                <w:rFonts w:ascii="Times New Roman" w:eastAsia="Calibri" w:hAnsi="Times New Roman" w:cs="Times New Roman"/>
                <w:sz w:val="20"/>
                <w:szCs w:val="20"/>
              </w:rPr>
            </w:pPr>
            <w:bookmarkStart w:id="17" w:name="_Hlk125500415"/>
            <w:r>
              <w:rPr>
                <w:rFonts w:ascii="Times New Roman" w:eastAsia="Calibri" w:hAnsi="Times New Roman" w:cs="Times New Roman"/>
                <w:sz w:val="20"/>
                <w:szCs w:val="20"/>
              </w:rPr>
              <w:t>1</w:t>
            </w:r>
            <w:r w:rsidRPr="00DE0567">
              <w:rPr>
                <w:rFonts w:ascii="Times New Roman" w:eastAsia="Calibri" w:hAnsi="Times New Roman" w:cs="Times New Roman"/>
                <w:sz w:val="20"/>
                <w:szCs w:val="20"/>
              </w:rPr>
              <w:t>9</w:t>
            </w:r>
            <w:r>
              <w:rPr>
                <w:rFonts w:ascii="Times New Roman" w:eastAsia="Calibri" w:hAnsi="Times New Roman" w:cs="Times New Roman"/>
                <w:sz w:val="20"/>
                <w:szCs w:val="20"/>
              </w:rPr>
              <w:t xml:space="preserve"> </w:t>
            </w:r>
            <w:r w:rsidRPr="00DE0567">
              <w:rPr>
                <w:rFonts w:ascii="Times New Roman" w:eastAsia="Calibri" w:hAnsi="Times New Roman" w:cs="Times New Roman"/>
                <w:sz w:val="20"/>
                <w:szCs w:val="20"/>
              </w:rPr>
              <w:t>(</w:t>
            </w:r>
            <w:r>
              <w:rPr>
                <w:rFonts w:ascii="Times New Roman" w:eastAsia="Calibri" w:hAnsi="Times New Roman" w:cs="Times New Roman"/>
                <w:sz w:val="20"/>
                <w:szCs w:val="20"/>
              </w:rPr>
              <w:t>76</w:t>
            </w:r>
            <w:r w:rsidRPr="00DE0567">
              <w:rPr>
                <w:rFonts w:ascii="Times New Roman" w:eastAsia="Calibri" w:hAnsi="Times New Roman" w:cs="Times New Roman"/>
                <w:sz w:val="20"/>
                <w:szCs w:val="20"/>
              </w:rPr>
              <w:t>%)</w:t>
            </w:r>
          </w:p>
          <w:bookmarkEnd w:id="17"/>
          <w:p w14:paraId="565CDC7B" w14:textId="77777777" w:rsidR="0045448F" w:rsidRDefault="0045448F" w:rsidP="00B173A2">
            <w:pPr>
              <w:spacing w:after="0" w:line="240" w:lineRule="auto"/>
              <w:rPr>
                <w:rFonts w:ascii="Times New Roman" w:eastAsia="Calibri" w:hAnsi="Times New Roman" w:cs="Times New Roman"/>
                <w:sz w:val="20"/>
                <w:szCs w:val="20"/>
              </w:rPr>
            </w:pPr>
            <w:r w:rsidRPr="00DE0567">
              <w:rPr>
                <w:rFonts w:ascii="Times New Roman" w:eastAsia="Calibri" w:hAnsi="Times New Roman" w:cs="Times New Roman"/>
                <w:sz w:val="20"/>
                <w:szCs w:val="20"/>
              </w:rPr>
              <w:t>6</w:t>
            </w:r>
            <w:r>
              <w:rPr>
                <w:rFonts w:ascii="Times New Roman" w:eastAsia="Calibri" w:hAnsi="Times New Roman" w:cs="Times New Roman"/>
                <w:sz w:val="20"/>
                <w:szCs w:val="20"/>
              </w:rPr>
              <w:t xml:space="preserve"> </w:t>
            </w:r>
            <w:r w:rsidRPr="00DE0567">
              <w:rPr>
                <w:rFonts w:ascii="Times New Roman" w:eastAsia="Calibri" w:hAnsi="Times New Roman" w:cs="Times New Roman"/>
                <w:sz w:val="20"/>
                <w:szCs w:val="20"/>
              </w:rPr>
              <w:t>(</w:t>
            </w:r>
            <w:r>
              <w:rPr>
                <w:rFonts w:ascii="Times New Roman" w:eastAsia="Calibri" w:hAnsi="Times New Roman" w:cs="Times New Roman"/>
                <w:sz w:val="20"/>
                <w:szCs w:val="20"/>
              </w:rPr>
              <w:t>24</w:t>
            </w:r>
            <w:r w:rsidRPr="00DE0567">
              <w:rPr>
                <w:rFonts w:ascii="Times New Roman" w:eastAsia="Calibri" w:hAnsi="Times New Roman" w:cs="Times New Roman"/>
                <w:sz w:val="20"/>
                <w:szCs w:val="20"/>
              </w:rPr>
              <w:t>%)</w:t>
            </w:r>
          </w:p>
          <w:p w14:paraId="4383326D" w14:textId="77777777" w:rsidR="0045448F" w:rsidRDefault="0045448F" w:rsidP="00B173A2">
            <w:pPr>
              <w:spacing w:after="0" w:line="240" w:lineRule="auto"/>
              <w:rPr>
                <w:rFonts w:ascii="Times New Roman" w:eastAsia="Calibri" w:hAnsi="Times New Roman" w:cs="Times New Roman"/>
                <w:sz w:val="20"/>
                <w:szCs w:val="20"/>
              </w:rPr>
            </w:pPr>
            <w:r w:rsidRPr="00C560F8">
              <w:rPr>
                <w:rFonts w:ascii="Times New Roman" w:eastAsia="Calibri" w:hAnsi="Times New Roman" w:cs="Times New Roman"/>
                <w:sz w:val="20"/>
                <w:szCs w:val="20"/>
              </w:rPr>
              <w:t>˂0.001*</w:t>
            </w:r>
          </w:p>
          <w:p w14:paraId="1B324DFA" w14:textId="77777777" w:rsidR="0045448F" w:rsidRPr="00DE0567" w:rsidRDefault="0045448F" w:rsidP="00B173A2">
            <w:pPr>
              <w:spacing w:after="0" w:line="240" w:lineRule="auto"/>
              <w:rPr>
                <w:rFonts w:ascii="Times New Roman" w:eastAsia="Calibri" w:hAnsi="Times New Roman" w:cs="Times New Roman"/>
                <w:sz w:val="20"/>
                <w:szCs w:val="20"/>
              </w:rPr>
            </w:pPr>
          </w:p>
        </w:tc>
        <w:tc>
          <w:tcPr>
            <w:tcW w:w="3965" w:type="dxa"/>
            <w:tcBorders>
              <w:top w:val="single" w:sz="4" w:space="0" w:color="auto"/>
            </w:tcBorders>
          </w:tcPr>
          <w:p w14:paraId="73E62325" w14:textId="77777777" w:rsidR="0045448F" w:rsidRPr="001E13EF" w:rsidRDefault="0045448F" w:rsidP="00B173A2">
            <w:pPr>
              <w:spacing w:after="0" w:line="240" w:lineRule="auto"/>
              <w:rPr>
                <w:rFonts w:ascii="Times New Roman" w:eastAsia="Calibri" w:hAnsi="Times New Roman" w:cs="Times New Roman"/>
                <w:sz w:val="20"/>
                <w:szCs w:val="20"/>
                <w:rtl/>
              </w:rPr>
            </w:pPr>
            <w:r w:rsidRPr="00DE0567">
              <w:rPr>
                <w:rFonts w:ascii="Times New Roman" w:eastAsia="Calibri" w:hAnsi="Times New Roman" w:cs="Times New Roman"/>
                <w:sz w:val="20"/>
                <w:szCs w:val="20"/>
              </w:rPr>
              <w:t>0</w:t>
            </w:r>
            <w:r w:rsidRPr="001E13EF">
              <w:rPr>
                <w:rFonts w:ascii="Times New Roman" w:eastAsia="Calibri" w:hAnsi="Times New Roman" w:cs="Times New Roman"/>
                <w:sz w:val="20"/>
                <w:szCs w:val="20"/>
              </w:rPr>
              <w:t>.466±0.206</w:t>
            </w:r>
          </w:p>
          <w:p w14:paraId="5EDF2C8A"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0.61±</w:t>
            </w:r>
            <w:r w:rsidRPr="001E13EF">
              <w:rPr>
                <w:rFonts w:ascii="Times New Roman" w:eastAsia="Calibri" w:hAnsi="Times New Roman" w:cs="Times New Roman" w:hint="cs"/>
                <w:sz w:val="20"/>
                <w:szCs w:val="20"/>
                <w:rtl/>
              </w:rPr>
              <w:t>0</w:t>
            </w:r>
            <w:r w:rsidRPr="001E13EF">
              <w:rPr>
                <w:rFonts w:ascii="Times New Roman" w:eastAsia="Calibri" w:hAnsi="Times New Roman" w:cs="Times New Roman"/>
                <w:sz w:val="20"/>
                <w:szCs w:val="20"/>
              </w:rPr>
              <w:t>.16</w:t>
            </w:r>
          </w:p>
          <w:p w14:paraId="32BC8BC4" w14:textId="77777777" w:rsidR="0045448F" w:rsidRPr="00DE0567"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0.051</w:t>
            </w:r>
          </w:p>
        </w:tc>
      </w:tr>
      <w:tr w:rsidR="0045448F" w:rsidRPr="00DE0567" w14:paraId="2631DCAC" w14:textId="77777777" w:rsidTr="00B173A2">
        <w:trPr>
          <w:jc w:val="center"/>
        </w:trPr>
        <w:tc>
          <w:tcPr>
            <w:tcW w:w="3235" w:type="dxa"/>
          </w:tcPr>
          <w:p w14:paraId="79A90501"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B symptoms [n (%)]</w:t>
            </w:r>
          </w:p>
          <w:p w14:paraId="6431EC8D"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Present</w:t>
            </w:r>
          </w:p>
          <w:p w14:paraId="6A4CBA5B"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Absent</w:t>
            </w:r>
          </w:p>
          <w:p w14:paraId="1C962CCC" w14:textId="77777777" w:rsidR="0045448F" w:rsidRPr="00DE0567" w:rsidRDefault="0045448F" w:rsidP="00B173A2">
            <w:pPr>
              <w:spacing w:after="0" w:line="240" w:lineRule="auto"/>
              <w:rPr>
                <w:rFonts w:ascii="Times New Roman" w:eastAsia="Calibri" w:hAnsi="Times New Roman" w:cs="Times New Roman"/>
                <w:sz w:val="20"/>
                <w:szCs w:val="20"/>
              </w:rPr>
            </w:pPr>
            <w:r w:rsidRPr="00DE0567">
              <w:rPr>
                <w:rFonts w:ascii="Times New Roman" w:eastAsia="Calibri" w:hAnsi="Times New Roman" w:cs="Times New Roman"/>
                <w:sz w:val="20"/>
                <w:szCs w:val="20"/>
              </w:rPr>
              <w:t>P value</w:t>
            </w:r>
          </w:p>
        </w:tc>
        <w:tc>
          <w:tcPr>
            <w:tcW w:w="2250" w:type="dxa"/>
          </w:tcPr>
          <w:p w14:paraId="48414BA0" w14:textId="77777777" w:rsidR="0045448F" w:rsidRPr="001E13EF" w:rsidRDefault="0045448F" w:rsidP="00B173A2">
            <w:pPr>
              <w:spacing w:after="0" w:line="240" w:lineRule="auto"/>
              <w:rPr>
                <w:rFonts w:ascii="Times New Roman" w:eastAsia="Calibri" w:hAnsi="Times New Roman" w:cs="Times New Roman"/>
                <w:sz w:val="20"/>
                <w:szCs w:val="20"/>
              </w:rPr>
            </w:pPr>
          </w:p>
          <w:p w14:paraId="0BFF17D6" w14:textId="77777777" w:rsidR="0045448F" w:rsidRPr="001E13EF" w:rsidRDefault="0045448F" w:rsidP="00B173A2">
            <w:pPr>
              <w:spacing w:after="0" w:line="240" w:lineRule="auto"/>
              <w:rPr>
                <w:rFonts w:ascii="Times New Roman" w:eastAsia="Calibri" w:hAnsi="Times New Roman" w:cs="Times New Roman"/>
                <w:sz w:val="20"/>
                <w:szCs w:val="20"/>
              </w:rPr>
            </w:pPr>
            <w:bookmarkStart w:id="18" w:name="_Hlk125500480"/>
            <w:r w:rsidRPr="001E13EF">
              <w:rPr>
                <w:rFonts w:ascii="Times New Roman" w:eastAsia="Calibri" w:hAnsi="Times New Roman" w:cs="Times New Roman"/>
                <w:sz w:val="20"/>
                <w:szCs w:val="20"/>
              </w:rPr>
              <w:t>10(40%)</w:t>
            </w:r>
          </w:p>
          <w:bookmarkEnd w:id="18"/>
          <w:p w14:paraId="544236FF"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15(60%)</w:t>
            </w:r>
          </w:p>
          <w:p w14:paraId="0B44AEB4" w14:textId="77777777" w:rsidR="0045448F" w:rsidRPr="001E13EF" w:rsidRDefault="0045448F" w:rsidP="00B173A2">
            <w:pPr>
              <w:spacing w:after="0" w:line="240" w:lineRule="auto"/>
              <w:rPr>
                <w:rFonts w:ascii="Times New Roman" w:eastAsia="Calibri" w:hAnsi="Times New Roman" w:cs="Times New Roman"/>
                <w:sz w:val="20"/>
                <w:szCs w:val="20"/>
              </w:rPr>
            </w:pPr>
          </w:p>
        </w:tc>
        <w:tc>
          <w:tcPr>
            <w:tcW w:w="3965" w:type="dxa"/>
          </w:tcPr>
          <w:p w14:paraId="64EEEF9A" w14:textId="77777777" w:rsidR="0045448F" w:rsidRPr="001E13EF" w:rsidRDefault="0045448F" w:rsidP="00B173A2">
            <w:pPr>
              <w:spacing w:after="0" w:line="240" w:lineRule="auto"/>
              <w:rPr>
                <w:rFonts w:ascii="Times New Roman" w:eastAsia="Calibri" w:hAnsi="Times New Roman" w:cs="Times New Roman"/>
                <w:sz w:val="20"/>
                <w:szCs w:val="20"/>
              </w:rPr>
            </w:pPr>
          </w:p>
          <w:p w14:paraId="3D6ADA56" w14:textId="77777777" w:rsidR="0045448F" w:rsidRPr="001E13EF" w:rsidRDefault="0045448F" w:rsidP="00B173A2">
            <w:pPr>
              <w:spacing w:after="0" w:line="240" w:lineRule="auto"/>
              <w:rPr>
                <w:rFonts w:ascii="Times New Roman" w:eastAsia="Calibri" w:hAnsi="Times New Roman" w:cs="Times New Roman"/>
                <w:sz w:val="20"/>
                <w:szCs w:val="20"/>
                <w:rtl/>
              </w:rPr>
            </w:pPr>
            <w:r w:rsidRPr="001E13EF">
              <w:rPr>
                <w:rFonts w:ascii="Times New Roman" w:eastAsia="Calibri" w:hAnsi="Times New Roman" w:cs="Times New Roman"/>
                <w:sz w:val="20"/>
                <w:szCs w:val="20"/>
              </w:rPr>
              <w:t>0.57±0.15</w:t>
            </w:r>
          </w:p>
          <w:p w14:paraId="4746E497"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0.49±</w:t>
            </w:r>
            <w:r w:rsidRPr="001E13EF">
              <w:rPr>
                <w:rFonts w:ascii="Times New Roman" w:eastAsia="Calibri" w:hAnsi="Times New Roman" w:cs="Times New Roman" w:hint="cs"/>
                <w:sz w:val="20"/>
                <w:szCs w:val="20"/>
                <w:rtl/>
              </w:rPr>
              <w:t>0</w:t>
            </w:r>
            <w:r w:rsidRPr="001E13EF">
              <w:rPr>
                <w:rFonts w:ascii="Times New Roman" w:eastAsia="Calibri" w:hAnsi="Times New Roman" w:cs="Times New Roman"/>
                <w:sz w:val="20"/>
                <w:szCs w:val="20"/>
              </w:rPr>
              <w:t>.07</w:t>
            </w:r>
          </w:p>
          <w:p w14:paraId="05BC5C69"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0.289</w:t>
            </w:r>
          </w:p>
        </w:tc>
      </w:tr>
      <w:tr w:rsidR="0045448F" w:rsidRPr="00DE0567" w14:paraId="6FE9F430" w14:textId="77777777" w:rsidTr="00B173A2">
        <w:trPr>
          <w:jc w:val="center"/>
        </w:trPr>
        <w:tc>
          <w:tcPr>
            <w:tcW w:w="3235" w:type="dxa"/>
          </w:tcPr>
          <w:p w14:paraId="61EB729F"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Site of involvement [N (%)]</w:t>
            </w:r>
          </w:p>
          <w:p w14:paraId="20992A2F" w14:textId="77777777" w:rsidR="0045448F" w:rsidRPr="001E13EF" w:rsidRDefault="0045448F" w:rsidP="00B173A2">
            <w:pPr>
              <w:spacing w:after="0" w:line="240" w:lineRule="auto"/>
              <w:rPr>
                <w:rFonts w:ascii="Times New Roman" w:eastAsia="Calibri" w:hAnsi="Times New Roman" w:cs="Times New Roman"/>
                <w:sz w:val="20"/>
                <w:szCs w:val="20"/>
              </w:rPr>
            </w:pPr>
            <w:bookmarkStart w:id="19" w:name="_Hlk125500530"/>
            <w:r w:rsidRPr="001E13EF">
              <w:rPr>
                <w:rFonts w:ascii="Times New Roman" w:eastAsia="Calibri" w:hAnsi="Times New Roman" w:cs="Times New Roman"/>
                <w:sz w:val="20"/>
                <w:szCs w:val="20"/>
              </w:rPr>
              <w:t>Lymphadenopathy</w:t>
            </w:r>
          </w:p>
          <w:p w14:paraId="2EF4208C" w14:textId="77777777" w:rsidR="0045448F" w:rsidRPr="001E13EF" w:rsidRDefault="0045448F" w:rsidP="00B173A2">
            <w:pPr>
              <w:spacing w:after="0" w:line="240" w:lineRule="auto"/>
              <w:rPr>
                <w:rFonts w:ascii="Times New Roman" w:eastAsia="Calibri" w:hAnsi="Times New Roman" w:cs="Times New Roman"/>
                <w:sz w:val="20"/>
                <w:szCs w:val="20"/>
              </w:rPr>
            </w:pPr>
            <w:bookmarkStart w:id="20" w:name="_Hlk125500589"/>
            <w:bookmarkEnd w:id="19"/>
            <w:r w:rsidRPr="001E13EF">
              <w:rPr>
                <w:rFonts w:ascii="Times New Roman" w:eastAsia="Calibri" w:hAnsi="Times New Roman" w:cs="Times New Roman"/>
                <w:sz w:val="20"/>
                <w:szCs w:val="20"/>
              </w:rPr>
              <w:t xml:space="preserve">HSM </w:t>
            </w:r>
          </w:p>
          <w:bookmarkEnd w:id="20"/>
          <w:p w14:paraId="66915BAC" w14:textId="77777777" w:rsidR="0045448F" w:rsidRPr="00DE0567" w:rsidRDefault="0045448F" w:rsidP="00B173A2">
            <w:pPr>
              <w:spacing w:after="0" w:line="240" w:lineRule="auto"/>
              <w:rPr>
                <w:rFonts w:ascii="Times New Roman" w:eastAsia="Calibri" w:hAnsi="Times New Roman" w:cs="Times New Roman"/>
                <w:sz w:val="20"/>
                <w:szCs w:val="20"/>
              </w:rPr>
            </w:pPr>
            <w:r w:rsidRPr="00DE0567">
              <w:rPr>
                <w:rFonts w:ascii="Times New Roman" w:eastAsia="Calibri" w:hAnsi="Times New Roman" w:cs="Times New Roman"/>
                <w:sz w:val="20"/>
                <w:szCs w:val="20"/>
              </w:rPr>
              <w:t>P value</w:t>
            </w:r>
          </w:p>
        </w:tc>
        <w:tc>
          <w:tcPr>
            <w:tcW w:w="2250" w:type="dxa"/>
          </w:tcPr>
          <w:p w14:paraId="7176B3E4" w14:textId="77777777" w:rsidR="0045448F" w:rsidRPr="001E13EF" w:rsidRDefault="0045448F" w:rsidP="00B173A2">
            <w:pPr>
              <w:spacing w:after="0" w:line="240" w:lineRule="auto"/>
              <w:rPr>
                <w:rFonts w:ascii="Times New Roman" w:eastAsia="Calibri" w:hAnsi="Times New Roman" w:cs="Times New Roman"/>
                <w:sz w:val="20"/>
                <w:szCs w:val="20"/>
              </w:rPr>
            </w:pPr>
          </w:p>
          <w:p w14:paraId="71E02CEF" w14:textId="77777777" w:rsidR="0045448F" w:rsidRPr="001E13EF" w:rsidRDefault="0045448F" w:rsidP="00B173A2">
            <w:pPr>
              <w:spacing w:after="0" w:line="240" w:lineRule="auto"/>
              <w:rPr>
                <w:rFonts w:ascii="Times New Roman" w:eastAsia="Calibri" w:hAnsi="Times New Roman" w:cs="Times New Roman"/>
                <w:sz w:val="20"/>
                <w:szCs w:val="20"/>
              </w:rPr>
            </w:pPr>
            <w:bookmarkStart w:id="21" w:name="_Hlk125500520"/>
            <w:r w:rsidRPr="001E13EF">
              <w:rPr>
                <w:rFonts w:ascii="Times New Roman" w:eastAsia="Calibri" w:hAnsi="Times New Roman" w:cs="Times New Roman"/>
                <w:sz w:val="20"/>
                <w:szCs w:val="20"/>
              </w:rPr>
              <w:t>6 (24%)</w:t>
            </w:r>
          </w:p>
          <w:p w14:paraId="4028B773" w14:textId="77777777" w:rsidR="0045448F" w:rsidRPr="001E13EF" w:rsidRDefault="0045448F" w:rsidP="00B173A2">
            <w:pPr>
              <w:spacing w:after="0" w:line="240" w:lineRule="auto"/>
              <w:rPr>
                <w:rFonts w:ascii="Times New Roman" w:eastAsia="Calibri" w:hAnsi="Times New Roman" w:cs="Times New Roman"/>
                <w:sz w:val="20"/>
                <w:szCs w:val="20"/>
              </w:rPr>
            </w:pPr>
            <w:bookmarkStart w:id="22" w:name="_Hlk125500543"/>
            <w:bookmarkEnd w:id="21"/>
            <w:r w:rsidRPr="001E13EF">
              <w:rPr>
                <w:rFonts w:ascii="Times New Roman" w:eastAsia="Calibri" w:hAnsi="Times New Roman" w:cs="Times New Roman"/>
                <w:sz w:val="20"/>
                <w:szCs w:val="20"/>
              </w:rPr>
              <w:t>12(48%)</w:t>
            </w:r>
          </w:p>
          <w:bookmarkEnd w:id="22"/>
          <w:p w14:paraId="75127C88" w14:textId="77777777" w:rsidR="0045448F" w:rsidRPr="001E13EF" w:rsidRDefault="0045448F" w:rsidP="00B173A2">
            <w:pPr>
              <w:spacing w:after="0" w:line="240" w:lineRule="auto"/>
              <w:rPr>
                <w:rFonts w:ascii="Times New Roman" w:eastAsia="Calibri" w:hAnsi="Times New Roman" w:cs="Times New Roman"/>
                <w:sz w:val="20"/>
                <w:szCs w:val="20"/>
              </w:rPr>
            </w:pPr>
          </w:p>
        </w:tc>
        <w:tc>
          <w:tcPr>
            <w:tcW w:w="3965" w:type="dxa"/>
          </w:tcPr>
          <w:p w14:paraId="614071BA" w14:textId="77777777" w:rsidR="0045448F" w:rsidRPr="001E13EF" w:rsidRDefault="0045448F" w:rsidP="00B173A2">
            <w:pPr>
              <w:spacing w:after="0" w:line="240" w:lineRule="auto"/>
              <w:rPr>
                <w:rFonts w:ascii="Times New Roman" w:eastAsia="Calibri" w:hAnsi="Times New Roman" w:cs="Times New Roman"/>
                <w:sz w:val="20"/>
                <w:szCs w:val="20"/>
              </w:rPr>
            </w:pPr>
          </w:p>
          <w:p w14:paraId="0057E463" w14:textId="77777777" w:rsidR="0045448F" w:rsidRPr="001E13EF" w:rsidRDefault="0045448F" w:rsidP="00B173A2">
            <w:pPr>
              <w:spacing w:after="0" w:line="240" w:lineRule="auto"/>
              <w:rPr>
                <w:rFonts w:ascii="Times New Roman" w:eastAsia="Calibri" w:hAnsi="Times New Roman" w:cs="Times New Roman"/>
                <w:sz w:val="20"/>
                <w:szCs w:val="20"/>
                <w:rtl/>
              </w:rPr>
            </w:pPr>
            <w:r w:rsidRPr="001E13EF">
              <w:rPr>
                <w:rFonts w:ascii="Times New Roman" w:eastAsia="Calibri" w:hAnsi="Times New Roman" w:cs="Times New Roman"/>
                <w:sz w:val="20"/>
                <w:szCs w:val="20"/>
              </w:rPr>
              <w:t>0.47±0.80</w:t>
            </w:r>
          </w:p>
          <w:p w14:paraId="46E14816"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0.51±</w:t>
            </w:r>
            <w:r w:rsidRPr="001E13EF">
              <w:rPr>
                <w:rFonts w:ascii="Times New Roman" w:eastAsia="Calibri" w:hAnsi="Times New Roman" w:cs="Times New Roman" w:hint="cs"/>
                <w:sz w:val="20"/>
                <w:szCs w:val="20"/>
                <w:rtl/>
              </w:rPr>
              <w:t>0</w:t>
            </w:r>
            <w:r w:rsidRPr="001E13EF">
              <w:rPr>
                <w:rFonts w:ascii="Times New Roman" w:eastAsia="Calibri" w:hAnsi="Times New Roman" w:cs="Times New Roman"/>
                <w:sz w:val="20"/>
                <w:szCs w:val="20"/>
              </w:rPr>
              <w:t>.01</w:t>
            </w:r>
          </w:p>
          <w:p w14:paraId="4B974E95" w14:textId="77777777" w:rsidR="0045448F" w:rsidRPr="001E13EF" w:rsidRDefault="0045448F" w:rsidP="00B173A2">
            <w:pPr>
              <w:spacing w:after="0" w:line="240" w:lineRule="auto"/>
              <w:rPr>
                <w:rFonts w:ascii="Times New Roman" w:eastAsia="Calibri" w:hAnsi="Times New Roman" w:cs="Times New Roman"/>
                <w:sz w:val="20"/>
                <w:szCs w:val="20"/>
              </w:rPr>
            </w:pPr>
          </w:p>
          <w:p w14:paraId="06AE8326"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0.604</w:t>
            </w:r>
          </w:p>
        </w:tc>
      </w:tr>
      <w:tr w:rsidR="0045448F" w:rsidRPr="00DE0567" w14:paraId="7F3B727C" w14:textId="77777777" w:rsidTr="00B173A2">
        <w:trPr>
          <w:jc w:val="center"/>
        </w:trPr>
        <w:tc>
          <w:tcPr>
            <w:tcW w:w="3235" w:type="dxa"/>
          </w:tcPr>
          <w:p w14:paraId="7D49B5CB"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ZAP-70%</w:t>
            </w:r>
          </w:p>
          <w:p w14:paraId="0FD01D5E"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ZAP-70- (&lt;20%)</w:t>
            </w:r>
          </w:p>
          <w:p w14:paraId="3E0352ED"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ZAP-70+(≥ 20%)</w:t>
            </w:r>
          </w:p>
          <w:p w14:paraId="20911548" w14:textId="77777777" w:rsidR="0045448F" w:rsidRPr="00DE0567" w:rsidRDefault="0045448F" w:rsidP="00B173A2">
            <w:pPr>
              <w:spacing w:after="0" w:line="240" w:lineRule="auto"/>
              <w:rPr>
                <w:rFonts w:ascii="Times New Roman" w:eastAsia="Calibri" w:hAnsi="Times New Roman" w:cs="Times New Roman"/>
                <w:sz w:val="20"/>
                <w:szCs w:val="20"/>
              </w:rPr>
            </w:pPr>
            <w:r w:rsidRPr="00DE0567">
              <w:rPr>
                <w:rFonts w:ascii="Times New Roman" w:eastAsia="Calibri" w:hAnsi="Times New Roman" w:cs="Times New Roman"/>
                <w:sz w:val="20"/>
                <w:szCs w:val="20"/>
              </w:rPr>
              <w:t>P value</w:t>
            </w:r>
          </w:p>
        </w:tc>
        <w:tc>
          <w:tcPr>
            <w:tcW w:w="2250" w:type="dxa"/>
          </w:tcPr>
          <w:p w14:paraId="78EA340F" w14:textId="77777777" w:rsidR="0045448F" w:rsidRPr="001E13EF" w:rsidRDefault="0045448F" w:rsidP="00B173A2">
            <w:pPr>
              <w:spacing w:after="0" w:line="240" w:lineRule="auto"/>
              <w:rPr>
                <w:rFonts w:ascii="Times New Roman" w:eastAsia="Calibri" w:hAnsi="Times New Roman" w:cs="Times New Roman"/>
                <w:sz w:val="20"/>
                <w:szCs w:val="20"/>
              </w:rPr>
            </w:pPr>
          </w:p>
          <w:p w14:paraId="4BDC1989"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17(68%)</w:t>
            </w:r>
          </w:p>
          <w:p w14:paraId="55CC80CC" w14:textId="77777777" w:rsidR="0045448F" w:rsidRPr="00DE0567"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8(32%)</w:t>
            </w:r>
          </w:p>
        </w:tc>
        <w:tc>
          <w:tcPr>
            <w:tcW w:w="3965" w:type="dxa"/>
          </w:tcPr>
          <w:p w14:paraId="2175FEC2" w14:textId="77777777" w:rsidR="0045448F" w:rsidRPr="001E13EF" w:rsidRDefault="0045448F" w:rsidP="00B173A2">
            <w:pPr>
              <w:spacing w:after="0" w:line="240" w:lineRule="auto"/>
              <w:rPr>
                <w:rFonts w:ascii="Times New Roman" w:eastAsia="Calibri" w:hAnsi="Times New Roman" w:cs="Times New Roman"/>
                <w:sz w:val="20"/>
                <w:szCs w:val="20"/>
              </w:rPr>
            </w:pPr>
          </w:p>
          <w:p w14:paraId="46BB1A7D" w14:textId="77777777" w:rsidR="0045448F" w:rsidRPr="001E13EF" w:rsidRDefault="0045448F" w:rsidP="00B173A2">
            <w:pPr>
              <w:spacing w:after="0" w:line="240" w:lineRule="auto"/>
              <w:rPr>
                <w:rFonts w:ascii="Times New Roman" w:eastAsia="Calibri" w:hAnsi="Times New Roman" w:cs="Times New Roman"/>
                <w:sz w:val="20"/>
                <w:szCs w:val="20"/>
                <w:rtl/>
              </w:rPr>
            </w:pPr>
            <w:r w:rsidRPr="001E13EF">
              <w:rPr>
                <w:rFonts w:ascii="Times New Roman" w:eastAsia="Calibri" w:hAnsi="Times New Roman" w:cs="Times New Roman"/>
                <w:sz w:val="20"/>
                <w:szCs w:val="20"/>
              </w:rPr>
              <w:t>0.77±0.15</w:t>
            </w:r>
          </w:p>
          <w:p w14:paraId="12F4083A"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0.52±</w:t>
            </w:r>
            <w:r w:rsidRPr="001E13EF">
              <w:rPr>
                <w:rFonts w:ascii="Times New Roman" w:eastAsia="Calibri" w:hAnsi="Times New Roman" w:cs="Times New Roman" w:hint="cs"/>
                <w:sz w:val="20"/>
                <w:szCs w:val="20"/>
                <w:rtl/>
              </w:rPr>
              <w:t>0</w:t>
            </w:r>
            <w:r w:rsidRPr="001E13EF">
              <w:rPr>
                <w:rFonts w:ascii="Times New Roman" w:eastAsia="Calibri" w:hAnsi="Times New Roman" w:cs="Times New Roman"/>
                <w:sz w:val="20"/>
                <w:szCs w:val="20"/>
              </w:rPr>
              <w:t>.19</w:t>
            </w:r>
          </w:p>
          <w:p w14:paraId="36EC523E" w14:textId="77777777" w:rsidR="0045448F" w:rsidRPr="001E13EF" w:rsidRDefault="0045448F" w:rsidP="00B173A2">
            <w:pPr>
              <w:spacing w:after="0" w:line="240" w:lineRule="auto"/>
              <w:rPr>
                <w:rFonts w:ascii="Times New Roman" w:eastAsia="Calibri" w:hAnsi="Times New Roman" w:cs="Times New Roman"/>
                <w:sz w:val="20"/>
                <w:szCs w:val="20"/>
              </w:rPr>
            </w:pPr>
          </w:p>
          <w:p w14:paraId="231BDEB4"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0.003</w:t>
            </w:r>
          </w:p>
        </w:tc>
      </w:tr>
      <w:tr w:rsidR="0045448F" w:rsidRPr="00DE0567" w14:paraId="6B4AD720" w14:textId="77777777" w:rsidTr="00B173A2">
        <w:trPr>
          <w:trHeight w:val="198"/>
          <w:jc w:val="center"/>
        </w:trPr>
        <w:tc>
          <w:tcPr>
            <w:tcW w:w="3235" w:type="dxa"/>
          </w:tcPr>
          <w:p w14:paraId="26A3E9BF"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CD38%</w:t>
            </w:r>
          </w:p>
          <w:p w14:paraId="794B1109"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CD38- (&lt;20%)</w:t>
            </w:r>
          </w:p>
          <w:p w14:paraId="4FD97F81"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CD38+ (≥20%)</w:t>
            </w:r>
          </w:p>
          <w:p w14:paraId="65FD4DCE" w14:textId="77777777" w:rsidR="0045448F" w:rsidRPr="00DE0567" w:rsidRDefault="0045448F" w:rsidP="00B173A2">
            <w:pPr>
              <w:spacing w:after="0" w:line="240" w:lineRule="auto"/>
              <w:rPr>
                <w:rFonts w:ascii="Times New Roman" w:eastAsia="Calibri" w:hAnsi="Times New Roman" w:cs="Times New Roman"/>
                <w:sz w:val="20"/>
                <w:szCs w:val="20"/>
              </w:rPr>
            </w:pPr>
            <w:r w:rsidRPr="00DE0567">
              <w:rPr>
                <w:rFonts w:ascii="Times New Roman" w:eastAsia="Calibri" w:hAnsi="Times New Roman" w:cs="Times New Roman"/>
                <w:sz w:val="20"/>
                <w:szCs w:val="20"/>
              </w:rPr>
              <w:t>P value</w:t>
            </w:r>
          </w:p>
        </w:tc>
        <w:tc>
          <w:tcPr>
            <w:tcW w:w="2250" w:type="dxa"/>
          </w:tcPr>
          <w:p w14:paraId="419EBECA" w14:textId="77777777" w:rsidR="0045448F" w:rsidRPr="001E13EF" w:rsidRDefault="0045448F" w:rsidP="00B173A2">
            <w:pPr>
              <w:spacing w:after="0" w:line="240" w:lineRule="auto"/>
              <w:rPr>
                <w:rFonts w:ascii="Times New Roman" w:eastAsia="Calibri" w:hAnsi="Times New Roman" w:cs="Times New Roman"/>
                <w:sz w:val="20"/>
                <w:szCs w:val="20"/>
              </w:rPr>
            </w:pPr>
          </w:p>
          <w:p w14:paraId="020A14E4"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16 (64%)</w:t>
            </w:r>
          </w:p>
          <w:p w14:paraId="57D02992" w14:textId="77777777" w:rsidR="0045448F" w:rsidRPr="00DE0567"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9 (36%)</w:t>
            </w:r>
          </w:p>
        </w:tc>
        <w:tc>
          <w:tcPr>
            <w:tcW w:w="3965" w:type="dxa"/>
          </w:tcPr>
          <w:p w14:paraId="67D7AF77" w14:textId="77777777" w:rsidR="0045448F" w:rsidRPr="001E13EF" w:rsidRDefault="0045448F" w:rsidP="00B173A2">
            <w:pPr>
              <w:spacing w:after="0" w:line="240" w:lineRule="auto"/>
              <w:rPr>
                <w:rFonts w:ascii="Times New Roman" w:eastAsia="Calibri" w:hAnsi="Times New Roman" w:cs="Times New Roman"/>
                <w:sz w:val="20"/>
                <w:szCs w:val="20"/>
              </w:rPr>
            </w:pPr>
          </w:p>
          <w:p w14:paraId="58734883" w14:textId="77777777" w:rsidR="0045448F" w:rsidRPr="001E13EF" w:rsidRDefault="0045448F" w:rsidP="00B173A2">
            <w:pPr>
              <w:spacing w:after="0" w:line="240" w:lineRule="auto"/>
              <w:rPr>
                <w:rFonts w:ascii="Times New Roman" w:eastAsia="Calibri" w:hAnsi="Times New Roman" w:cs="Times New Roman"/>
                <w:sz w:val="20"/>
                <w:szCs w:val="20"/>
                <w:rtl/>
              </w:rPr>
            </w:pPr>
            <w:r w:rsidRPr="001E13EF">
              <w:rPr>
                <w:rFonts w:ascii="Times New Roman" w:eastAsia="Calibri" w:hAnsi="Times New Roman" w:cs="Times New Roman"/>
                <w:sz w:val="20"/>
                <w:szCs w:val="20"/>
              </w:rPr>
              <w:t>0.75±0.14</w:t>
            </w:r>
          </w:p>
          <w:p w14:paraId="59B1B316"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0.53±</w:t>
            </w:r>
            <w:r w:rsidRPr="001E13EF">
              <w:rPr>
                <w:rFonts w:ascii="Times New Roman" w:eastAsia="Calibri" w:hAnsi="Times New Roman" w:cs="Times New Roman" w:hint="cs"/>
                <w:sz w:val="20"/>
                <w:szCs w:val="20"/>
                <w:rtl/>
              </w:rPr>
              <w:t>0</w:t>
            </w:r>
            <w:r w:rsidRPr="001E13EF">
              <w:rPr>
                <w:rFonts w:ascii="Times New Roman" w:eastAsia="Calibri" w:hAnsi="Times New Roman" w:cs="Times New Roman"/>
                <w:sz w:val="20"/>
                <w:szCs w:val="20"/>
              </w:rPr>
              <w:t>.19</w:t>
            </w:r>
          </w:p>
          <w:p w14:paraId="1130499B" w14:textId="77777777" w:rsidR="0045448F" w:rsidRPr="001E13EF" w:rsidRDefault="0045448F" w:rsidP="00B173A2">
            <w:pPr>
              <w:spacing w:after="0" w:line="240" w:lineRule="auto"/>
              <w:rPr>
                <w:rFonts w:ascii="Times New Roman" w:eastAsia="Calibri" w:hAnsi="Times New Roman" w:cs="Times New Roman"/>
                <w:sz w:val="20"/>
                <w:szCs w:val="20"/>
              </w:rPr>
            </w:pPr>
          </w:p>
          <w:p w14:paraId="04848765"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0.006</w:t>
            </w:r>
          </w:p>
        </w:tc>
      </w:tr>
      <w:tr w:rsidR="0045448F" w:rsidRPr="00DE0567" w14:paraId="210BE2BF" w14:textId="77777777" w:rsidTr="00B173A2">
        <w:trPr>
          <w:trHeight w:val="198"/>
          <w:jc w:val="center"/>
        </w:trPr>
        <w:tc>
          <w:tcPr>
            <w:tcW w:w="3235" w:type="dxa"/>
          </w:tcPr>
          <w:p w14:paraId="312BD1A0"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17p del/ p53 mutation</w:t>
            </w:r>
          </w:p>
          <w:p w14:paraId="7915A949"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Positive</w:t>
            </w:r>
          </w:p>
          <w:p w14:paraId="4F0C3E45"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Negative</w:t>
            </w:r>
          </w:p>
        </w:tc>
        <w:tc>
          <w:tcPr>
            <w:tcW w:w="2250" w:type="dxa"/>
          </w:tcPr>
          <w:p w14:paraId="23BDB483" w14:textId="77777777" w:rsidR="0045448F" w:rsidRPr="001E13EF" w:rsidRDefault="0045448F" w:rsidP="00B173A2">
            <w:pPr>
              <w:spacing w:after="0" w:line="240" w:lineRule="auto"/>
              <w:rPr>
                <w:rFonts w:ascii="Times New Roman" w:eastAsia="Calibri" w:hAnsi="Times New Roman" w:cs="Times New Roman"/>
                <w:sz w:val="20"/>
                <w:szCs w:val="20"/>
              </w:rPr>
            </w:pPr>
          </w:p>
          <w:p w14:paraId="3FC2B818"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3(12%)</w:t>
            </w:r>
          </w:p>
          <w:p w14:paraId="2C1D3488"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22(88%)</w:t>
            </w:r>
          </w:p>
        </w:tc>
        <w:tc>
          <w:tcPr>
            <w:tcW w:w="3965" w:type="dxa"/>
          </w:tcPr>
          <w:p w14:paraId="777507A4" w14:textId="77777777" w:rsidR="0045448F" w:rsidRPr="001E13EF" w:rsidRDefault="0045448F" w:rsidP="00B173A2">
            <w:pPr>
              <w:spacing w:after="0" w:line="240" w:lineRule="auto"/>
              <w:rPr>
                <w:rFonts w:ascii="Times New Roman" w:eastAsia="Calibri" w:hAnsi="Times New Roman" w:cs="Times New Roman"/>
                <w:sz w:val="20"/>
                <w:szCs w:val="20"/>
              </w:rPr>
            </w:pPr>
          </w:p>
          <w:p w14:paraId="5FB30E4B"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0.533±</w:t>
            </w:r>
            <w:r w:rsidRPr="001E13EF">
              <w:rPr>
                <w:rFonts w:ascii="Times New Roman" w:eastAsia="Calibri" w:hAnsi="Times New Roman" w:cs="Times New Roman" w:hint="cs"/>
                <w:sz w:val="20"/>
                <w:szCs w:val="20"/>
                <w:rtl/>
              </w:rPr>
              <w:t>0</w:t>
            </w:r>
            <w:r w:rsidRPr="001E13EF">
              <w:rPr>
                <w:rFonts w:ascii="Times New Roman" w:eastAsia="Calibri" w:hAnsi="Times New Roman" w:cs="Times New Roman"/>
                <w:sz w:val="20"/>
                <w:szCs w:val="20"/>
              </w:rPr>
              <w:t>.05</w:t>
            </w:r>
          </w:p>
          <w:p w14:paraId="73384CDA" w14:textId="77777777" w:rsidR="0045448F" w:rsidRPr="001E13EF" w:rsidRDefault="0045448F" w:rsidP="00B173A2">
            <w:pPr>
              <w:spacing w:after="0" w:line="240" w:lineRule="auto"/>
              <w:rPr>
                <w:rFonts w:ascii="Times New Roman" w:eastAsia="Calibri" w:hAnsi="Times New Roman" w:cs="Times New Roman"/>
                <w:sz w:val="20"/>
                <w:szCs w:val="20"/>
                <w:rtl/>
              </w:rPr>
            </w:pPr>
            <w:r w:rsidRPr="001E13EF">
              <w:rPr>
                <w:rFonts w:ascii="Times New Roman" w:eastAsia="Calibri" w:hAnsi="Times New Roman" w:cs="Times New Roman"/>
                <w:sz w:val="20"/>
                <w:szCs w:val="20"/>
              </w:rPr>
              <w:t>0.71±0.20</w:t>
            </w:r>
          </w:p>
          <w:p w14:paraId="51E93FD4" w14:textId="77777777" w:rsidR="0045448F" w:rsidRPr="001E13EF" w:rsidRDefault="0045448F" w:rsidP="00B173A2">
            <w:pPr>
              <w:spacing w:after="0" w:line="240" w:lineRule="auto"/>
              <w:rPr>
                <w:rFonts w:ascii="Times New Roman" w:eastAsia="Calibri" w:hAnsi="Times New Roman" w:cs="Times New Roman"/>
                <w:sz w:val="20"/>
                <w:szCs w:val="20"/>
              </w:rPr>
            </w:pPr>
          </w:p>
          <w:p w14:paraId="7C4292EF"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0.138</w:t>
            </w:r>
          </w:p>
        </w:tc>
      </w:tr>
      <w:tr w:rsidR="0045448F" w:rsidRPr="00DE0567" w14:paraId="07E4D01A" w14:textId="77777777" w:rsidTr="00B173A2">
        <w:trPr>
          <w:trHeight w:val="198"/>
          <w:jc w:val="center"/>
        </w:trPr>
        <w:tc>
          <w:tcPr>
            <w:tcW w:w="3235" w:type="dxa"/>
          </w:tcPr>
          <w:p w14:paraId="6006800B" w14:textId="77777777" w:rsidR="0045448F" w:rsidRPr="001E13EF" w:rsidRDefault="0045448F" w:rsidP="00B173A2">
            <w:pPr>
              <w:spacing w:after="0" w:line="240" w:lineRule="auto"/>
              <w:rPr>
                <w:rFonts w:ascii="Times New Roman" w:eastAsia="Calibri" w:hAnsi="Times New Roman" w:cs="Times New Roman"/>
                <w:sz w:val="20"/>
                <w:szCs w:val="20"/>
              </w:rPr>
            </w:pPr>
            <w:bookmarkStart w:id="23" w:name="_Hlk125408559"/>
            <w:r w:rsidRPr="001E13EF">
              <w:rPr>
                <w:rFonts w:ascii="Times New Roman" w:eastAsia="Calibri" w:hAnsi="Times New Roman" w:cs="Times New Roman"/>
                <w:sz w:val="20"/>
                <w:szCs w:val="20"/>
              </w:rPr>
              <w:t>Modified Rai staging system:</w:t>
            </w:r>
          </w:p>
          <w:p w14:paraId="746B0AD9"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Low risk</w:t>
            </w:r>
          </w:p>
          <w:p w14:paraId="498C1367"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Intermediate risk</w:t>
            </w:r>
          </w:p>
          <w:p w14:paraId="1DD137E7"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High-risk</w:t>
            </w:r>
          </w:p>
          <w:p w14:paraId="7E5A5874" w14:textId="77777777" w:rsidR="0045448F" w:rsidRPr="00DE0567" w:rsidRDefault="0045448F" w:rsidP="00B173A2">
            <w:pPr>
              <w:spacing w:after="0" w:line="240" w:lineRule="auto"/>
              <w:rPr>
                <w:rFonts w:ascii="Times New Roman" w:eastAsia="Calibri" w:hAnsi="Times New Roman" w:cs="Times New Roman"/>
                <w:sz w:val="20"/>
                <w:szCs w:val="20"/>
              </w:rPr>
            </w:pPr>
            <w:r w:rsidRPr="00DE0567">
              <w:rPr>
                <w:rFonts w:ascii="Times New Roman" w:eastAsia="Calibri" w:hAnsi="Times New Roman" w:cs="Times New Roman"/>
                <w:sz w:val="20"/>
                <w:szCs w:val="20"/>
              </w:rPr>
              <w:t>P value</w:t>
            </w:r>
          </w:p>
        </w:tc>
        <w:tc>
          <w:tcPr>
            <w:tcW w:w="2250" w:type="dxa"/>
          </w:tcPr>
          <w:p w14:paraId="6B005B8A" w14:textId="77777777" w:rsidR="0045448F" w:rsidRPr="001E13EF" w:rsidRDefault="0045448F" w:rsidP="00B173A2">
            <w:pPr>
              <w:spacing w:after="0" w:line="240" w:lineRule="auto"/>
              <w:rPr>
                <w:rFonts w:ascii="Times New Roman" w:eastAsia="Calibri" w:hAnsi="Times New Roman" w:cs="Times New Roman"/>
                <w:sz w:val="20"/>
                <w:szCs w:val="20"/>
              </w:rPr>
            </w:pPr>
          </w:p>
          <w:p w14:paraId="07C4B1A6"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10(40%)</w:t>
            </w:r>
          </w:p>
          <w:p w14:paraId="1FDFF22B" w14:textId="77777777" w:rsidR="0045448F" w:rsidRPr="001E13EF"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9(36%)</w:t>
            </w:r>
          </w:p>
          <w:p w14:paraId="6D5A0C52" w14:textId="77777777" w:rsidR="0045448F" w:rsidRPr="00DE0567" w:rsidRDefault="0045448F" w:rsidP="00B173A2">
            <w:pPr>
              <w:spacing w:after="0" w:line="240" w:lineRule="auto"/>
              <w:rPr>
                <w:rFonts w:ascii="Times New Roman" w:eastAsia="Calibri" w:hAnsi="Times New Roman" w:cs="Times New Roman"/>
                <w:sz w:val="20"/>
                <w:szCs w:val="20"/>
              </w:rPr>
            </w:pPr>
            <w:r w:rsidRPr="001E13EF">
              <w:rPr>
                <w:rFonts w:ascii="Times New Roman" w:eastAsia="Calibri" w:hAnsi="Times New Roman" w:cs="Times New Roman"/>
                <w:sz w:val="20"/>
                <w:szCs w:val="20"/>
              </w:rPr>
              <w:t>6(24%)</w:t>
            </w:r>
          </w:p>
        </w:tc>
        <w:tc>
          <w:tcPr>
            <w:tcW w:w="3965" w:type="dxa"/>
          </w:tcPr>
          <w:p w14:paraId="3297A88A" w14:textId="77777777" w:rsidR="0045448F" w:rsidRPr="00DE0567" w:rsidRDefault="0045448F" w:rsidP="00B173A2">
            <w:pPr>
              <w:spacing w:after="0" w:line="240" w:lineRule="auto"/>
              <w:rPr>
                <w:rFonts w:ascii="Times New Roman" w:eastAsia="Calibri" w:hAnsi="Times New Roman" w:cs="Times New Roman"/>
                <w:sz w:val="20"/>
                <w:szCs w:val="20"/>
              </w:rPr>
            </w:pPr>
          </w:p>
          <w:p w14:paraId="7F298E9F" w14:textId="77777777" w:rsidR="0045448F" w:rsidRPr="00DE0567" w:rsidRDefault="0045448F" w:rsidP="00B173A2">
            <w:pPr>
              <w:spacing w:after="0" w:line="240" w:lineRule="auto"/>
              <w:rPr>
                <w:rFonts w:ascii="Times New Roman" w:eastAsia="Calibri" w:hAnsi="Times New Roman" w:cs="Times New Roman"/>
                <w:sz w:val="20"/>
                <w:szCs w:val="20"/>
                <w:rtl/>
              </w:rPr>
            </w:pPr>
            <w:r w:rsidRPr="00DE0567">
              <w:rPr>
                <w:rFonts w:ascii="Times New Roman" w:eastAsia="Calibri" w:hAnsi="Times New Roman" w:cs="Times New Roman"/>
                <w:sz w:val="20"/>
                <w:szCs w:val="20"/>
              </w:rPr>
              <w:t>0/75</w:t>
            </w:r>
            <w:r w:rsidRPr="001E13EF">
              <w:rPr>
                <w:rFonts w:ascii="Times New Roman" w:eastAsia="Calibri" w:hAnsi="Times New Roman" w:cs="Times New Roman"/>
                <w:sz w:val="20"/>
                <w:szCs w:val="20"/>
              </w:rPr>
              <w:t>±</w:t>
            </w:r>
            <w:r w:rsidRPr="00DE0567">
              <w:rPr>
                <w:rFonts w:ascii="Times New Roman" w:eastAsia="Calibri" w:hAnsi="Times New Roman" w:cs="Times New Roman"/>
                <w:sz w:val="20"/>
                <w:szCs w:val="20"/>
              </w:rPr>
              <w:t>0. 2</w:t>
            </w:r>
          </w:p>
          <w:p w14:paraId="78515774" w14:textId="77777777" w:rsidR="0045448F" w:rsidRPr="00DE0567" w:rsidRDefault="0045448F" w:rsidP="00B173A2">
            <w:pPr>
              <w:spacing w:after="0" w:line="240" w:lineRule="auto"/>
              <w:rPr>
                <w:rFonts w:ascii="Times New Roman" w:eastAsia="Calibri" w:hAnsi="Times New Roman" w:cs="Times New Roman"/>
                <w:sz w:val="20"/>
                <w:szCs w:val="20"/>
              </w:rPr>
            </w:pPr>
            <w:r w:rsidRPr="00DE0567">
              <w:rPr>
                <w:rFonts w:ascii="Times New Roman" w:eastAsia="Calibri" w:hAnsi="Times New Roman" w:cs="Times New Roman"/>
                <w:sz w:val="20"/>
                <w:szCs w:val="20"/>
              </w:rPr>
              <w:t>0.59</w:t>
            </w:r>
            <w:r w:rsidRPr="001E13EF">
              <w:rPr>
                <w:rFonts w:ascii="Times New Roman" w:eastAsia="Calibri" w:hAnsi="Times New Roman" w:cs="Times New Roman"/>
                <w:sz w:val="20"/>
                <w:szCs w:val="20"/>
              </w:rPr>
              <w:t>±</w:t>
            </w:r>
            <w:r w:rsidRPr="00DE0567">
              <w:rPr>
                <w:rFonts w:ascii="Times New Roman" w:eastAsia="Calibri" w:hAnsi="Times New Roman" w:cs="Times New Roman" w:hint="cs"/>
                <w:sz w:val="20"/>
                <w:szCs w:val="20"/>
                <w:rtl/>
              </w:rPr>
              <w:t>0</w:t>
            </w:r>
            <w:r w:rsidRPr="00DE0567">
              <w:rPr>
                <w:rFonts w:ascii="Times New Roman" w:eastAsia="Calibri" w:hAnsi="Times New Roman" w:cs="Times New Roman"/>
                <w:sz w:val="20"/>
                <w:szCs w:val="20"/>
              </w:rPr>
              <w:t>.01</w:t>
            </w:r>
          </w:p>
          <w:p w14:paraId="6394FA58" w14:textId="77777777" w:rsidR="0045448F" w:rsidRPr="00DE0567" w:rsidRDefault="0045448F" w:rsidP="00B173A2">
            <w:pPr>
              <w:spacing w:after="0" w:line="240" w:lineRule="auto"/>
              <w:rPr>
                <w:rFonts w:ascii="Times New Roman" w:eastAsia="Calibri" w:hAnsi="Times New Roman" w:cs="Times New Roman"/>
                <w:sz w:val="20"/>
                <w:szCs w:val="20"/>
              </w:rPr>
            </w:pPr>
            <w:r w:rsidRPr="00DE0567">
              <w:rPr>
                <w:rFonts w:ascii="Times New Roman" w:eastAsia="Calibri" w:hAnsi="Times New Roman" w:cs="Times New Roman"/>
                <w:sz w:val="20"/>
                <w:szCs w:val="20"/>
              </w:rPr>
              <w:t>0.46</w:t>
            </w:r>
            <w:r w:rsidRPr="001E13EF">
              <w:rPr>
                <w:rFonts w:ascii="Times New Roman" w:eastAsia="Calibri" w:hAnsi="Times New Roman" w:cs="Times New Roman"/>
                <w:sz w:val="20"/>
                <w:szCs w:val="20"/>
              </w:rPr>
              <w:t>±</w:t>
            </w:r>
            <w:r w:rsidRPr="00DE0567">
              <w:rPr>
                <w:rFonts w:ascii="Times New Roman" w:eastAsia="Calibri" w:hAnsi="Times New Roman" w:cs="Times New Roman" w:hint="cs"/>
                <w:sz w:val="20"/>
                <w:szCs w:val="20"/>
                <w:rtl/>
              </w:rPr>
              <w:t>0</w:t>
            </w:r>
            <w:r w:rsidRPr="00DE0567">
              <w:rPr>
                <w:rFonts w:ascii="Times New Roman" w:eastAsia="Calibri" w:hAnsi="Times New Roman" w:cs="Times New Roman"/>
                <w:sz w:val="20"/>
                <w:szCs w:val="20"/>
              </w:rPr>
              <w:t>.2</w:t>
            </w:r>
          </w:p>
          <w:p w14:paraId="6554EFE3" w14:textId="77777777" w:rsidR="0045448F" w:rsidRPr="00DE0567" w:rsidRDefault="0045448F" w:rsidP="00B173A2">
            <w:pPr>
              <w:spacing w:after="0" w:line="240" w:lineRule="auto"/>
              <w:rPr>
                <w:rFonts w:ascii="Times New Roman" w:eastAsia="Calibri" w:hAnsi="Times New Roman" w:cs="Times New Roman"/>
                <w:sz w:val="20"/>
                <w:szCs w:val="20"/>
              </w:rPr>
            </w:pPr>
          </w:p>
          <w:p w14:paraId="0683C337" w14:textId="77777777" w:rsidR="0045448F" w:rsidRPr="00DE0567" w:rsidRDefault="0045448F" w:rsidP="00B173A2">
            <w:pPr>
              <w:spacing w:after="0" w:line="240" w:lineRule="auto"/>
              <w:rPr>
                <w:rFonts w:ascii="Times New Roman" w:eastAsia="Calibri" w:hAnsi="Times New Roman" w:cs="Times New Roman"/>
                <w:sz w:val="20"/>
                <w:szCs w:val="20"/>
              </w:rPr>
            </w:pPr>
            <w:r w:rsidRPr="00DE0567">
              <w:rPr>
                <w:rFonts w:ascii="Times New Roman" w:eastAsia="Calibri" w:hAnsi="Times New Roman" w:cs="Times New Roman"/>
                <w:sz w:val="20"/>
                <w:szCs w:val="20"/>
              </w:rPr>
              <w:t>0.008</w:t>
            </w:r>
          </w:p>
        </w:tc>
      </w:tr>
      <w:tr w:rsidR="0045448F" w:rsidRPr="00DE0567" w14:paraId="7FFA0B04" w14:textId="77777777" w:rsidTr="00B173A2">
        <w:trPr>
          <w:trHeight w:val="198"/>
          <w:jc w:val="center"/>
        </w:trPr>
        <w:tc>
          <w:tcPr>
            <w:tcW w:w="3235" w:type="dxa"/>
          </w:tcPr>
          <w:p w14:paraId="701034FB" w14:textId="77777777" w:rsidR="0045448F" w:rsidRPr="00DE0567" w:rsidRDefault="0045448F" w:rsidP="00B173A2">
            <w:pPr>
              <w:spacing w:line="240" w:lineRule="auto"/>
              <w:rPr>
                <w:rFonts w:asciiTheme="majorBidi" w:hAnsiTheme="majorBidi" w:cstheme="majorBidi"/>
                <w:b/>
                <w:bCs/>
                <w:sz w:val="20"/>
                <w:szCs w:val="20"/>
              </w:rPr>
            </w:pPr>
            <w:r w:rsidRPr="00DE0567">
              <w:rPr>
                <w:rFonts w:asciiTheme="majorBidi" w:hAnsiTheme="majorBidi" w:cstheme="majorBidi"/>
                <w:b/>
                <w:bCs/>
                <w:sz w:val="20"/>
                <w:szCs w:val="20"/>
              </w:rPr>
              <w:t>Binet staging system.</w:t>
            </w:r>
          </w:p>
          <w:p w14:paraId="38CD8296" w14:textId="77777777" w:rsidR="0045448F" w:rsidRPr="00DE0567" w:rsidRDefault="0045448F" w:rsidP="00B173A2">
            <w:pPr>
              <w:spacing w:line="240" w:lineRule="auto"/>
              <w:rPr>
                <w:rFonts w:asciiTheme="majorBidi" w:hAnsiTheme="majorBidi" w:cstheme="majorBidi"/>
                <w:sz w:val="20"/>
                <w:szCs w:val="20"/>
              </w:rPr>
            </w:pPr>
            <w:r w:rsidRPr="00DE0567">
              <w:rPr>
                <w:rFonts w:asciiTheme="majorBidi" w:hAnsiTheme="majorBidi" w:cstheme="majorBidi"/>
                <w:sz w:val="20"/>
                <w:szCs w:val="20"/>
              </w:rPr>
              <w:t>Stage A</w:t>
            </w:r>
          </w:p>
          <w:p w14:paraId="3F1782A5" w14:textId="77777777" w:rsidR="0045448F" w:rsidRPr="00DE0567" w:rsidRDefault="0045448F" w:rsidP="00B173A2">
            <w:pPr>
              <w:spacing w:line="240" w:lineRule="auto"/>
              <w:rPr>
                <w:rFonts w:asciiTheme="majorBidi" w:hAnsiTheme="majorBidi" w:cstheme="majorBidi"/>
                <w:sz w:val="20"/>
                <w:szCs w:val="20"/>
              </w:rPr>
            </w:pPr>
            <w:r w:rsidRPr="00DE0567">
              <w:rPr>
                <w:rFonts w:asciiTheme="majorBidi" w:hAnsiTheme="majorBidi" w:cstheme="majorBidi"/>
                <w:sz w:val="20"/>
                <w:szCs w:val="20"/>
              </w:rPr>
              <w:t>Stage B</w:t>
            </w:r>
          </w:p>
          <w:p w14:paraId="03FBB8BB" w14:textId="77777777" w:rsidR="0045448F" w:rsidRPr="00DE0567" w:rsidRDefault="0045448F" w:rsidP="00B173A2">
            <w:pPr>
              <w:spacing w:after="0" w:line="240" w:lineRule="auto"/>
              <w:rPr>
                <w:rFonts w:asciiTheme="majorBidi" w:hAnsiTheme="majorBidi" w:cstheme="majorBidi"/>
                <w:sz w:val="20"/>
                <w:szCs w:val="20"/>
              </w:rPr>
            </w:pPr>
            <w:r w:rsidRPr="00DE0567">
              <w:rPr>
                <w:rFonts w:asciiTheme="majorBidi" w:hAnsiTheme="majorBidi" w:cstheme="majorBidi"/>
                <w:sz w:val="20"/>
                <w:szCs w:val="20"/>
              </w:rPr>
              <w:t>Stage C</w:t>
            </w:r>
          </w:p>
          <w:p w14:paraId="6AEA87AB" w14:textId="77777777" w:rsidR="0045448F" w:rsidRPr="00DE0567" w:rsidRDefault="0045448F" w:rsidP="00B173A2">
            <w:pPr>
              <w:spacing w:after="0" w:line="240" w:lineRule="auto"/>
              <w:rPr>
                <w:rFonts w:ascii="Times New Roman" w:eastAsia="Calibri" w:hAnsi="Times New Roman" w:cs="Times New Roman"/>
                <w:sz w:val="20"/>
                <w:szCs w:val="20"/>
              </w:rPr>
            </w:pPr>
            <w:r w:rsidRPr="00DE0567">
              <w:rPr>
                <w:rFonts w:ascii="Times New Roman" w:eastAsia="Calibri" w:hAnsi="Times New Roman" w:cs="Times New Roman"/>
                <w:sz w:val="20"/>
                <w:szCs w:val="20"/>
              </w:rPr>
              <w:t>P value</w:t>
            </w:r>
          </w:p>
        </w:tc>
        <w:tc>
          <w:tcPr>
            <w:tcW w:w="2250" w:type="dxa"/>
          </w:tcPr>
          <w:p w14:paraId="42638BA1" w14:textId="77777777" w:rsidR="0045448F" w:rsidRPr="00DE0567" w:rsidRDefault="0045448F" w:rsidP="00B173A2">
            <w:pPr>
              <w:spacing w:line="240" w:lineRule="auto"/>
              <w:rPr>
                <w:rFonts w:asciiTheme="majorBidi" w:hAnsiTheme="majorBidi" w:cstheme="majorBidi"/>
                <w:sz w:val="20"/>
                <w:szCs w:val="20"/>
              </w:rPr>
            </w:pPr>
          </w:p>
          <w:p w14:paraId="7FF07787" w14:textId="77777777" w:rsidR="0045448F" w:rsidRPr="00DE0567" w:rsidRDefault="0045448F" w:rsidP="00B173A2">
            <w:pPr>
              <w:spacing w:line="240" w:lineRule="auto"/>
              <w:rPr>
                <w:rFonts w:asciiTheme="majorBidi" w:hAnsiTheme="majorBidi" w:cstheme="majorBidi"/>
                <w:sz w:val="20"/>
                <w:szCs w:val="20"/>
              </w:rPr>
            </w:pPr>
            <w:r w:rsidRPr="00DE0567">
              <w:rPr>
                <w:rFonts w:asciiTheme="majorBidi" w:hAnsiTheme="majorBidi" w:cstheme="majorBidi"/>
                <w:sz w:val="20"/>
                <w:szCs w:val="20"/>
              </w:rPr>
              <w:t>11(44%)</w:t>
            </w:r>
          </w:p>
          <w:p w14:paraId="4726604B" w14:textId="77777777" w:rsidR="0045448F" w:rsidRPr="00DE0567" w:rsidRDefault="0045448F" w:rsidP="00B173A2">
            <w:pPr>
              <w:spacing w:line="240" w:lineRule="auto"/>
              <w:rPr>
                <w:rFonts w:asciiTheme="majorBidi" w:hAnsiTheme="majorBidi" w:cstheme="majorBidi"/>
                <w:sz w:val="20"/>
                <w:szCs w:val="20"/>
              </w:rPr>
            </w:pPr>
            <w:r w:rsidRPr="00DE0567">
              <w:rPr>
                <w:rFonts w:asciiTheme="majorBidi" w:hAnsiTheme="majorBidi" w:cstheme="majorBidi"/>
                <w:sz w:val="20"/>
                <w:szCs w:val="20"/>
              </w:rPr>
              <w:t>8(32%)</w:t>
            </w:r>
          </w:p>
          <w:p w14:paraId="2648E69A" w14:textId="77777777" w:rsidR="0045448F" w:rsidRPr="00DE0567" w:rsidRDefault="0045448F" w:rsidP="00B173A2">
            <w:pPr>
              <w:spacing w:after="0" w:line="240" w:lineRule="auto"/>
              <w:rPr>
                <w:rFonts w:ascii="Times New Roman" w:eastAsia="Calibri" w:hAnsi="Times New Roman" w:cs="Times New Roman"/>
                <w:sz w:val="20"/>
                <w:szCs w:val="20"/>
              </w:rPr>
            </w:pPr>
            <w:r w:rsidRPr="00DE0567">
              <w:rPr>
                <w:rFonts w:asciiTheme="majorBidi" w:hAnsiTheme="majorBidi" w:cstheme="majorBidi"/>
                <w:sz w:val="20"/>
                <w:szCs w:val="20"/>
              </w:rPr>
              <w:t>6(24%)</w:t>
            </w:r>
          </w:p>
        </w:tc>
        <w:tc>
          <w:tcPr>
            <w:tcW w:w="3965" w:type="dxa"/>
          </w:tcPr>
          <w:p w14:paraId="55C3751D" w14:textId="77777777" w:rsidR="0045448F" w:rsidRPr="00DE0567" w:rsidRDefault="0045448F" w:rsidP="00B173A2">
            <w:pPr>
              <w:spacing w:after="0" w:line="240" w:lineRule="auto"/>
              <w:rPr>
                <w:rFonts w:ascii="Times New Roman" w:eastAsia="Calibri" w:hAnsi="Times New Roman" w:cs="Times New Roman"/>
                <w:sz w:val="20"/>
                <w:szCs w:val="20"/>
              </w:rPr>
            </w:pPr>
          </w:p>
          <w:p w14:paraId="4670CB34" w14:textId="77777777" w:rsidR="0045448F" w:rsidRPr="00DE0567" w:rsidRDefault="0045448F" w:rsidP="00B173A2">
            <w:pPr>
              <w:spacing w:after="0" w:line="240" w:lineRule="auto"/>
              <w:rPr>
                <w:rFonts w:ascii="Times New Roman" w:eastAsia="Calibri" w:hAnsi="Times New Roman" w:cs="Times New Roman"/>
                <w:sz w:val="20"/>
                <w:szCs w:val="20"/>
                <w:rtl/>
              </w:rPr>
            </w:pPr>
            <w:r w:rsidRPr="00DE0567">
              <w:rPr>
                <w:rFonts w:ascii="Times New Roman" w:eastAsia="Calibri" w:hAnsi="Times New Roman" w:cs="Times New Roman"/>
                <w:sz w:val="20"/>
                <w:szCs w:val="20"/>
              </w:rPr>
              <w:t>0.76</w:t>
            </w:r>
            <w:r w:rsidRPr="00DE0567">
              <w:rPr>
                <w:rFonts w:ascii="Times New Roman" w:hAnsi="Times New Roman" w:cs="Times New Roman"/>
                <w:color w:val="000000"/>
                <w:sz w:val="20"/>
                <w:szCs w:val="20"/>
              </w:rPr>
              <w:t>±</w:t>
            </w:r>
            <w:r w:rsidRPr="00DE0567">
              <w:rPr>
                <w:rFonts w:ascii="Times New Roman" w:eastAsia="Calibri" w:hAnsi="Times New Roman" w:cs="Times New Roman"/>
                <w:sz w:val="20"/>
                <w:szCs w:val="20"/>
              </w:rPr>
              <w:t>0.3</w:t>
            </w:r>
          </w:p>
          <w:p w14:paraId="7030526B" w14:textId="77777777" w:rsidR="0045448F" w:rsidRPr="00DE0567" w:rsidRDefault="0045448F" w:rsidP="00B173A2">
            <w:pPr>
              <w:spacing w:after="0" w:line="240" w:lineRule="auto"/>
              <w:rPr>
                <w:rFonts w:ascii="Times New Roman" w:eastAsia="Calibri" w:hAnsi="Times New Roman" w:cs="Times New Roman"/>
                <w:sz w:val="20"/>
                <w:szCs w:val="20"/>
              </w:rPr>
            </w:pPr>
            <w:r w:rsidRPr="00DE0567">
              <w:rPr>
                <w:rFonts w:ascii="Times New Roman" w:eastAsia="Calibri" w:hAnsi="Times New Roman" w:cs="Times New Roman"/>
                <w:sz w:val="20"/>
                <w:szCs w:val="20"/>
              </w:rPr>
              <w:t>0.57</w:t>
            </w:r>
            <w:r w:rsidRPr="00DE0567">
              <w:rPr>
                <w:rFonts w:ascii="Times New Roman" w:hAnsi="Times New Roman" w:cs="Times New Roman"/>
                <w:color w:val="000000"/>
                <w:sz w:val="20"/>
                <w:szCs w:val="20"/>
              </w:rPr>
              <w:t>±</w:t>
            </w:r>
            <w:r w:rsidRPr="00DE0567">
              <w:rPr>
                <w:rFonts w:ascii="Times New Roman" w:eastAsia="Calibri" w:hAnsi="Times New Roman" w:cs="Times New Roman" w:hint="cs"/>
                <w:sz w:val="20"/>
                <w:szCs w:val="20"/>
                <w:rtl/>
              </w:rPr>
              <w:t>0</w:t>
            </w:r>
            <w:r w:rsidRPr="00DE0567">
              <w:rPr>
                <w:rFonts w:ascii="Times New Roman" w:eastAsia="Calibri" w:hAnsi="Times New Roman" w:cs="Times New Roman"/>
                <w:sz w:val="20"/>
                <w:szCs w:val="20"/>
              </w:rPr>
              <w:t>.2</w:t>
            </w:r>
          </w:p>
          <w:p w14:paraId="08D6CC7C" w14:textId="77777777" w:rsidR="0045448F" w:rsidRPr="00DE0567" w:rsidRDefault="0045448F" w:rsidP="00B173A2">
            <w:pPr>
              <w:spacing w:after="0" w:line="240" w:lineRule="auto"/>
              <w:rPr>
                <w:rFonts w:ascii="Times New Roman" w:eastAsia="Calibri" w:hAnsi="Times New Roman" w:cs="Times New Roman"/>
                <w:sz w:val="20"/>
                <w:szCs w:val="20"/>
              </w:rPr>
            </w:pPr>
            <w:r w:rsidRPr="00DE0567">
              <w:rPr>
                <w:rFonts w:ascii="Times New Roman" w:eastAsia="Calibri" w:hAnsi="Times New Roman" w:cs="Times New Roman"/>
                <w:sz w:val="20"/>
                <w:szCs w:val="20"/>
              </w:rPr>
              <w:t>0.46</w:t>
            </w:r>
            <w:r w:rsidRPr="00DE0567">
              <w:rPr>
                <w:rFonts w:ascii="Times New Roman" w:hAnsi="Times New Roman" w:cs="Times New Roman"/>
                <w:color w:val="000000"/>
                <w:sz w:val="20"/>
                <w:szCs w:val="20"/>
              </w:rPr>
              <w:t>±</w:t>
            </w:r>
            <w:r w:rsidRPr="00DE0567">
              <w:rPr>
                <w:rFonts w:ascii="Times New Roman" w:eastAsia="Calibri" w:hAnsi="Times New Roman" w:cs="Times New Roman" w:hint="cs"/>
                <w:sz w:val="20"/>
                <w:szCs w:val="20"/>
                <w:rtl/>
              </w:rPr>
              <w:t>0</w:t>
            </w:r>
            <w:r w:rsidRPr="00DE0567">
              <w:rPr>
                <w:rFonts w:ascii="Times New Roman" w:eastAsia="Calibri" w:hAnsi="Times New Roman" w:cs="Times New Roman"/>
                <w:sz w:val="20"/>
                <w:szCs w:val="20"/>
              </w:rPr>
              <w:t>.1</w:t>
            </w:r>
          </w:p>
          <w:p w14:paraId="336F5D08" w14:textId="77777777" w:rsidR="0045448F" w:rsidRPr="00DE0567" w:rsidRDefault="0045448F" w:rsidP="00B173A2">
            <w:pPr>
              <w:spacing w:after="0" w:line="240" w:lineRule="auto"/>
              <w:rPr>
                <w:rFonts w:ascii="Times New Roman" w:eastAsia="Calibri" w:hAnsi="Times New Roman" w:cs="Times New Roman"/>
                <w:sz w:val="20"/>
                <w:szCs w:val="20"/>
              </w:rPr>
            </w:pPr>
          </w:p>
          <w:p w14:paraId="5250C749" w14:textId="77777777" w:rsidR="0045448F" w:rsidRPr="00DE0567" w:rsidRDefault="0045448F" w:rsidP="00B173A2">
            <w:pPr>
              <w:spacing w:after="0" w:line="240" w:lineRule="auto"/>
              <w:rPr>
                <w:rFonts w:ascii="Times New Roman" w:eastAsia="Calibri" w:hAnsi="Times New Roman" w:cs="Times New Roman"/>
                <w:sz w:val="20"/>
                <w:szCs w:val="20"/>
              </w:rPr>
            </w:pPr>
            <w:r w:rsidRPr="00DE0567">
              <w:rPr>
                <w:rFonts w:ascii="Times New Roman" w:eastAsia="Calibri" w:hAnsi="Times New Roman" w:cs="Times New Roman"/>
                <w:sz w:val="20"/>
                <w:szCs w:val="20"/>
              </w:rPr>
              <w:t>0.004</w:t>
            </w:r>
          </w:p>
        </w:tc>
      </w:tr>
      <w:tr w:rsidR="0045448F" w:rsidRPr="00DE0567" w14:paraId="60990680" w14:textId="77777777" w:rsidTr="00B173A2">
        <w:trPr>
          <w:trHeight w:val="345"/>
          <w:jc w:val="center"/>
        </w:trPr>
        <w:tc>
          <w:tcPr>
            <w:tcW w:w="3235" w:type="dxa"/>
            <w:tcBorders>
              <w:bottom w:val="single" w:sz="4" w:space="0" w:color="auto"/>
            </w:tcBorders>
          </w:tcPr>
          <w:p w14:paraId="36858DF1" w14:textId="77777777" w:rsidR="0045448F" w:rsidRPr="00DE0567" w:rsidRDefault="0045448F" w:rsidP="00B173A2">
            <w:pPr>
              <w:spacing w:line="240" w:lineRule="auto"/>
              <w:rPr>
                <w:rFonts w:asciiTheme="majorBidi" w:hAnsiTheme="majorBidi" w:cstheme="majorBidi"/>
                <w:b/>
                <w:bCs/>
                <w:sz w:val="20"/>
                <w:szCs w:val="20"/>
              </w:rPr>
            </w:pPr>
            <w:bookmarkStart w:id="24" w:name="_Hlk124469687"/>
            <w:bookmarkEnd w:id="23"/>
            <w:r w:rsidRPr="00DE0567">
              <w:rPr>
                <w:rFonts w:asciiTheme="majorBidi" w:hAnsiTheme="majorBidi" w:cstheme="majorBidi"/>
                <w:b/>
                <w:bCs/>
                <w:sz w:val="20"/>
                <w:szCs w:val="20"/>
              </w:rPr>
              <w:t>Treatment of CLL</w:t>
            </w:r>
          </w:p>
          <w:p w14:paraId="3CA32932" w14:textId="77777777" w:rsidR="0045448F" w:rsidRPr="00DE0567" w:rsidRDefault="0045448F" w:rsidP="00B173A2">
            <w:pPr>
              <w:spacing w:line="240" w:lineRule="auto"/>
              <w:rPr>
                <w:rFonts w:asciiTheme="majorBidi" w:hAnsiTheme="majorBidi" w:cstheme="majorBidi"/>
                <w:sz w:val="20"/>
                <w:szCs w:val="20"/>
              </w:rPr>
            </w:pPr>
            <w:r w:rsidRPr="00DE0567">
              <w:rPr>
                <w:rFonts w:asciiTheme="majorBidi" w:hAnsiTheme="majorBidi" w:cstheme="majorBidi"/>
                <w:sz w:val="20"/>
                <w:szCs w:val="20"/>
              </w:rPr>
              <w:t xml:space="preserve">No treatment </w:t>
            </w:r>
          </w:p>
          <w:p w14:paraId="5A704A6A" w14:textId="77777777" w:rsidR="0045448F" w:rsidRPr="00DE0567" w:rsidRDefault="0045448F" w:rsidP="00B173A2">
            <w:pPr>
              <w:spacing w:line="240" w:lineRule="auto"/>
              <w:rPr>
                <w:rFonts w:asciiTheme="majorBidi" w:hAnsiTheme="majorBidi" w:cstheme="majorBidi"/>
                <w:sz w:val="20"/>
                <w:szCs w:val="20"/>
              </w:rPr>
            </w:pPr>
            <w:r w:rsidRPr="00DE0567">
              <w:rPr>
                <w:rFonts w:asciiTheme="majorBidi" w:hAnsiTheme="majorBidi" w:cstheme="majorBidi"/>
                <w:sz w:val="20"/>
                <w:szCs w:val="20"/>
              </w:rPr>
              <w:t xml:space="preserve">Chemotherapy </w:t>
            </w:r>
          </w:p>
          <w:bookmarkEnd w:id="24"/>
          <w:p w14:paraId="20E3A9E3" w14:textId="77777777" w:rsidR="0045448F" w:rsidRPr="00DE0567" w:rsidRDefault="0045448F" w:rsidP="00B173A2">
            <w:pPr>
              <w:spacing w:line="240" w:lineRule="auto"/>
              <w:rPr>
                <w:rFonts w:asciiTheme="majorBidi" w:hAnsiTheme="majorBidi" w:cstheme="majorBidi"/>
                <w:b/>
                <w:bCs/>
                <w:sz w:val="20"/>
                <w:szCs w:val="20"/>
                <w:lang w:val="en-GB"/>
              </w:rPr>
            </w:pPr>
            <w:r w:rsidRPr="00DE0567">
              <w:rPr>
                <w:rFonts w:asciiTheme="majorBidi" w:hAnsiTheme="majorBidi" w:cstheme="majorBidi"/>
                <w:sz w:val="20"/>
                <w:szCs w:val="20"/>
              </w:rPr>
              <w:t>P value</w:t>
            </w:r>
          </w:p>
        </w:tc>
        <w:tc>
          <w:tcPr>
            <w:tcW w:w="2250" w:type="dxa"/>
            <w:tcBorders>
              <w:bottom w:val="single" w:sz="4" w:space="0" w:color="auto"/>
            </w:tcBorders>
          </w:tcPr>
          <w:p w14:paraId="58F93A16" w14:textId="77777777" w:rsidR="0045448F" w:rsidRPr="00DE0567" w:rsidRDefault="0045448F" w:rsidP="00B173A2">
            <w:pPr>
              <w:spacing w:line="240" w:lineRule="auto"/>
              <w:rPr>
                <w:rFonts w:asciiTheme="majorBidi" w:hAnsiTheme="majorBidi" w:cstheme="majorBidi"/>
                <w:sz w:val="20"/>
                <w:szCs w:val="20"/>
              </w:rPr>
            </w:pPr>
          </w:p>
          <w:p w14:paraId="6C3648EA" w14:textId="77777777" w:rsidR="0045448F" w:rsidRPr="00DE0567" w:rsidRDefault="0045448F" w:rsidP="00B173A2">
            <w:pPr>
              <w:spacing w:line="240" w:lineRule="auto"/>
              <w:rPr>
                <w:rFonts w:asciiTheme="majorBidi" w:hAnsiTheme="majorBidi" w:cstheme="majorBidi"/>
                <w:sz w:val="20"/>
                <w:szCs w:val="20"/>
              </w:rPr>
            </w:pPr>
            <w:bookmarkStart w:id="25" w:name="_Hlk125500650"/>
            <w:r w:rsidRPr="00DE0567">
              <w:rPr>
                <w:rFonts w:asciiTheme="majorBidi" w:hAnsiTheme="majorBidi" w:cstheme="majorBidi"/>
                <w:sz w:val="20"/>
                <w:szCs w:val="20"/>
              </w:rPr>
              <w:t>1</w:t>
            </w:r>
            <w:r>
              <w:rPr>
                <w:rFonts w:asciiTheme="majorBidi" w:hAnsiTheme="majorBidi" w:cstheme="majorBidi"/>
                <w:sz w:val="20"/>
                <w:szCs w:val="20"/>
              </w:rPr>
              <w:t>8</w:t>
            </w:r>
            <w:r w:rsidRPr="00DE0567">
              <w:rPr>
                <w:rFonts w:asciiTheme="majorBidi" w:hAnsiTheme="majorBidi" w:cstheme="majorBidi"/>
                <w:sz w:val="20"/>
                <w:szCs w:val="20"/>
              </w:rPr>
              <w:t>(</w:t>
            </w:r>
            <w:r>
              <w:rPr>
                <w:rFonts w:asciiTheme="majorBidi" w:hAnsiTheme="majorBidi" w:cstheme="majorBidi"/>
                <w:sz w:val="20"/>
                <w:szCs w:val="20"/>
              </w:rPr>
              <w:t>72</w:t>
            </w:r>
            <w:r w:rsidRPr="00DE0567">
              <w:rPr>
                <w:rFonts w:asciiTheme="majorBidi" w:hAnsiTheme="majorBidi" w:cstheme="majorBidi"/>
                <w:sz w:val="20"/>
                <w:szCs w:val="20"/>
              </w:rPr>
              <w:t>%)</w:t>
            </w:r>
          </w:p>
          <w:p w14:paraId="79981A90" w14:textId="77777777" w:rsidR="0045448F" w:rsidRPr="00DE0567" w:rsidRDefault="0045448F" w:rsidP="00B173A2">
            <w:pPr>
              <w:spacing w:line="240" w:lineRule="auto"/>
              <w:rPr>
                <w:rFonts w:asciiTheme="majorBidi" w:hAnsiTheme="majorBidi" w:cstheme="majorBidi"/>
                <w:sz w:val="20"/>
                <w:szCs w:val="20"/>
              </w:rPr>
            </w:pPr>
            <w:bookmarkStart w:id="26" w:name="_Hlk125500693"/>
            <w:bookmarkEnd w:id="25"/>
            <w:r w:rsidRPr="00DE0567">
              <w:rPr>
                <w:rFonts w:asciiTheme="majorBidi" w:hAnsiTheme="majorBidi" w:cstheme="majorBidi"/>
                <w:sz w:val="20"/>
                <w:szCs w:val="20"/>
              </w:rPr>
              <w:t>7(</w:t>
            </w:r>
            <w:r>
              <w:rPr>
                <w:rFonts w:asciiTheme="majorBidi" w:hAnsiTheme="majorBidi" w:cstheme="majorBidi"/>
                <w:sz w:val="20"/>
                <w:szCs w:val="20"/>
              </w:rPr>
              <w:t>28</w:t>
            </w:r>
            <w:r w:rsidRPr="00DE0567">
              <w:rPr>
                <w:rFonts w:asciiTheme="majorBidi" w:hAnsiTheme="majorBidi" w:cstheme="majorBidi"/>
                <w:sz w:val="20"/>
                <w:szCs w:val="20"/>
              </w:rPr>
              <w:t>%)</w:t>
            </w:r>
          </w:p>
          <w:bookmarkEnd w:id="26"/>
          <w:p w14:paraId="5B3FF355" w14:textId="77777777" w:rsidR="0045448F" w:rsidRPr="00DE0567" w:rsidRDefault="0045448F" w:rsidP="00B173A2">
            <w:pPr>
              <w:spacing w:line="240" w:lineRule="auto"/>
              <w:rPr>
                <w:rFonts w:asciiTheme="majorBidi" w:hAnsiTheme="majorBidi" w:cstheme="majorBidi"/>
                <w:sz w:val="20"/>
                <w:szCs w:val="20"/>
              </w:rPr>
            </w:pPr>
            <w:r w:rsidRPr="00DE0567">
              <w:rPr>
                <w:rFonts w:asciiTheme="majorBidi" w:hAnsiTheme="majorBidi" w:cstheme="majorBidi"/>
                <w:sz w:val="20"/>
                <w:szCs w:val="20"/>
              </w:rPr>
              <w:t xml:space="preserve"> </w:t>
            </w:r>
          </w:p>
        </w:tc>
        <w:tc>
          <w:tcPr>
            <w:tcW w:w="3965" w:type="dxa"/>
            <w:tcBorders>
              <w:bottom w:val="single" w:sz="4" w:space="0" w:color="auto"/>
            </w:tcBorders>
          </w:tcPr>
          <w:p w14:paraId="3F66E8CF" w14:textId="77777777" w:rsidR="0045448F" w:rsidRPr="00DE0567" w:rsidRDefault="0045448F" w:rsidP="00B173A2">
            <w:pPr>
              <w:spacing w:after="0" w:line="240" w:lineRule="auto"/>
              <w:rPr>
                <w:rFonts w:ascii="Times New Roman" w:eastAsia="Calibri" w:hAnsi="Times New Roman" w:cs="Times New Roman"/>
                <w:color w:val="000000"/>
                <w:sz w:val="20"/>
                <w:szCs w:val="20"/>
                <w:rtl/>
              </w:rPr>
            </w:pPr>
          </w:p>
          <w:p w14:paraId="69FE1A60" w14:textId="77777777" w:rsidR="0045448F" w:rsidRPr="00DE0567" w:rsidRDefault="0045448F" w:rsidP="00B173A2">
            <w:pPr>
              <w:spacing w:after="0" w:line="240" w:lineRule="auto"/>
              <w:rPr>
                <w:rFonts w:ascii="Times New Roman" w:eastAsia="Calibri" w:hAnsi="Times New Roman" w:cs="Times New Roman"/>
                <w:color w:val="000000"/>
                <w:sz w:val="20"/>
                <w:szCs w:val="20"/>
                <w:rtl/>
              </w:rPr>
            </w:pPr>
          </w:p>
          <w:p w14:paraId="5446B229" w14:textId="77777777" w:rsidR="0045448F" w:rsidRPr="00DE0567" w:rsidRDefault="0045448F" w:rsidP="00B173A2">
            <w:pPr>
              <w:spacing w:after="0" w:line="240" w:lineRule="auto"/>
              <w:rPr>
                <w:rFonts w:ascii="Times New Roman" w:eastAsia="Calibri" w:hAnsi="Times New Roman" w:cs="Times New Roman"/>
                <w:sz w:val="20"/>
                <w:szCs w:val="20"/>
                <w:rtl/>
              </w:rPr>
            </w:pPr>
            <w:bookmarkStart w:id="27" w:name="_Hlk124469762"/>
            <w:r w:rsidRPr="00DE0567">
              <w:rPr>
                <w:rFonts w:ascii="Times New Roman" w:eastAsia="Calibri" w:hAnsi="Times New Roman" w:cs="Times New Roman"/>
                <w:sz w:val="20"/>
                <w:szCs w:val="20"/>
              </w:rPr>
              <w:t>0.49</w:t>
            </w:r>
            <w:r w:rsidRPr="00DE0567">
              <w:rPr>
                <w:rFonts w:ascii="Times New Roman" w:hAnsi="Times New Roman" w:cs="Times New Roman"/>
                <w:color w:val="000000"/>
                <w:sz w:val="20"/>
                <w:szCs w:val="20"/>
              </w:rPr>
              <w:t>±</w:t>
            </w:r>
            <w:r w:rsidRPr="00DE0567">
              <w:rPr>
                <w:rFonts w:ascii="Times New Roman" w:eastAsia="Calibri" w:hAnsi="Times New Roman" w:cs="Times New Roman"/>
                <w:sz w:val="20"/>
                <w:szCs w:val="20"/>
              </w:rPr>
              <w:t>0.13</w:t>
            </w:r>
          </w:p>
          <w:p w14:paraId="372DAE34" w14:textId="77777777" w:rsidR="0045448F" w:rsidRPr="00DE0567" w:rsidRDefault="0045448F" w:rsidP="00B173A2">
            <w:pPr>
              <w:spacing w:after="0" w:line="240" w:lineRule="auto"/>
              <w:rPr>
                <w:rFonts w:ascii="Times New Roman" w:eastAsia="Calibri" w:hAnsi="Times New Roman" w:cs="Times New Roman"/>
                <w:sz w:val="20"/>
                <w:szCs w:val="20"/>
                <w:rtl/>
              </w:rPr>
            </w:pPr>
            <w:bookmarkStart w:id="28" w:name="_Hlk124469846"/>
            <w:bookmarkEnd w:id="27"/>
            <w:r w:rsidRPr="00DE0567">
              <w:rPr>
                <w:rFonts w:ascii="Times New Roman" w:eastAsia="Calibri" w:hAnsi="Times New Roman" w:cs="Times New Roman"/>
                <w:sz w:val="20"/>
                <w:szCs w:val="20"/>
              </w:rPr>
              <w:t>0.77±0.07</w:t>
            </w:r>
          </w:p>
          <w:p w14:paraId="6E80DC87" w14:textId="77777777" w:rsidR="0045448F" w:rsidRPr="00DE0567" w:rsidRDefault="0045448F" w:rsidP="00B173A2">
            <w:pPr>
              <w:spacing w:after="0" w:line="240" w:lineRule="auto"/>
              <w:rPr>
                <w:rFonts w:ascii="Times New Roman" w:eastAsia="Calibri" w:hAnsi="Times New Roman" w:cs="Times New Roman"/>
                <w:color w:val="000000"/>
                <w:sz w:val="20"/>
                <w:szCs w:val="20"/>
                <w:rtl/>
              </w:rPr>
            </w:pPr>
            <w:bookmarkStart w:id="29" w:name="_Hlk124469939"/>
            <w:bookmarkEnd w:id="28"/>
            <w:r w:rsidRPr="00DE0567">
              <w:rPr>
                <w:rFonts w:ascii="Times New Roman" w:eastAsia="Calibri" w:hAnsi="Times New Roman" w:cs="Times New Roman"/>
                <w:color w:val="000000"/>
                <w:sz w:val="20"/>
                <w:szCs w:val="20"/>
              </w:rPr>
              <w:t>˂0.001*</w:t>
            </w:r>
            <w:bookmarkEnd w:id="29"/>
          </w:p>
        </w:tc>
      </w:tr>
    </w:tbl>
    <w:p w14:paraId="35B7F108" w14:textId="77777777" w:rsidR="0045448F" w:rsidRPr="00E30642" w:rsidRDefault="0045448F" w:rsidP="00E30642">
      <w:pPr>
        <w:autoSpaceDE w:val="0"/>
        <w:autoSpaceDN w:val="0"/>
        <w:adjustRightInd w:val="0"/>
        <w:spacing w:after="0" w:line="360" w:lineRule="auto"/>
        <w:ind w:firstLine="720"/>
        <w:jc w:val="both"/>
        <w:rPr>
          <w:rFonts w:asciiTheme="majorBidi" w:eastAsia="Calibri" w:hAnsiTheme="majorBidi" w:cstheme="majorBidi"/>
          <w:sz w:val="24"/>
          <w:szCs w:val="24"/>
        </w:rPr>
      </w:pPr>
    </w:p>
    <w:p w14:paraId="2274AB9C" w14:textId="619E616A" w:rsidR="003E28DC" w:rsidRPr="00E30642" w:rsidRDefault="00871AC8" w:rsidP="00E30642">
      <w:pPr>
        <w:autoSpaceDE w:val="0"/>
        <w:autoSpaceDN w:val="0"/>
        <w:adjustRightInd w:val="0"/>
        <w:spacing w:after="0" w:line="360" w:lineRule="auto"/>
        <w:jc w:val="both"/>
        <w:rPr>
          <w:rFonts w:asciiTheme="majorBidi" w:eastAsia="Calibri" w:hAnsiTheme="majorBidi" w:cstheme="majorBidi"/>
          <w:b/>
          <w:bCs/>
          <w:sz w:val="24"/>
          <w:szCs w:val="24"/>
        </w:rPr>
      </w:pPr>
      <w:r w:rsidRPr="00E30642">
        <w:rPr>
          <w:rFonts w:asciiTheme="majorBidi" w:eastAsia="Calibri" w:hAnsiTheme="majorBidi" w:cstheme="majorBidi"/>
          <w:b/>
          <w:bCs/>
          <w:sz w:val="24"/>
          <w:szCs w:val="24"/>
        </w:rPr>
        <w:t xml:space="preserve">The relationship between the relative expression level of </w:t>
      </w:r>
      <w:r w:rsidR="007011BE" w:rsidRPr="00E30642">
        <w:rPr>
          <w:rFonts w:asciiTheme="majorBidi" w:eastAsia="Calibri" w:hAnsiTheme="majorBidi" w:cstheme="majorBidi"/>
          <w:b/>
          <w:bCs/>
          <w:sz w:val="24"/>
          <w:szCs w:val="24"/>
        </w:rPr>
        <w:t>miR-150-5 p</w:t>
      </w:r>
      <w:r w:rsidRPr="00E30642">
        <w:rPr>
          <w:rFonts w:asciiTheme="majorBidi" w:eastAsia="Calibri" w:hAnsiTheme="majorBidi" w:cstheme="majorBidi"/>
          <w:b/>
          <w:bCs/>
          <w:sz w:val="24"/>
          <w:szCs w:val="24"/>
        </w:rPr>
        <w:t xml:space="preserve"> and treatment in </w:t>
      </w:r>
      <w:r w:rsidR="007011BE" w:rsidRPr="00E30642">
        <w:rPr>
          <w:rFonts w:asciiTheme="majorBidi" w:eastAsia="Calibri" w:hAnsiTheme="majorBidi" w:cstheme="majorBidi"/>
          <w:b/>
          <w:bCs/>
          <w:sz w:val="24"/>
          <w:szCs w:val="24"/>
        </w:rPr>
        <w:t>CLL</w:t>
      </w:r>
      <w:r w:rsidRPr="00E30642">
        <w:rPr>
          <w:rFonts w:asciiTheme="majorBidi" w:eastAsia="Calibri" w:hAnsiTheme="majorBidi" w:cstheme="majorBidi"/>
          <w:b/>
          <w:bCs/>
          <w:sz w:val="24"/>
          <w:szCs w:val="24"/>
        </w:rPr>
        <w:t xml:space="preserve"> patients.</w:t>
      </w:r>
    </w:p>
    <w:p w14:paraId="6B57976E" w14:textId="551D5894" w:rsidR="006C7D75" w:rsidRPr="00E30642" w:rsidRDefault="00871AC8" w:rsidP="00E30642">
      <w:pPr>
        <w:spacing w:line="360" w:lineRule="auto"/>
        <w:ind w:firstLine="720"/>
        <w:jc w:val="both"/>
        <w:rPr>
          <w:rFonts w:asciiTheme="majorBidi" w:eastAsia="Calibri" w:hAnsiTheme="majorBidi" w:cstheme="majorBidi"/>
          <w:sz w:val="24"/>
          <w:szCs w:val="24"/>
        </w:rPr>
      </w:pPr>
      <w:r w:rsidRPr="00E30642">
        <w:rPr>
          <w:rFonts w:asciiTheme="majorBidi" w:eastAsia="Calibri" w:hAnsiTheme="majorBidi" w:cstheme="majorBidi"/>
          <w:sz w:val="24"/>
          <w:szCs w:val="24"/>
        </w:rPr>
        <w:t>In the current study</w:t>
      </w:r>
      <w:r w:rsidR="0047518F">
        <w:rPr>
          <w:rFonts w:asciiTheme="majorBidi" w:eastAsia="Calibri" w:hAnsiTheme="majorBidi" w:cstheme="majorBidi"/>
          <w:sz w:val="24"/>
          <w:szCs w:val="24"/>
        </w:rPr>
        <w:t>,</w:t>
      </w:r>
      <w:r w:rsidRPr="00E30642">
        <w:rPr>
          <w:rFonts w:asciiTheme="majorBidi" w:eastAsia="Calibri" w:hAnsiTheme="majorBidi" w:cstheme="majorBidi"/>
          <w:sz w:val="24"/>
          <w:szCs w:val="24"/>
        </w:rPr>
        <w:t xml:space="preserve"> 18(72%) patients were newly diagnosed </w:t>
      </w:r>
      <w:r w:rsidR="0047518F">
        <w:rPr>
          <w:rFonts w:asciiTheme="majorBidi" w:eastAsia="Calibri" w:hAnsiTheme="majorBidi" w:cstheme="majorBidi"/>
          <w:sz w:val="24"/>
          <w:szCs w:val="24"/>
        </w:rPr>
        <w:t xml:space="preserve">with </w:t>
      </w:r>
      <w:r w:rsidRPr="00E30642">
        <w:rPr>
          <w:rFonts w:asciiTheme="majorBidi" w:eastAsia="Calibri" w:hAnsiTheme="majorBidi" w:cstheme="majorBidi"/>
          <w:sz w:val="24"/>
          <w:szCs w:val="24"/>
        </w:rPr>
        <w:t>CLL or in the “watch and wait” phase</w:t>
      </w:r>
      <w:r w:rsidR="004149D2">
        <w:rPr>
          <w:rFonts w:asciiTheme="majorBidi" w:eastAsia="Calibri" w:hAnsiTheme="majorBidi" w:cstheme="majorBidi"/>
          <w:sz w:val="24"/>
          <w:szCs w:val="24"/>
        </w:rPr>
        <w:t>. Those</w:t>
      </w:r>
      <w:r w:rsidRPr="00E30642">
        <w:rPr>
          <w:rFonts w:asciiTheme="majorBidi" w:eastAsia="Calibri" w:hAnsiTheme="majorBidi" w:cstheme="majorBidi"/>
          <w:sz w:val="24"/>
          <w:szCs w:val="24"/>
        </w:rPr>
        <w:t xml:space="preserve"> patients were assigned to wait and see strategy and were monitored periodically every </w:t>
      </w:r>
      <w:r w:rsidR="0047518F">
        <w:rPr>
          <w:rFonts w:asciiTheme="majorBidi" w:eastAsia="Calibri" w:hAnsiTheme="majorBidi" w:cstheme="majorBidi"/>
          <w:sz w:val="24"/>
          <w:szCs w:val="24"/>
        </w:rPr>
        <w:t>three</w:t>
      </w:r>
      <w:r w:rsidRPr="00E30642">
        <w:rPr>
          <w:rFonts w:asciiTheme="majorBidi" w:eastAsia="Calibri" w:hAnsiTheme="majorBidi" w:cstheme="majorBidi"/>
          <w:sz w:val="24"/>
          <w:szCs w:val="24"/>
        </w:rPr>
        <w:t xml:space="preserve"> </w:t>
      </w:r>
      <w:r w:rsidRPr="004149D2">
        <w:rPr>
          <w:rFonts w:asciiTheme="majorBidi" w:eastAsia="Calibri" w:hAnsiTheme="majorBidi" w:cstheme="majorBidi"/>
          <w:sz w:val="24"/>
          <w:szCs w:val="24"/>
        </w:rPr>
        <w:t xml:space="preserve">months for disease progression. </w:t>
      </w:r>
      <w:r w:rsidR="0047518F" w:rsidRPr="004149D2">
        <w:rPr>
          <w:rFonts w:asciiTheme="majorBidi" w:eastAsia="Calibri" w:hAnsiTheme="majorBidi" w:cstheme="majorBidi"/>
          <w:sz w:val="24"/>
          <w:szCs w:val="24"/>
        </w:rPr>
        <w:t>As a result, seven</w:t>
      </w:r>
      <w:r w:rsidRPr="004149D2">
        <w:rPr>
          <w:rFonts w:asciiTheme="majorBidi" w:eastAsia="Calibri" w:hAnsiTheme="majorBidi" w:cstheme="majorBidi"/>
          <w:sz w:val="24"/>
          <w:szCs w:val="24"/>
        </w:rPr>
        <w:t xml:space="preserve"> Egyptian patients (28%) were indicated for therapy</w:t>
      </w:r>
      <w:r w:rsidR="00F27DDE" w:rsidRPr="004149D2">
        <w:rPr>
          <w:rFonts w:asciiTheme="majorBidi" w:eastAsia="Calibri" w:hAnsiTheme="majorBidi" w:cstheme="majorBidi"/>
          <w:sz w:val="24"/>
          <w:szCs w:val="24"/>
        </w:rPr>
        <w:t xml:space="preserve"> and successfully treated with </w:t>
      </w:r>
      <w:r w:rsidR="0047518F" w:rsidRPr="004149D2">
        <w:rPr>
          <w:rFonts w:asciiTheme="majorBidi" w:eastAsia="Calibri" w:hAnsiTheme="majorBidi" w:cstheme="majorBidi"/>
          <w:sz w:val="24"/>
          <w:szCs w:val="24"/>
        </w:rPr>
        <w:t xml:space="preserve">a </w:t>
      </w:r>
      <w:r w:rsidR="00F27DDE" w:rsidRPr="004149D2">
        <w:rPr>
          <w:rFonts w:asciiTheme="majorBidi" w:eastAsia="Calibri" w:hAnsiTheme="majorBidi" w:cstheme="majorBidi"/>
          <w:sz w:val="24"/>
          <w:szCs w:val="24"/>
        </w:rPr>
        <w:t>good response</w:t>
      </w:r>
      <w:r w:rsidRPr="004149D2">
        <w:rPr>
          <w:rFonts w:asciiTheme="majorBidi" w:eastAsia="Calibri" w:hAnsiTheme="majorBidi" w:cstheme="majorBidi"/>
          <w:sz w:val="24"/>
          <w:szCs w:val="24"/>
        </w:rPr>
        <w:t>.</w:t>
      </w:r>
      <w:r w:rsidRPr="00E30642">
        <w:rPr>
          <w:rFonts w:asciiTheme="majorBidi" w:eastAsia="Calibri" w:hAnsiTheme="majorBidi" w:cstheme="majorBidi"/>
          <w:sz w:val="24"/>
          <w:szCs w:val="24"/>
        </w:rPr>
        <w:t xml:space="preserve"> </w:t>
      </w:r>
    </w:p>
    <w:p w14:paraId="70E843C7" w14:textId="5FC1203A" w:rsidR="003E28DC" w:rsidRPr="00E30642" w:rsidRDefault="00871AC8" w:rsidP="00E30642">
      <w:pPr>
        <w:spacing w:line="360" w:lineRule="auto"/>
        <w:jc w:val="both"/>
        <w:rPr>
          <w:rFonts w:asciiTheme="majorBidi" w:eastAsia="Calibri" w:hAnsiTheme="majorBidi" w:cstheme="majorBidi"/>
          <w:sz w:val="24"/>
          <w:szCs w:val="24"/>
        </w:rPr>
      </w:pPr>
      <w:r w:rsidRPr="00E30642">
        <w:rPr>
          <w:rFonts w:asciiTheme="majorBidi" w:eastAsia="Calibri" w:hAnsiTheme="majorBidi" w:cstheme="majorBidi"/>
          <w:sz w:val="24"/>
          <w:szCs w:val="24"/>
        </w:rPr>
        <w:t>The treatment modalities included FCR. (Fludarabine, cyclophosphamide, and rituximab)</w:t>
      </w:r>
      <w:r w:rsidR="0047518F">
        <w:rPr>
          <w:rFonts w:asciiTheme="majorBidi" w:eastAsia="Calibri" w:hAnsiTheme="majorBidi" w:cstheme="majorBidi"/>
          <w:sz w:val="24"/>
          <w:szCs w:val="24"/>
        </w:rPr>
        <w:t xml:space="preserve"> </w:t>
      </w:r>
      <w:r w:rsidRPr="00E30642">
        <w:rPr>
          <w:rFonts w:asciiTheme="majorBidi" w:eastAsia="Calibri" w:hAnsiTheme="majorBidi" w:cstheme="majorBidi"/>
          <w:sz w:val="24"/>
          <w:szCs w:val="24"/>
        </w:rPr>
        <w:t xml:space="preserve">and ibrutinib. Interestingly, there were significantly lower miR-150-5 p in </w:t>
      </w:r>
      <w:r w:rsidR="006E18F5">
        <w:rPr>
          <w:rFonts w:asciiTheme="majorBidi" w:eastAsia="Calibri" w:hAnsiTheme="majorBidi" w:cstheme="majorBidi"/>
          <w:sz w:val="24"/>
          <w:szCs w:val="24"/>
        </w:rPr>
        <w:t>the no-treatment</w:t>
      </w:r>
      <w:r w:rsidRPr="00E30642">
        <w:rPr>
          <w:rFonts w:asciiTheme="majorBidi" w:eastAsia="Calibri" w:hAnsiTheme="majorBidi" w:cstheme="majorBidi"/>
          <w:sz w:val="24"/>
          <w:szCs w:val="24"/>
        </w:rPr>
        <w:t xml:space="preserve"> subgroup (n=18, 0.49±0.13) compared to successfully treated </w:t>
      </w:r>
      <w:r w:rsidR="007F1870" w:rsidRPr="00E30642">
        <w:rPr>
          <w:rFonts w:asciiTheme="majorBidi" w:eastAsia="Calibri" w:hAnsiTheme="majorBidi" w:cstheme="majorBidi"/>
          <w:sz w:val="24"/>
          <w:szCs w:val="24"/>
        </w:rPr>
        <w:t xml:space="preserve">subgroups </w:t>
      </w:r>
      <w:r w:rsidR="007F1870">
        <w:rPr>
          <w:rFonts w:asciiTheme="majorBidi" w:eastAsia="Calibri" w:hAnsiTheme="majorBidi" w:cstheme="majorBidi"/>
          <w:sz w:val="24"/>
          <w:szCs w:val="24"/>
        </w:rPr>
        <w:t>with</w:t>
      </w:r>
      <w:r w:rsidR="008F6879">
        <w:rPr>
          <w:rFonts w:asciiTheme="majorBidi" w:eastAsia="Calibri" w:hAnsiTheme="majorBidi" w:cstheme="majorBidi"/>
          <w:sz w:val="24"/>
          <w:szCs w:val="24"/>
        </w:rPr>
        <w:t xml:space="preserve"> good response </w:t>
      </w:r>
      <w:r w:rsidRPr="00E30642">
        <w:rPr>
          <w:rFonts w:asciiTheme="majorBidi" w:eastAsia="Calibri" w:hAnsiTheme="majorBidi" w:cstheme="majorBidi"/>
          <w:sz w:val="24"/>
          <w:szCs w:val="24"/>
        </w:rPr>
        <w:t xml:space="preserve">(n=7, 0.77±0.07), table </w:t>
      </w:r>
      <w:r w:rsidR="00990694" w:rsidRPr="00E30642">
        <w:rPr>
          <w:rFonts w:asciiTheme="majorBidi" w:eastAsia="Calibri" w:hAnsiTheme="majorBidi" w:cstheme="majorBidi"/>
          <w:sz w:val="24"/>
          <w:szCs w:val="24"/>
        </w:rPr>
        <w:t>3</w:t>
      </w:r>
      <w:r w:rsidR="00990694">
        <w:rPr>
          <w:rFonts w:asciiTheme="majorBidi" w:eastAsia="Calibri" w:hAnsiTheme="majorBidi" w:cstheme="majorBidi"/>
          <w:sz w:val="24"/>
          <w:szCs w:val="24"/>
        </w:rPr>
        <w:t>.</w:t>
      </w:r>
    </w:p>
    <w:p w14:paraId="129E7AA3" w14:textId="77777777" w:rsidR="006E18F5" w:rsidRDefault="00871AC8" w:rsidP="006E18F5">
      <w:pPr>
        <w:spacing w:after="200" w:line="360" w:lineRule="auto"/>
        <w:jc w:val="both"/>
        <w:rPr>
          <w:rFonts w:asciiTheme="majorBidi" w:eastAsia="Calibri" w:hAnsiTheme="majorBidi" w:cstheme="majorBidi"/>
          <w:b/>
          <w:bCs/>
          <w:sz w:val="24"/>
          <w:szCs w:val="24"/>
        </w:rPr>
      </w:pPr>
      <w:r w:rsidRPr="00E30642">
        <w:rPr>
          <w:rFonts w:asciiTheme="majorBidi" w:eastAsia="Calibri" w:hAnsiTheme="majorBidi" w:cstheme="majorBidi"/>
          <w:b/>
          <w:bCs/>
          <w:sz w:val="24"/>
          <w:szCs w:val="24"/>
        </w:rPr>
        <w:t xml:space="preserve">Pearson correlations between </w:t>
      </w:r>
      <w:bookmarkStart w:id="30" w:name="_Hlk61749832"/>
      <w:r w:rsidRPr="00E30642">
        <w:rPr>
          <w:rFonts w:asciiTheme="majorBidi" w:eastAsia="Calibri" w:hAnsiTheme="majorBidi" w:cstheme="majorBidi"/>
          <w:b/>
          <w:bCs/>
          <w:sz w:val="24"/>
          <w:szCs w:val="24"/>
        </w:rPr>
        <w:t xml:space="preserve">the relative expression level of </w:t>
      </w:r>
      <w:bookmarkEnd w:id="30"/>
      <w:r w:rsidR="003D5715" w:rsidRPr="00E30642">
        <w:rPr>
          <w:rFonts w:asciiTheme="majorBidi" w:eastAsia="Calibri" w:hAnsiTheme="majorBidi" w:cstheme="majorBidi"/>
          <w:b/>
          <w:bCs/>
          <w:sz w:val="24"/>
          <w:szCs w:val="24"/>
        </w:rPr>
        <w:t xml:space="preserve">miR-150-5 p </w:t>
      </w:r>
      <w:r w:rsidRPr="00E30642">
        <w:rPr>
          <w:rFonts w:asciiTheme="majorBidi" w:eastAsia="Calibri" w:hAnsiTheme="majorBidi" w:cstheme="majorBidi"/>
          <w:b/>
          <w:bCs/>
          <w:sz w:val="24"/>
          <w:szCs w:val="24"/>
        </w:rPr>
        <w:t xml:space="preserve">with clinical and </w:t>
      </w:r>
      <w:bookmarkStart w:id="31" w:name="_Hlk123938204"/>
      <w:r w:rsidRPr="00E30642">
        <w:rPr>
          <w:rFonts w:asciiTheme="majorBidi" w:eastAsia="Calibri" w:hAnsiTheme="majorBidi" w:cstheme="majorBidi"/>
          <w:b/>
          <w:bCs/>
          <w:sz w:val="24"/>
          <w:szCs w:val="24"/>
        </w:rPr>
        <w:t xml:space="preserve">laboratory </w:t>
      </w:r>
      <w:bookmarkEnd w:id="31"/>
      <w:r w:rsidRPr="00E30642">
        <w:rPr>
          <w:rFonts w:asciiTheme="majorBidi" w:eastAsia="Calibri" w:hAnsiTheme="majorBidi" w:cstheme="majorBidi"/>
          <w:b/>
          <w:bCs/>
          <w:sz w:val="24"/>
          <w:szCs w:val="24"/>
        </w:rPr>
        <w:t xml:space="preserve">parameters among </w:t>
      </w:r>
      <w:r w:rsidR="003D5715" w:rsidRPr="00E30642">
        <w:rPr>
          <w:rFonts w:asciiTheme="majorBidi" w:eastAsia="Calibri" w:hAnsiTheme="majorBidi" w:cstheme="majorBidi"/>
          <w:b/>
          <w:bCs/>
          <w:sz w:val="24"/>
          <w:szCs w:val="24"/>
        </w:rPr>
        <w:t xml:space="preserve">the CLL </w:t>
      </w:r>
      <w:r w:rsidRPr="00E30642">
        <w:rPr>
          <w:rFonts w:asciiTheme="majorBidi" w:eastAsia="Calibri" w:hAnsiTheme="majorBidi" w:cstheme="majorBidi"/>
          <w:b/>
          <w:bCs/>
          <w:sz w:val="24"/>
          <w:szCs w:val="24"/>
        </w:rPr>
        <w:t>group</w:t>
      </w:r>
    </w:p>
    <w:p w14:paraId="7251976F" w14:textId="496A6B2D" w:rsidR="003E28DC" w:rsidRPr="00E30642" w:rsidRDefault="00871AC8" w:rsidP="006E18F5">
      <w:pPr>
        <w:spacing w:after="200" w:line="360" w:lineRule="auto"/>
        <w:jc w:val="both"/>
        <w:rPr>
          <w:rFonts w:asciiTheme="majorBidi" w:eastAsia="Calibri" w:hAnsiTheme="majorBidi" w:cstheme="majorBidi"/>
          <w:sz w:val="24"/>
          <w:szCs w:val="24"/>
        </w:rPr>
      </w:pPr>
      <w:r w:rsidRPr="00E30642">
        <w:rPr>
          <w:rFonts w:asciiTheme="majorBidi" w:eastAsia="Calibri" w:hAnsiTheme="majorBidi" w:cstheme="majorBidi"/>
          <w:sz w:val="24"/>
          <w:szCs w:val="24"/>
        </w:rPr>
        <w:t xml:space="preserve">The relative expression level of </w:t>
      </w:r>
      <w:bookmarkStart w:id="32" w:name="_Hlk62012182"/>
      <w:r w:rsidR="003D5715" w:rsidRPr="00E30642">
        <w:rPr>
          <w:rFonts w:asciiTheme="majorBidi" w:eastAsia="Calibri" w:hAnsiTheme="majorBidi" w:cstheme="majorBidi"/>
          <w:sz w:val="24"/>
          <w:szCs w:val="24"/>
        </w:rPr>
        <w:t xml:space="preserve">miR-150-5 p </w:t>
      </w:r>
      <w:r w:rsidRPr="00E30642">
        <w:rPr>
          <w:rFonts w:asciiTheme="majorBidi" w:eastAsia="Calibri" w:hAnsiTheme="majorBidi" w:cstheme="majorBidi"/>
          <w:sz w:val="24"/>
          <w:szCs w:val="24"/>
        </w:rPr>
        <w:t xml:space="preserve">was </w:t>
      </w:r>
      <w:r w:rsidR="003D5715" w:rsidRPr="00E30642">
        <w:rPr>
          <w:rFonts w:asciiTheme="majorBidi" w:eastAsia="Calibri" w:hAnsiTheme="majorBidi" w:cstheme="majorBidi"/>
          <w:sz w:val="24"/>
          <w:szCs w:val="24"/>
        </w:rPr>
        <w:t xml:space="preserve">negatively </w:t>
      </w:r>
      <w:r w:rsidRPr="00E30642">
        <w:rPr>
          <w:rFonts w:asciiTheme="majorBidi" w:eastAsia="Calibri" w:hAnsiTheme="majorBidi" w:cstheme="majorBidi"/>
          <w:sz w:val="24"/>
          <w:szCs w:val="24"/>
        </w:rPr>
        <w:t>correlated with WBC</w:t>
      </w:r>
      <w:r w:rsidR="003D5715" w:rsidRPr="00E30642">
        <w:rPr>
          <w:rFonts w:asciiTheme="majorBidi" w:hAnsiTheme="majorBidi" w:cstheme="majorBidi"/>
          <w:sz w:val="24"/>
          <w:szCs w:val="24"/>
        </w:rPr>
        <w:t xml:space="preserve"> </w:t>
      </w:r>
      <w:r w:rsidR="003D5715" w:rsidRPr="00E30642">
        <w:rPr>
          <w:rFonts w:asciiTheme="majorBidi" w:eastAsia="Calibri" w:hAnsiTheme="majorBidi" w:cstheme="majorBidi"/>
          <w:sz w:val="24"/>
          <w:szCs w:val="24"/>
        </w:rPr>
        <w:t>ALC,</w:t>
      </w:r>
      <w:r w:rsidRPr="00E30642">
        <w:rPr>
          <w:rFonts w:asciiTheme="majorBidi" w:eastAsia="Calibri" w:hAnsiTheme="majorBidi" w:cstheme="majorBidi"/>
          <w:sz w:val="24"/>
          <w:szCs w:val="24"/>
        </w:rPr>
        <w:t xml:space="preserve"> </w:t>
      </w:r>
      <w:r w:rsidR="003D5715" w:rsidRPr="00E30642">
        <w:rPr>
          <w:rFonts w:asciiTheme="majorBidi" w:eastAsia="Calibri" w:hAnsiTheme="majorBidi" w:cstheme="majorBidi"/>
          <w:sz w:val="24"/>
          <w:szCs w:val="24"/>
        </w:rPr>
        <w:t xml:space="preserve">serum β2M, ZAP-70%, CD38%, </w:t>
      </w:r>
      <w:r w:rsidRPr="00E30642">
        <w:rPr>
          <w:rFonts w:asciiTheme="majorBidi" w:eastAsia="Calibri" w:hAnsiTheme="majorBidi" w:cstheme="majorBidi"/>
          <w:sz w:val="24"/>
          <w:szCs w:val="24"/>
        </w:rPr>
        <w:t xml:space="preserve">and LDH. </w:t>
      </w:r>
      <w:r w:rsidR="003D5715" w:rsidRPr="00E30642">
        <w:rPr>
          <w:rFonts w:asciiTheme="majorBidi" w:eastAsia="Times New Roman" w:hAnsiTheme="majorBidi" w:cstheme="majorBidi"/>
          <w:sz w:val="24"/>
          <w:szCs w:val="24"/>
        </w:rPr>
        <w:t>In contrast</w:t>
      </w:r>
      <w:r w:rsidRPr="00E30642">
        <w:rPr>
          <w:rFonts w:asciiTheme="majorBidi" w:eastAsia="Times New Roman" w:hAnsiTheme="majorBidi" w:cstheme="majorBidi"/>
          <w:sz w:val="24"/>
          <w:szCs w:val="24"/>
        </w:rPr>
        <w:t xml:space="preserve">, </w:t>
      </w:r>
      <w:r w:rsidR="003D5715" w:rsidRPr="00E30642">
        <w:rPr>
          <w:rFonts w:asciiTheme="majorBidi" w:eastAsia="Calibri" w:hAnsiTheme="majorBidi" w:cstheme="majorBidi"/>
          <w:sz w:val="24"/>
          <w:szCs w:val="24"/>
        </w:rPr>
        <w:t xml:space="preserve">miR-150-5 </w:t>
      </w:r>
      <w:r w:rsidRPr="00E30642">
        <w:rPr>
          <w:rFonts w:asciiTheme="majorBidi" w:eastAsia="Calibri" w:hAnsiTheme="majorBidi" w:cstheme="majorBidi"/>
          <w:sz w:val="24"/>
          <w:szCs w:val="24"/>
        </w:rPr>
        <w:t xml:space="preserve">expression level was </w:t>
      </w:r>
      <w:r w:rsidR="003D5715" w:rsidRPr="00E30642">
        <w:rPr>
          <w:rFonts w:asciiTheme="majorBidi" w:eastAsia="Calibri" w:hAnsiTheme="majorBidi" w:cstheme="majorBidi"/>
          <w:sz w:val="24"/>
          <w:szCs w:val="24"/>
        </w:rPr>
        <w:t>positively</w:t>
      </w:r>
      <w:r w:rsidRPr="00E30642">
        <w:rPr>
          <w:rFonts w:asciiTheme="majorBidi" w:eastAsia="Calibri" w:hAnsiTheme="majorBidi" w:cstheme="majorBidi"/>
          <w:sz w:val="24"/>
          <w:szCs w:val="24"/>
        </w:rPr>
        <w:t xml:space="preserve"> </w:t>
      </w:r>
      <w:r w:rsidR="0047518F">
        <w:rPr>
          <w:rFonts w:asciiTheme="majorBidi" w:eastAsia="Calibri" w:hAnsiTheme="majorBidi" w:cstheme="majorBidi"/>
          <w:sz w:val="24"/>
          <w:szCs w:val="24"/>
        </w:rPr>
        <w:t>associated</w:t>
      </w:r>
      <w:r w:rsidRPr="00E30642">
        <w:rPr>
          <w:rFonts w:asciiTheme="majorBidi" w:eastAsia="Calibri" w:hAnsiTheme="majorBidi" w:cstheme="majorBidi"/>
          <w:sz w:val="24"/>
          <w:szCs w:val="24"/>
        </w:rPr>
        <w:t xml:space="preserve"> with hemoglobin, and platelet</w:t>
      </w:r>
      <w:bookmarkEnd w:id="32"/>
      <w:r w:rsidRPr="00E30642">
        <w:rPr>
          <w:rFonts w:asciiTheme="majorBidi" w:eastAsia="Calibri" w:hAnsiTheme="majorBidi" w:cstheme="majorBidi"/>
          <w:sz w:val="24"/>
          <w:szCs w:val="24"/>
        </w:rPr>
        <w:t>,</w:t>
      </w:r>
      <w:r w:rsidRPr="00E30642">
        <w:rPr>
          <w:rFonts w:asciiTheme="majorBidi" w:eastAsia="Times New Roman" w:hAnsiTheme="majorBidi" w:cstheme="majorBidi"/>
          <w:sz w:val="24"/>
          <w:szCs w:val="24"/>
        </w:rPr>
        <w:t xml:space="preserve"> P ˂0.001* (</w:t>
      </w:r>
      <w:r w:rsidRPr="00E30642">
        <w:rPr>
          <w:rFonts w:asciiTheme="majorBidi" w:eastAsia="Calibri" w:hAnsiTheme="majorBidi" w:cstheme="majorBidi"/>
          <w:sz w:val="24"/>
          <w:szCs w:val="24"/>
        </w:rPr>
        <w:t xml:space="preserve">Table </w:t>
      </w:r>
      <w:r w:rsidR="003D5715" w:rsidRPr="00E30642">
        <w:rPr>
          <w:rFonts w:asciiTheme="majorBidi" w:eastAsia="Calibri" w:hAnsiTheme="majorBidi" w:cstheme="majorBidi"/>
          <w:sz w:val="24"/>
          <w:szCs w:val="24"/>
        </w:rPr>
        <w:t>4</w:t>
      </w:r>
      <w:r w:rsidRPr="00E30642">
        <w:rPr>
          <w:rFonts w:asciiTheme="majorBidi" w:eastAsia="Calibri" w:hAnsiTheme="majorBidi" w:cstheme="majorBidi"/>
          <w:sz w:val="24"/>
          <w:szCs w:val="24"/>
        </w:rPr>
        <w:t>).</w:t>
      </w:r>
    </w:p>
    <w:p w14:paraId="2AA6903D" w14:textId="3B42AACC" w:rsidR="00537868" w:rsidRDefault="00537868" w:rsidP="00537868">
      <w:pPr>
        <w:pStyle w:val="Caption"/>
        <w:keepNext/>
      </w:pPr>
      <w:r>
        <w:t xml:space="preserve">Table </w:t>
      </w:r>
      <w:fldSimple w:instr=" SEQ Table \* ARABIC ">
        <w:r w:rsidR="009505D9">
          <w:rPr>
            <w:noProof/>
          </w:rPr>
          <w:t>4</w:t>
        </w:r>
      </w:fldSimple>
      <w:r>
        <w:t xml:space="preserve">. </w:t>
      </w:r>
      <w:r w:rsidRPr="00537868">
        <w:rPr>
          <w:b/>
          <w:bCs/>
        </w:rPr>
        <w:t>Correlation of serum levels of miR-150-5 p with clinical and laboratory characteristics in CLL patients.</w:t>
      </w:r>
    </w:p>
    <w:tbl>
      <w:tblPr>
        <w:tblW w:w="7295" w:type="dxa"/>
        <w:jc w:val="center"/>
        <w:tblLayout w:type="fixed"/>
        <w:tblLook w:val="04A0" w:firstRow="1" w:lastRow="0" w:firstColumn="1" w:lastColumn="0" w:noHBand="0" w:noVBand="1"/>
      </w:tblPr>
      <w:tblGrid>
        <w:gridCol w:w="4225"/>
        <w:gridCol w:w="1810"/>
        <w:gridCol w:w="1260"/>
      </w:tblGrid>
      <w:tr w:rsidR="00537868" w:rsidRPr="0087218F" w14:paraId="75D29690" w14:textId="77777777" w:rsidTr="00537868">
        <w:trPr>
          <w:trHeight w:val="276"/>
          <w:jc w:val="center"/>
        </w:trPr>
        <w:tc>
          <w:tcPr>
            <w:tcW w:w="4225" w:type="dxa"/>
            <w:vMerge w:val="restart"/>
            <w:tcBorders>
              <w:top w:val="single" w:sz="4" w:space="0" w:color="auto"/>
            </w:tcBorders>
          </w:tcPr>
          <w:p w14:paraId="3942829F" w14:textId="77777777" w:rsidR="00537868" w:rsidRPr="0087218F" w:rsidRDefault="00537868" w:rsidP="00B173A2">
            <w:pPr>
              <w:spacing w:after="0" w:line="240" w:lineRule="auto"/>
              <w:jc w:val="center"/>
              <w:rPr>
                <w:rFonts w:ascii="Times New Roman" w:eastAsia="Calibri" w:hAnsi="Times New Roman" w:cs="Times New Roman"/>
                <w:b/>
                <w:bCs/>
                <w:sz w:val="24"/>
                <w:szCs w:val="24"/>
              </w:rPr>
            </w:pPr>
            <w:r w:rsidRPr="0087218F">
              <w:rPr>
                <w:rFonts w:ascii="Times New Roman" w:eastAsia="Calibri" w:hAnsi="Times New Roman" w:cs="Times New Roman"/>
                <w:b/>
                <w:bCs/>
                <w:sz w:val="24"/>
                <w:szCs w:val="24"/>
              </w:rPr>
              <w:t>parameters</w:t>
            </w:r>
          </w:p>
        </w:tc>
        <w:tc>
          <w:tcPr>
            <w:tcW w:w="3070" w:type="dxa"/>
            <w:gridSpan w:val="2"/>
            <w:tcBorders>
              <w:top w:val="single" w:sz="4" w:space="0" w:color="auto"/>
            </w:tcBorders>
          </w:tcPr>
          <w:p w14:paraId="4799E427" w14:textId="77777777" w:rsidR="00537868" w:rsidRPr="0087218F" w:rsidRDefault="00537868" w:rsidP="00B173A2">
            <w:pPr>
              <w:spacing w:after="0" w:line="240" w:lineRule="auto"/>
              <w:jc w:val="center"/>
              <w:rPr>
                <w:rFonts w:ascii="Times New Roman" w:eastAsia="Calibri" w:hAnsi="Times New Roman" w:cs="Times New Roman"/>
                <w:b/>
                <w:bCs/>
                <w:sz w:val="24"/>
                <w:szCs w:val="24"/>
              </w:rPr>
            </w:pPr>
            <w:r w:rsidRPr="006472A0">
              <w:rPr>
                <w:rFonts w:asciiTheme="majorBidi" w:hAnsiTheme="majorBidi" w:cstheme="majorBidi"/>
                <w:b/>
                <w:bCs/>
                <w:sz w:val="24"/>
                <w:szCs w:val="24"/>
              </w:rPr>
              <w:t>miR-150-5 p</w:t>
            </w:r>
          </w:p>
        </w:tc>
      </w:tr>
      <w:tr w:rsidR="00537868" w:rsidRPr="0087218F" w14:paraId="1D7EDAEC" w14:textId="77777777" w:rsidTr="00537868">
        <w:trPr>
          <w:trHeight w:val="276"/>
          <w:jc w:val="center"/>
        </w:trPr>
        <w:tc>
          <w:tcPr>
            <w:tcW w:w="4225" w:type="dxa"/>
            <w:vMerge/>
            <w:tcBorders>
              <w:bottom w:val="single" w:sz="4" w:space="0" w:color="auto"/>
            </w:tcBorders>
          </w:tcPr>
          <w:p w14:paraId="2AE70FD2" w14:textId="77777777" w:rsidR="00537868" w:rsidRPr="0087218F" w:rsidRDefault="00537868" w:rsidP="00B173A2">
            <w:pPr>
              <w:spacing w:after="0" w:line="240" w:lineRule="auto"/>
              <w:jc w:val="center"/>
              <w:rPr>
                <w:rFonts w:ascii="Times New Roman" w:eastAsia="Calibri" w:hAnsi="Times New Roman" w:cs="Times New Roman"/>
                <w:b/>
                <w:bCs/>
                <w:sz w:val="24"/>
                <w:szCs w:val="24"/>
              </w:rPr>
            </w:pPr>
          </w:p>
        </w:tc>
        <w:tc>
          <w:tcPr>
            <w:tcW w:w="1810" w:type="dxa"/>
            <w:tcBorders>
              <w:bottom w:val="single" w:sz="4" w:space="0" w:color="auto"/>
            </w:tcBorders>
          </w:tcPr>
          <w:p w14:paraId="7D56A85A" w14:textId="77777777" w:rsidR="00537868" w:rsidRPr="0087218F" w:rsidRDefault="00537868" w:rsidP="00B173A2">
            <w:pPr>
              <w:spacing w:after="0" w:line="240" w:lineRule="auto"/>
              <w:jc w:val="center"/>
              <w:rPr>
                <w:rFonts w:ascii="Times New Roman" w:eastAsia="Calibri" w:hAnsi="Times New Roman" w:cs="Times New Roman"/>
                <w:b/>
                <w:bCs/>
                <w:i/>
                <w:iCs/>
                <w:sz w:val="24"/>
                <w:szCs w:val="24"/>
              </w:rPr>
            </w:pPr>
            <w:r w:rsidRPr="0087218F">
              <w:rPr>
                <w:rFonts w:ascii="Times New Roman" w:eastAsia="Calibri" w:hAnsi="Times New Roman" w:cs="Times New Roman"/>
                <w:b/>
                <w:bCs/>
                <w:i/>
                <w:iCs/>
                <w:sz w:val="24"/>
                <w:szCs w:val="24"/>
              </w:rPr>
              <w:t>r</w:t>
            </w:r>
          </w:p>
        </w:tc>
        <w:tc>
          <w:tcPr>
            <w:tcW w:w="1260" w:type="dxa"/>
            <w:tcBorders>
              <w:bottom w:val="single" w:sz="4" w:space="0" w:color="auto"/>
            </w:tcBorders>
          </w:tcPr>
          <w:p w14:paraId="00858653" w14:textId="77777777" w:rsidR="00537868" w:rsidRPr="0087218F" w:rsidRDefault="00537868" w:rsidP="00B173A2">
            <w:pPr>
              <w:spacing w:after="0" w:line="240" w:lineRule="auto"/>
              <w:jc w:val="center"/>
              <w:rPr>
                <w:rFonts w:ascii="Times New Roman" w:eastAsia="Calibri" w:hAnsi="Times New Roman" w:cs="Times New Roman"/>
                <w:b/>
                <w:bCs/>
                <w:sz w:val="24"/>
                <w:szCs w:val="24"/>
              </w:rPr>
            </w:pPr>
            <w:r w:rsidRPr="0087218F">
              <w:rPr>
                <w:rFonts w:ascii="Times New Roman" w:eastAsia="Calibri" w:hAnsi="Times New Roman" w:cs="Times New Roman"/>
                <w:b/>
                <w:bCs/>
                <w:sz w:val="24"/>
                <w:szCs w:val="24"/>
              </w:rPr>
              <w:t>p</w:t>
            </w:r>
          </w:p>
        </w:tc>
      </w:tr>
      <w:tr w:rsidR="00537868" w:rsidRPr="0087218F" w14:paraId="2CF60A1D" w14:textId="77777777" w:rsidTr="00537868">
        <w:trPr>
          <w:jc w:val="center"/>
        </w:trPr>
        <w:tc>
          <w:tcPr>
            <w:tcW w:w="4225" w:type="dxa"/>
            <w:tcBorders>
              <w:top w:val="single" w:sz="4" w:space="0" w:color="auto"/>
            </w:tcBorders>
          </w:tcPr>
          <w:p w14:paraId="26A14F20" w14:textId="77777777" w:rsidR="00537868" w:rsidRPr="0087218F" w:rsidRDefault="00537868" w:rsidP="00B173A2">
            <w:pPr>
              <w:spacing w:after="0" w:line="240" w:lineRule="auto"/>
              <w:rPr>
                <w:rFonts w:ascii="Times New Roman" w:eastAsia="Calibri" w:hAnsi="Times New Roman" w:cs="Times New Roman"/>
                <w:color w:val="000000"/>
                <w:sz w:val="24"/>
                <w:szCs w:val="24"/>
              </w:rPr>
            </w:pPr>
            <w:r w:rsidRPr="00300DD7">
              <w:rPr>
                <w:rFonts w:asciiTheme="majorBidi" w:hAnsiTheme="majorBidi" w:cstheme="majorBidi"/>
                <w:sz w:val="24"/>
                <w:szCs w:val="24"/>
              </w:rPr>
              <w:t>WBC</w:t>
            </w:r>
          </w:p>
        </w:tc>
        <w:tc>
          <w:tcPr>
            <w:tcW w:w="1810" w:type="dxa"/>
            <w:tcBorders>
              <w:top w:val="single" w:sz="4" w:space="0" w:color="auto"/>
            </w:tcBorders>
          </w:tcPr>
          <w:p w14:paraId="1565573B"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-0.842</w:t>
            </w:r>
          </w:p>
        </w:tc>
        <w:tc>
          <w:tcPr>
            <w:tcW w:w="1260" w:type="dxa"/>
            <w:tcBorders>
              <w:top w:val="single" w:sz="4" w:space="0" w:color="auto"/>
            </w:tcBorders>
          </w:tcPr>
          <w:p w14:paraId="6BD03109"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sidRPr="002B45FF">
              <w:rPr>
                <w:rFonts w:ascii="Times New Roman" w:hAnsi="Times New Roman" w:cs="Times New Roman"/>
                <w:sz w:val="24"/>
                <w:szCs w:val="24"/>
              </w:rPr>
              <w:t>˂0.001*</w:t>
            </w:r>
          </w:p>
        </w:tc>
      </w:tr>
      <w:tr w:rsidR="00537868" w:rsidRPr="0087218F" w14:paraId="3A8E315D" w14:textId="77777777" w:rsidTr="00537868">
        <w:trPr>
          <w:trHeight w:val="350"/>
          <w:jc w:val="center"/>
        </w:trPr>
        <w:tc>
          <w:tcPr>
            <w:tcW w:w="4225" w:type="dxa"/>
          </w:tcPr>
          <w:p w14:paraId="75EEC2B0" w14:textId="77777777" w:rsidR="00537868" w:rsidRPr="0087218F" w:rsidRDefault="00537868" w:rsidP="00B173A2">
            <w:pPr>
              <w:spacing w:after="0" w:line="240" w:lineRule="auto"/>
              <w:rPr>
                <w:rFonts w:ascii="Times New Roman" w:eastAsia="Calibri" w:hAnsi="Times New Roman" w:cs="Times New Roman"/>
                <w:color w:val="000000"/>
                <w:sz w:val="24"/>
                <w:szCs w:val="24"/>
              </w:rPr>
            </w:pPr>
            <w:bookmarkStart w:id="33" w:name="_Hlk125500982"/>
            <w:r w:rsidRPr="00DE3E8F">
              <w:rPr>
                <w:rFonts w:asciiTheme="majorBidi" w:hAnsiTheme="majorBidi" w:cstheme="majorBidi"/>
                <w:sz w:val="24"/>
                <w:szCs w:val="24"/>
              </w:rPr>
              <w:t xml:space="preserve">ALC </w:t>
            </w:r>
            <w:bookmarkEnd w:id="33"/>
          </w:p>
        </w:tc>
        <w:tc>
          <w:tcPr>
            <w:tcW w:w="1810" w:type="dxa"/>
          </w:tcPr>
          <w:p w14:paraId="63AFD711"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-0.820</w:t>
            </w:r>
          </w:p>
        </w:tc>
        <w:tc>
          <w:tcPr>
            <w:tcW w:w="1260" w:type="dxa"/>
          </w:tcPr>
          <w:p w14:paraId="6BDA8E33"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sidRPr="00AF435D">
              <w:rPr>
                <w:rFonts w:ascii="Times New Roman" w:hAnsi="Times New Roman" w:cs="Times New Roman"/>
                <w:sz w:val="24"/>
                <w:szCs w:val="24"/>
              </w:rPr>
              <w:t>˂0.001*</w:t>
            </w:r>
          </w:p>
        </w:tc>
      </w:tr>
      <w:tr w:rsidR="00537868" w:rsidRPr="0087218F" w14:paraId="2F08B577" w14:textId="77777777" w:rsidTr="00537868">
        <w:trPr>
          <w:jc w:val="center"/>
        </w:trPr>
        <w:tc>
          <w:tcPr>
            <w:tcW w:w="4225" w:type="dxa"/>
          </w:tcPr>
          <w:p w14:paraId="7C0899EB" w14:textId="77777777" w:rsidR="00537868" w:rsidRPr="0087218F" w:rsidRDefault="00537868" w:rsidP="00B173A2">
            <w:pPr>
              <w:spacing w:after="0" w:line="240" w:lineRule="auto"/>
              <w:rPr>
                <w:rFonts w:ascii="Times New Roman" w:eastAsia="Calibri" w:hAnsi="Times New Roman" w:cs="Times New Roman"/>
                <w:sz w:val="24"/>
                <w:szCs w:val="24"/>
              </w:rPr>
            </w:pPr>
            <w:r w:rsidRPr="002B45FF">
              <w:rPr>
                <w:rFonts w:ascii="Times New Roman" w:hAnsi="Times New Roman" w:cs="Times New Roman"/>
                <w:sz w:val="24"/>
                <w:szCs w:val="24"/>
              </w:rPr>
              <w:t xml:space="preserve">Hemoglobin </w:t>
            </w:r>
          </w:p>
        </w:tc>
        <w:tc>
          <w:tcPr>
            <w:tcW w:w="1810" w:type="dxa"/>
          </w:tcPr>
          <w:p w14:paraId="7105C41B"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0.723</w:t>
            </w:r>
          </w:p>
        </w:tc>
        <w:tc>
          <w:tcPr>
            <w:tcW w:w="1260" w:type="dxa"/>
          </w:tcPr>
          <w:p w14:paraId="054123D7"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sidRPr="002B45FF">
              <w:rPr>
                <w:rFonts w:ascii="Times New Roman" w:hAnsi="Times New Roman" w:cs="Times New Roman"/>
                <w:sz w:val="24"/>
                <w:szCs w:val="24"/>
              </w:rPr>
              <w:t>˂0.001*</w:t>
            </w:r>
          </w:p>
        </w:tc>
      </w:tr>
      <w:tr w:rsidR="00537868" w:rsidRPr="0087218F" w14:paraId="1B41DE34" w14:textId="77777777" w:rsidTr="00537868">
        <w:trPr>
          <w:jc w:val="center"/>
        </w:trPr>
        <w:tc>
          <w:tcPr>
            <w:tcW w:w="4225" w:type="dxa"/>
          </w:tcPr>
          <w:p w14:paraId="7C265F35" w14:textId="77777777" w:rsidR="00537868" w:rsidRPr="0087218F" w:rsidRDefault="00537868" w:rsidP="00B173A2">
            <w:pPr>
              <w:spacing w:after="0" w:line="240" w:lineRule="auto"/>
              <w:rPr>
                <w:rFonts w:ascii="Times New Roman" w:eastAsia="Calibri" w:hAnsi="Times New Roman" w:cs="Times New Roman"/>
                <w:sz w:val="24"/>
                <w:szCs w:val="24"/>
              </w:rPr>
            </w:pPr>
            <w:r w:rsidRPr="009E2250">
              <w:rPr>
                <w:rFonts w:asciiTheme="majorBidi" w:hAnsiTheme="majorBidi" w:cstheme="majorBidi"/>
                <w:sz w:val="24"/>
                <w:szCs w:val="24"/>
              </w:rPr>
              <w:t>Platelets</w:t>
            </w:r>
            <w:r w:rsidRPr="00DE3E8F">
              <w:rPr>
                <w:rFonts w:asciiTheme="majorBidi" w:hAnsiTheme="majorBidi" w:cstheme="majorBidi"/>
                <w:sz w:val="24"/>
                <w:szCs w:val="24"/>
              </w:rPr>
              <w:t xml:space="preserve"> </w:t>
            </w:r>
          </w:p>
        </w:tc>
        <w:tc>
          <w:tcPr>
            <w:tcW w:w="1810" w:type="dxa"/>
          </w:tcPr>
          <w:p w14:paraId="671F714F"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0.446</w:t>
            </w:r>
          </w:p>
        </w:tc>
        <w:tc>
          <w:tcPr>
            <w:tcW w:w="1260" w:type="dxa"/>
          </w:tcPr>
          <w:p w14:paraId="3C4AC3AF"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sidRPr="00AF435D">
              <w:rPr>
                <w:rFonts w:ascii="Times New Roman" w:hAnsi="Times New Roman" w:cs="Times New Roman"/>
                <w:sz w:val="24"/>
                <w:szCs w:val="24"/>
              </w:rPr>
              <w:t>˂0.001*</w:t>
            </w:r>
          </w:p>
        </w:tc>
      </w:tr>
      <w:tr w:rsidR="00537868" w:rsidRPr="0087218F" w14:paraId="204C3418" w14:textId="77777777" w:rsidTr="00537868">
        <w:trPr>
          <w:trHeight w:val="224"/>
          <w:jc w:val="center"/>
        </w:trPr>
        <w:tc>
          <w:tcPr>
            <w:tcW w:w="4225" w:type="dxa"/>
          </w:tcPr>
          <w:p w14:paraId="48F62B42" w14:textId="77777777" w:rsidR="00537868" w:rsidRPr="0087218F" w:rsidRDefault="00537868" w:rsidP="00B173A2">
            <w:pPr>
              <w:spacing w:after="0" w:line="240" w:lineRule="auto"/>
              <w:rPr>
                <w:rFonts w:ascii="Times New Roman" w:eastAsia="Calibri" w:hAnsi="Times New Roman" w:cs="Times New Roman"/>
                <w:sz w:val="24"/>
                <w:szCs w:val="24"/>
              </w:rPr>
            </w:pPr>
            <w:r w:rsidRPr="002B45FF">
              <w:rPr>
                <w:rFonts w:ascii="Times New Roman" w:hAnsi="Times New Roman" w:cs="Times New Roman"/>
                <w:sz w:val="24"/>
                <w:szCs w:val="24"/>
              </w:rPr>
              <w:t xml:space="preserve">AST </w:t>
            </w:r>
          </w:p>
        </w:tc>
        <w:tc>
          <w:tcPr>
            <w:tcW w:w="1810" w:type="dxa"/>
          </w:tcPr>
          <w:p w14:paraId="26E66FED"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-0.138</w:t>
            </w:r>
          </w:p>
        </w:tc>
        <w:tc>
          <w:tcPr>
            <w:tcW w:w="1260" w:type="dxa"/>
          </w:tcPr>
          <w:p w14:paraId="71608E9E" w14:textId="77777777" w:rsidR="00537868" w:rsidRPr="0087218F" w:rsidRDefault="00537868" w:rsidP="00B173A2">
            <w:pPr>
              <w:spacing w:after="200" w:line="240" w:lineRule="auto"/>
              <w:jc w:val="center"/>
              <w:rPr>
                <w:rFonts w:ascii="Times New Roman" w:eastAsia="Calibri" w:hAnsi="Times New Roman" w:cs="Times New Roman"/>
                <w:sz w:val="24"/>
                <w:szCs w:val="24"/>
              </w:rPr>
            </w:pPr>
            <w:r>
              <w:rPr>
                <w:rFonts w:ascii="Times New Roman" w:hAnsi="Times New Roman" w:cs="Times New Roman"/>
                <w:sz w:val="24"/>
                <w:szCs w:val="24"/>
              </w:rPr>
              <w:t>0.341</w:t>
            </w:r>
          </w:p>
        </w:tc>
      </w:tr>
      <w:tr w:rsidR="00537868" w:rsidRPr="0087218F" w14:paraId="01FC500C" w14:textId="77777777" w:rsidTr="00537868">
        <w:trPr>
          <w:trHeight w:val="170"/>
          <w:jc w:val="center"/>
        </w:trPr>
        <w:tc>
          <w:tcPr>
            <w:tcW w:w="4225" w:type="dxa"/>
          </w:tcPr>
          <w:p w14:paraId="26773764" w14:textId="77777777" w:rsidR="00537868" w:rsidRPr="0087218F" w:rsidRDefault="00537868" w:rsidP="00B173A2">
            <w:pPr>
              <w:spacing w:after="0" w:line="240" w:lineRule="auto"/>
              <w:rPr>
                <w:rFonts w:ascii="Times New Roman" w:eastAsia="Calibri" w:hAnsi="Times New Roman" w:cs="Times New Roman"/>
                <w:sz w:val="24"/>
                <w:szCs w:val="24"/>
              </w:rPr>
            </w:pPr>
            <w:r w:rsidRPr="002B45FF">
              <w:rPr>
                <w:rFonts w:ascii="Times New Roman" w:hAnsi="Times New Roman" w:cs="Times New Roman"/>
                <w:sz w:val="24"/>
                <w:szCs w:val="24"/>
              </w:rPr>
              <w:t>ALT</w:t>
            </w:r>
          </w:p>
        </w:tc>
        <w:tc>
          <w:tcPr>
            <w:tcW w:w="1810" w:type="dxa"/>
          </w:tcPr>
          <w:p w14:paraId="4694B36C"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-0.162</w:t>
            </w:r>
          </w:p>
        </w:tc>
        <w:tc>
          <w:tcPr>
            <w:tcW w:w="1260" w:type="dxa"/>
          </w:tcPr>
          <w:p w14:paraId="51B403A2" w14:textId="77777777" w:rsidR="00537868" w:rsidRPr="0087218F" w:rsidRDefault="00537868" w:rsidP="00B173A2">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0.260</w:t>
            </w:r>
          </w:p>
        </w:tc>
      </w:tr>
      <w:tr w:rsidR="00537868" w:rsidRPr="0087218F" w14:paraId="0DE9E06D" w14:textId="77777777" w:rsidTr="00537868">
        <w:trPr>
          <w:jc w:val="center"/>
        </w:trPr>
        <w:tc>
          <w:tcPr>
            <w:tcW w:w="4225" w:type="dxa"/>
          </w:tcPr>
          <w:p w14:paraId="479788F1" w14:textId="77777777" w:rsidR="00537868" w:rsidRPr="0087218F" w:rsidRDefault="00537868" w:rsidP="00B173A2">
            <w:pPr>
              <w:spacing w:after="0" w:line="240" w:lineRule="auto"/>
              <w:rPr>
                <w:rFonts w:ascii="Times New Roman" w:eastAsia="Calibri" w:hAnsi="Times New Roman" w:cs="Times New Roman"/>
                <w:sz w:val="24"/>
                <w:szCs w:val="24"/>
              </w:rPr>
            </w:pPr>
            <w:r w:rsidRPr="002B45FF">
              <w:rPr>
                <w:rFonts w:ascii="Times New Roman" w:eastAsia="AdvGulliv-R" w:hAnsi="Times New Roman" w:cs="Times New Roman"/>
                <w:sz w:val="24"/>
                <w:szCs w:val="24"/>
              </w:rPr>
              <w:t>Total bilirubin</w:t>
            </w:r>
            <w:r w:rsidRPr="002B45FF">
              <w:rPr>
                <w:rFonts w:ascii="Times New Roman" w:hAnsi="Times New Roman" w:cs="Times New Roman"/>
                <w:sz w:val="24"/>
                <w:szCs w:val="24"/>
              </w:rPr>
              <w:t xml:space="preserve"> </w:t>
            </w:r>
          </w:p>
        </w:tc>
        <w:tc>
          <w:tcPr>
            <w:tcW w:w="1810" w:type="dxa"/>
          </w:tcPr>
          <w:p w14:paraId="1B6D6251"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-0.179</w:t>
            </w:r>
          </w:p>
        </w:tc>
        <w:tc>
          <w:tcPr>
            <w:tcW w:w="1260" w:type="dxa"/>
          </w:tcPr>
          <w:p w14:paraId="4E6182F5"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0.213</w:t>
            </w:r>
          </w:p>
        </w:tc>
      </w:tr>
      <w:tr w:rsidR="00537868" w:rsidRPr="0087218F" w14:paraId="08C21B51" w14:textId="77777777" w:rsidTr="00537868">
        <w:trPr>
          <w:jc w:val="center"/>
        </w:trPr>
        <w:tc>
          <w:tcPr>
            <w:tcW w:w="4225" w:type="dxa"/>
          </w:tcPr>
          <w:p w14:paraId="60536CE5" w14:textId="77777777" w:rsidR="00537868" w:rsidRPr="0087218F" w:rsidRDefault="00537868" w:rsidP="00B173A2">
            <w:pPr>
              <w:spacing w:after="0" w:line="240" w:lineRule="auto"/>
              <w:rPr>
                <w:rFonts w:ascii="Times New Roman" w:eastAsia="Calibri" w:hAnsi="Times New Roman" w:cs="Times New Roman"/>
                <w:sz w:val="24"/>
                <w:szCs w:val="24"/>
              </w:rPr>
            </w:pPr>
            <w:r w:rsidRPr="001C021C">
              <w:rPr>
                <w:rFonts w:asciiTheme="majorBidi" w:hAnsiTheme="majorBidi" w:cstheme="majorBidi"/>
                <w:sz w:val="24"/>
                <w:szCs w:val="24"/>
              </w:rPr>
              <w:t xml:space="preserve">Albumin </w:t>
            </w:r>
          </w:p>
        </w:tc>
        <w:tc>
          <w:tcPr>
            <w:tcW w:w="1810" w:type="dxa"/>
          </w:tcPr>
          <w:p w14:paraId="7B8568FA"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0.158</w:t>
            </w:r>
          </w:p>
        </w:tc>
        <w:tc>
          <w:tcPr>
            <w:tcW w:w="1260" w:type="dxa"/>
          </w:tcPr>
          <w:p w14:paraId="48192C37"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0.274</w:t>
            </w:r>
          </w:p>
        </w:tc>
      </w:tr>
      <w:tr w:rsidR="00537868" w:rsidRPr="0087218F" w14:paraId="06D41C0C" w14:textId="77777777" w:rsidTr="00537868">
        <w:trPr>
          <w:jc w:val="center"/>
        </w:trPr>
        <w:tc>
          <w:tcPr>
            <w:tcW w:w="4225" w:type="dxa"/>
          </w:tcPr>
          <w:p w14:paraId="199EA408" w14:textId="77777777" w:rsidR="00537868" w:rsidRPr="0087218F" w:rsidRDefault="00537868" w:rsidP="00B173A2">
            <w:pPr>
              <w:spacing w:after="0" w:line="240" w:lineRule="auto"/>
              <w:rPr>
                <w:rFonts w:ascii="Times New Roman" w:eastAsia="Calibri" w:hAnsi="Times New Roman" w:cs="Times New Roman"/>
                <w:sz w:val="24"/>
                <w:szCs w:val="24"/>
              </w:rPr>
            </w:pPr>
            <w:r w:rsidRPr="002B45FF">
              <w:rPr>
                <w:rFonts w:ascii="Times New Roman" w:hAnsi="Times New Roman" w:cs="Times New Roman"/>
                <w:sz w:val="24"/>
                <w:szCs w:val="24"/>
              </w:rPr>
              <w:t xml:space="preserve">S. creatinine </w:t>
            </w:r>
          </w:p>
        </w:tc>
        <w:tc>
          <w:tcPr>
            <w:tcW w:w="1810" w:type="dxa"/>
          </w:tcPr>
          <w:p w14:paraId="760783D2"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0.076</w:t>
            </w:r>
          </w:p>
        </w:tc>
        <w:tc>
          <w:tcPr>
            <w:tcW w:w="1260" w:type="dxa"/>
          </w:tcPr>
          <w:p w14:paraId="195902FB"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0.599</w:t>
            </w:r>
          </w:p>
        </w:tc>
      </w:tr>
      <w:tr w:rsidR="00537868" w:rsidRPr="0087218F" w14:paraId="071E2F48" w14:textId="77777777" w:rsidTr="00537868">
        <w:trPr>
          <w:jc w:val="center"/>
        </w:trPr>
        <w:tc>
          <w:tcPr>
            <w:tcW w:w="4225" w:type="dxa"/>
          </w:tcPr>
          <w:p w14:paraId="1244A911" w14:textId="34747811" w:rsidR="00537868" w:rsidRPr="0087218F" w:rsidRDefault="00213F8F" w:rsidP="00B173A2">
            <w:pPr>
              <w:spacing w:after="0" w:line="240" w:lineRule="auto"/>
              <w:rPr>
                <w:rFonts w:ascii="Times New Roman" w:eastAsia="Calibri" w:hAnsi="Times New Roman" w:cs="Times New Roman"/>
                <w:sz w:val="24"/>
                <w:szCs w:val="24"/>
              </w:rPr>
            </w:pPr>
            <w:r>
              <w:rPr>
                <w:rFonts w:ascii="Times New Roman" w:hAnsi="Times New Roman" w:cs="Times New Roman"/>
                <w:color w:val="231F20"/>
                <w:sz w:val="24"/>
                <w:szCs w:val="24"/>
              </w:rPr>
              <w:t>Alpha-fetoprotein</w:t>
            </w:r>
          </w:p>
        </w:tc>
        <w:tc>
          <w:tcPr>
            <w:tcW w:w="1810" w:type="dxa"/>
          </w:tcPr>
          <w:p w14:paraId="6F16A732" w14:textId="77777777" w:rsidR="00537868" w:rsidRDefault="00537868" w:rsidP="00B173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-0.098</w:t>
            </w:r>
          </w:p>
        </w:tc>
        <w:tc>
          <w:tcPr>
            <w:tcW w:w="1260" w:type="dxa"/>
          </w:tcPr>
          <w:p w14:paraId="531927F1" w14:textId="77777777" w:rsidR="00537868" w:rsidRPr="002B45FF" w:rsidRDefault="00537868" w:rsidP="00B173A2">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0.374</w:t>
            </w:r>
          </w:p>
        </w:tc>
      </w:tr>
      <w:tr w:rsidR="00537868" w:rsidRPr="0087218F" w14:paraId="625551CE" w14:textId="77777777" w:rsidTr="00537868">
        <w:trPr>
          <w:jc w:val="center"/>
        </w:trPr>
        <w:tc>
          <w:tcPr>
            <w:tcW w:w="4225" w:type="dxa"/>
          </w:tcPr>
          <w:p w14:paraId="2C0891C2" w14:textId="77777777" w:rsidR="00537868" w:rsidRPr="0087218F" w:rsidRDefault="00537868" w:rsidP="00B173A2">
            <w:pPr>
              <w:spacing w:after="0" w:line="240" w:lineRule="auto"/>
              <w:rPr>
                <w:rFonts w:ascii="Times New Roman" w:eastAsia="Calibri" w:hAnsi="Times New Roman" w:cs="Times New Roman"/>
                <w:sz w:val="24"/>
                <w:szCs w:val="24"/>
              </w:rPr>
            </w:pPr>
            <w:r w:rsidRPr="002B45FF">
              <w:rPr>
                <w:rFonts w:asciiTheme="majorBidi" w:hAnsiTheme="majorBidi" w:cstheme="majorBidi"/>
                <w:sz w:val="24"/>
                <w:szCs w:val="24"/>
              </w:rPr>
              <w:t>LDH</w:t>
            </w:r>
          </w:p>
        </w:tc>
        <w:tc>
          <w:tcPr>
            <w:tcW w:w="1810" w:type="dxa"/>
          </w:tcPr>
          <w:p w14:paraId="5FCC8695"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-0.528</w:t>
            </w:r>
          </w:p>
        </w:tc>
        <w:tc>
          <w:tcPr>
            <w:tcW w:w="1260" w:type="dxa"/>
          </w:tcPr>
          <w:p w14:paraId="4453EA6E" w14:textId="77777777" w:rsidR="00537868" w:rsidRPr="0087218F" w:rsidRDefault="00537868" w:rsidP="00B173A2">
            <w:pPr>
              <w:spacing w:after="0" w:line="240" w:lineRule="auto"/>
              <w:jc w:val="center"/>
              <w:rPr>
                <w:rFonts w:ascii="Times New Roman" w:eastAsia="Calibri" w:hAnsi="Times New Roman" w:cs="Times New Roman"/>
                <w:sz w:val="24"/>
                <w:szCs w:val="24"/>
              </w:rPr>
            </w:pPr>
            <w:r w:rsidRPr="002B45FF">
              <w:rPr>
                <w:rFonts w:ascii="Times New Roman" w:hAnsi="Times New Roman" w:cs="Times New Roman"/>
                <w:sz w:val="24"/>
                <w:szCs w:val="24"/>
              </w:rPr>
              <w:t>˂0.001*</w:t>
            </w:r>
          </w:p>
        </w:tc>
      </w:tr>
      <w:tr w:rsidR="00537868" w:rsidRPr="0087218F" w14:paraId="44340A6A" w14:textId="77777777" w:rsidTr="00537868">
        <w:trPr>
          <w:jc w:val="center"/>
        </w:trPr>
        <w:tc>
          <w:tcPr>
            <w:tcW w:w="4225" w:type="dxa"/>
          </w:tcPr>
          <w:p w14:paraId="7E302F7D" w14:textId="77777777" w:rsidR="00537868" w:rsidRPr="002B45FF" w:rsidRDefault="00537868" w:rsidP="00B173A2">
            <w:pPr>
              <w:spacing w:after="0" w:line="240" w:lineRule="auto"/>
              <w:rPr>
                <w:rFonts w:asciiTheme="majorBidi" w:hAnsiTheme="majorBidi" w:cstheme="majorBidi"/>
                <w:sz w:val="24"/>
                <w:szCs w:val="24"/>
              </w:rPr>
            </w:pPr>
            <w:bookmarkStart w:id="34" w:name="_Hlk125501038"/>
            <w:r w:rsidRPr="00521237">
              <w:rPr>
                <w:rFonts w:asciiTheme="majorBidi" w:hAnsiTheme="majorBidi" w:cstheme="majorBidi"/>
                <w:sz w:val="24"/>
                <w:szCs w:val="24"/>
              </w:rPr>
              <w:t>Serum β2M</w:t>
            </w:r>
          </w:p>
        </w:tc>
        <w:tc>
          <w:tcPr>
            <w:tcW w:w="1810" w:type="dxa"/>
          </w:tcPr>
          <w:p w14:paraId="199ABE95" w14:textId="77777777" w:rsidR="00537868" w:rsidRDefault="00537868" w:rsidP="00B173A2">
            <w:pPr>
              <w:spacing w:after="0" w:line="240" w:lineRule="auto"/>
              <w:jc w:val="center"/>
              <w:rPr>
                <w:rFonts w:ascii="Times New Roman" w:eastAsia="Calibri" w:hAnsi="Times New Roman" w:cs="Times New Roman"/>
                <w:sz w:val="24"/>
                <w:szCs w:val="24"/>
              </w:rPr>
            </w:pPr>
            <w:r w:rsidRPr="003E4977">
              <w:t>-0.</w:t>
            </w:r>
            <w:r>
              <w:t>47</w:t>
            </w:r>
            <w:r w:rsidRPr="003E4977">
              <w:t>8</w:t>
            </w:r>
          </w:p>
        </w:tc>
        <w:tc>
          <w:tcPr>
            <w:tcW w:w="1260" w:type="dxa"/>
          </w:tcPr>
          <w:p w14:paraId="608E0A75" w14:textId="77777777" w:rsidR="00537868" w:rsidRPr="002B45FF" w:rsidRDefault="00537868" w:rsidP="00B173A2">
            <w:pPr>
              <w:spacing w:after="0" w:line="240" w:lineRule="auto"/>
              <w:jc w:val="center"/>
              <w:rPr>
                <w:rFonts w:ascii="Times New Roman" w:hAnsi="Times New Roman" w:cs="Times New Roman"/>
                <w:sz w:val="24"/>
                <w:szCs w:val="24"/>
              </w:rPr>
            </w:pPr>
            <w:r w:rsidRPr="003E4977">
              <w:t>˂0.001*</w:t>
            </w:r>
          </w:p>
        </w:tc>
      </w:tr>
      <w:tr w:rsidR="00537868" w:rsidRPr="0087218F" w14:paraId="4C6F676E" w14:textId="77777777" w:rsidTr="00537868">
        <w:trPr>
          <w:jc w:val="center"/>
        </w:trPr>
        <w:tc>
          <w:tcPr>
            <w:tcW w:w="4225" w:type="dxa"/>
          </w:tcPr>
          <w:p w14:paraId="1B804B2B" w14:textId="77777777" w:rsidR="00537868" w:rsidRPr="00093213" w:rsidRDefault="00537868" w:rsidP="00B173A2">
            <w:pPr>
              <w:rPr>
                <w:rFonts w:ascii="Times New Roman" w:eastAsia="Calibri" w:hAnsi="Times New Roman" w:cs="Times New Roman"/>
                <w:sz w:val="24"/>
                <w:szCs w:val="24"/>
              </w:rPr>
            </w:pPr>
            <w:r w:rsidRPr="00093213">
              <w:rPr>
                <w:rFonts w:asciiTheme="majorBidi" w:hAnsiTheme="majorBidi" w:cstheme="majorBidi"/>
                <w:sz w:val="24"/>
                <w:szCs w:val="24"/>
              </w:rPr>
              <w:t>ZAP-70%</w:t>
            </w:r>
          </w:p>
        </w:tc>
        <w:tc>
          <w:tcPr>
            <w:tcW w:w="1810" w:type="dxa"/>
          </w:tcPr>
          <w:p w14:paraId="23D06F1D" w14:textId="77777777" w:rsidR="00537868" w:rsidRDefault="00537868" w:rsidP="00B173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-0.384</w:t>
            </w:r>
          </w:p>
        </w:tc>
        <w:tc>
          <w:tcPr>
            <w:tcW w:w="1260" w:type="dxa"/>
          </w:tcPr>
          <w:p w14:paraId="0E4371BF" w14:textId="77777777" w:rsidR="00537868" w:rsidRDefault="00537868" w:rsidP="00B173A2">
            <w:pPr>
              <w:spacing w:after="0" w:line="240" w:lineRule="auto"/>
              <w:jc w:val="center"/>
              <w:rPr>
                <w:rFonts w:ascii="Times New Roman" w:eastAsia="Calibri" w:hAnsi="Times New Roman" w:cs="Times New Roman"/>
                <w:sz w:val="24"/>
                <w:szCs w:val="24"/>
              </w:rPr>
            </w:pPr>
            <w:r w:rsidRPr="002B45FF">
              <w:rPr>
                <w:rFonts w:ascii="Times New Roman" w:hAnsi="Times New Roman" w:cs="Times New Roman"/>
                <w:sz w:val="24"/>
                <w:szCs w:val="24"/>
              </w:rPr>
              <w:t>˂0.001*</w:t>
            </w:r>
          </w:p>
        </w:tc>
      </w:tr>
      <w:tr w:rsidR="00537868" w:rsidRPr="0087218F" w14:paraId="16687578" w14:textId="77777777" w:rsidTr="00537868">
        <w:trPr>
          <w:jc w:val="center"/>
        </w:trPr>
        <w:tc>
          <w:tcPr>
            <w:tcW w:w="4225" w:type="dxa"/>
          </w:tcPr>
          <w:p w14:paraId="68DFC5E5" w14:textId="77777777" w:rsidR="00537868" w:rsidRPr="00093213" w:rsidRDefault="00537868" w:rsidP="00B173A2">
            <w:pPr>
              <w:rPr>
                <w:rFonts w:ascii="Times New Roman" w:eastAsia="Calibri" w:hAnsi="Times New Roman" w:cs="Times New Roman"/>
                <w:sz w:val="24"/>
                <w:szCs w:val="24"/>
              </w:rPr>
            </w:pPr>
            <w:r w:rsidRPr="00093213">
              <w:rPr>
                <w:rFonts w:asciiTheme="majorBidi" w:hAnsiTheme="majorBidi" w:cstheme="majorBidi"/>
                <w:sz w:val="24"/>
                <w:szCs w:val="24"/>
              </w:rPr>
              <w:t>CD38%</w:t>
            </w:r>
          </w:p>
        </w:tc>
        <w:tc>
          <w:tcPr>
            <w:tcW w:w="1810" w:type="dxa"/>
          </w:tcPr>
          <w:p w14:paraId="6BB7C159" w14:textId="77777777" w:rsidR="00537868" w:rsidRDefault="00537868" w:rsidP="00B173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-0.503</w:t>
            </w:r>
          </w:p>
        </w:tc>
        <w:tc>
          <w:tcPr>
            <w:tcW w:w="1260" w:type="dxa"/>
          </w:tcPr>
          <w:p w14:paraId="03816766" w14:textId="77777777" w:rsidR="00537868" w:rsidRDefault="00537868" w:rsidP="00B173A2">
            <w:pPr>
              <w:spacing w:after="0" w:line="240" w:lineRule="auto"/>
              <w:jc w:val="center"/>
              <w:rPr>
                <w:rFonts w:ascii="Times New Roman" w:eastAsia="Calibri" w:hAnsi="Times New Roman" w:cs="Times New Roman"/>
                <w:sz w:val="24"/>
                <w:szCs w:val="24"/>
              </w:rPr>
            </w:pPr>
            <w:r w:rsidRPr="00AF435D">
              <w:rPr>
                <w:rFonts w:ascii="Times New Roman" w:hAnsi="Times New Roman" w:cs="Times New Roman"/>
                <w:sz w:val="24"/>
                <w:szCs w:val="24"/>
              </w:rPr>
              <w:t>˂0.001*</w:t>
            </w:r>
          </w:p>
        </w:tc>
      </w:tr>
      <w:tr w:rsidR="00537868" w:rsidRPr="0087218F" w14:paraId="3315075D" w14:textId="77777777" w:rsidTr="00537868">
        <w:trPr>
          <w:jc w:val="center"/>
        </w:trPr>
        <w:tc>
          <w:tcPr>
            <w:tcW w:w="4225" w:type="dxa"/>
            <w:tcBorders>
              <w:bottom w:val="single" w:sz="4" w:space="0" w:color="auto"/>
            </w:tcBorders>
          </w:tcPr>
          <w:p w14:paraId="406F4606" w14:textId="77777777" w:rsidR="00537868" w:rsidRPr="00093213" w:rsidRDefault="00537868" w:rsidP="00B173A2">
            <w:pPr>
              <w:rPr>
                <w:rFonts w:asciiTheme="majorBidi" w:hAnsiTheme="majorBidi" w:cstheme="majorBidi"/>
                <w:sz w:val="24"/>
                <w:szCs w:val="24"/>
              </w:rPr>
            </w:pPr>
            <w:r w:rsidRPr="007E7F42">
              <w:rPr>
                <w:rFonts w:asciiTheme="majorBidi" w:hAnsiTheme="majorBidi" w:cstheme="majorBidi"/>
                <w:sz w:val="24"/>
                <w:szCs w:val="24"/>
              </w:rPr>
              <w:t>17p del/ p53 mutation</w:t>
            </w:r>
          </w:p>
        </w:tc>
        <w:tc>
          <w:tcPr>
            <w:tcW w:w="1810" w:type="dxa"/>
            <w:tcBorders>
              <w:bottom w:val="single" w:sz="4" w:space="0" w:color="auto"/>
            </w:tcBorders>
          </w:tcPr>
          <w:p w14:paraId="07DE2E52" w14:textId="77777777" w:rsidR="00537868" w:rsidRDefault="00537868" w:rsidP="00B173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-0.276</w:t>
            </w:r>
          </w:p>
        </w:tc>
        <w:tc>
          <w:tcPr>
            <w:tcW w:w="1260" w:type="dxa"/>
            <w:tcBorders>
              <w:bottom w:val="single" w:sz="4" w:space="0" w:color="auto"/>
            </w:tcBorders>
          </w:tcPr>
          <w:p w14:paraId="71A3C6F8" w14:textId="77777777" w:rsidR="00537868" w:rsidRPr="00AF435D" w:rsidRDefault="00537868" w:rsidP="00B173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0.182</w:t>
            </w:r>
          </w:p>
        </w:tc>
      </w:tr>
      <w:bookmarkEnd w:id="34"/>
    </w:tbl>
    <w:p w14:paraId="5DF87F39" w14:textId="77777777" w:rsidR="00537868" w:rsidRDefault="00537868" w:rsidP="00E30642">
      <w:pPr>
        <w:spacing w:after="0" w:line="360" w:lineRule="auto"/>
        <w:ind w:hanging="90"/>
        <w:jc w:val="both"/>
        <w:rPr>
          <w:rFonts w:asciiTheme="majorBidi" w:eastAsia="Calibri" w:hAnsiTheme="majorBidi" w:cstheme="majorBidi"/>
          <w:b/>
          <w:bCs/>
          <w:sz w:val="24"/>
          <w:szCs w:val="24"/>
        </w:rPr>
      </w:pPr>
    </w:p>
    <w:p w14:paraId="3F2B785B" w14:textId="61A6FB03" w:rsidR="003E28DC" w:rsidRPr="00E30642" w:rsidRDefault="00871AC8" w:rsidP="00E30642">
      <w:pPr>
        <w:spacing w:after="0" w:line="360" w:lineRule="auto"/>
        <w:ind w:hanging="90"/>
        <w:jc w:val="both"/>
        <w:rPr>
          <w:rFonts w:asciiTheme="majorBidi" w:eastAsia="Calibri" w:hAnsiTheme="majorBidi" w:cstheme="majorBidi"/>
          <w:b/>
          <w:bCs/>
          <w:sz w:val="24"/>
          <w:szCs w:val="24"/>
        </w:rPr>
      </w:pPr>
      <w:r w:rsidRPr="00E30642">
        <w:rPr>
          <w:rFonts w:asciiTheme="majorBidi" w:eastAsia="Calibri" w:hAnsiTheme="majorBidi" w:cstheme="majorBidi"/>
          <w:b/>
          <w:bCs/>
          <w:sz w:val="24"/>
          <w:szCs w:val="24"/>
        </w:rPr>
        <w:t xml:space="preserve">linear regression analysis in the </w:t>
      </w:r>
      <w:r w:rsidR="003D5715" w:rsidRPr="00E30642">
        <w:rPr>
          <w:rFonts w:asciiTheme="majorBidi" w:eastAsia="Calibri" w:hAnsiTheme="majorBidi" w:cstheme="majorBidi"/>
          <w:b/>
          <w:bCs/>
          <w:sz w:val="24"/>
          <w:szCs w:val="24"/>
        </w:rPr>
        <w:t>CLL</w:t>
      </w:r>
      <w:r w:rsidRPr="00E30642">
        <w:rPr>
          <w:rFonts w:asciiTheme="majorBidi" w:eastAsia="Calibri" w:hAnsiTheme="majorBidi" w:cstheme="majorBidi"/>
          <w:b/>
          <w:bCs/>
          <w:sz w:val="24"/>
          <w:szCs w:val="24"/>
        </w:rPr>
        <w:t xml:space="preserve"> group</w:t>
      </w:r>
    </w:p>
    <w:p w14:paraId="01B51ECB" w14:textId="53842433" w:rsidR="003E28DC" w:rsidRDefault="006E18F5" w:rsidP="00E30642">
      <w:pPr>
        <w:autoSpaceDE w:val="0"/>
        <w:autoSpaceDN w:val="0"/>
        <w:adjustRightInd w:val="0"/>
        <w:spacing w:after="0" w:line="36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A</w:t>
      </w:r>
      <w:r w:rsidR="00871AC8" w:rsidRPr="00E30642">
        <w:rPr>
          <w:rFonts w:asciiTheme="majorBidi" w:eastAsia="Calibri" w:hAnsiTheme="majorBidi" w:cstheme="majorBidi"/>
          <w:sz w:val="24"/>
          <w:szCs w:val="24"/>
        </w:rPr>
        <w:t>ccording to the current findings</w:t>
      </w:r>
      <w:r w:rsidR="004149D2">
        <w:rPr>
          <w:rFonts w:asciiTheme="majorBidi" w:eastAsia="Calibri" w:hAnsiTheme="majorBidi" w:cstheme="majorBidi"/>
          <w:sz w:val="24"/>
          <w:szCs w:val="24"/>
        </w:rPr>
        <w:t>,</w:t>
      </w:r>
      <w:r w:rsidR="00871AC8" w:rsidRPr="00E30642">
        <w:rPr>
          <w:rFonts w:asciiTheme="majorBidi" w:eastAsia="Calibri" w:hAnsiTheme="majorBidi" w:cstheme="majorBidi"/>
          <w:sz w:val="24"/>
          <w:szCs w:val="24"/>
        </w:rPr>
        <w:t xml:space="preserve"> the miR-150-5 </w:t>
      </w:r>
      <w:r w:rsidR="00FF385C" w:rsidRPr="00E30642">
        <w:rPr>
          <w:rFonts w:asciiTheme="majorBidi" w:eastAsia="Calibri" w:hAnsiTheme="majorBidi" w:cstheme="majorBidi"/>
          <w:sz w:val="24"/>
          <w:szCs w:val="24"/>
        </w:rPr>
        <w:t>p levels</w:t>
      </w:r>
      <w:r w:rsidR="00871AC8" w:rsidRPr="00E30642">
        <w:rPr>
          <w:rFonts w:asciiTheme="majorBidi" w:eastAsia="Calibri" w:hAnsiTheme="majorBidi" w:cstheme="majorBidi"/>
          <w:sz w:val="24"/>
          <w:szCs w:val="24"/>
        </w:rPr>
        <w:t xml:space="preserve"> had significant correlations with different laboratory </w:t>
      </w:r>
      <w:r w:rsidR="007F1870" w:rsidRPr="00E30642">
        <w:rPr>
          <w:rFonts w:asciiTheme="majorBidi" w:eastAsia="Calibri" w:hAnsiTheme="majorBidi" w:cstheme="majorBidi"/>
          <w:sz w:val="24"/>
          <w:szCs w:val="24"/>
        </w:rPr>
        <w:t>parameters. To</w:t>
      </w:r>
      <w:r w:rsidR="008B76F1" w:rsidRPr="004149D2">
        <w:rPr>
          <w:rFonts w:asciiTheme="majorBidi" w:eastAsia="Calibri" w:hAnsiTheme="majorBidi" w:cstheme="majorBidi"/>
          <w:sz w:val="24"/>
          <w:szCs w:val="24"/>
        </w:rPr>
        <w:t xml:space="preserve"> </w:t>
      </w:r>
      <w:r w:rsidR="00871AC8" w:rsidRPr="004149D2">
        <w:rPr>
          <w:rFonts w:asciiTheme="majorBidi" w:eastAsia="Calibri" w:hAnsiTheme="majorBidi" w:cstheme="majorBidi"/>
          <w:sz w:val="24"/>
          <w:szCs w:val="24"/>
        </w:rPr>
        <w:t>address</w:t>
      </w:r>
      <w:r w:rsidR="00871AC8" w:rsidRPr="00E30642">
        <w:rPr>
          <w:rFonts w:asciiTheme="majorBidi" w:eastAsia="Calibri" w:hAnsiTheme="majorBidi" w:cstheme="majorBidi"/>
          <w:sz w:val="24"/>
          <w:szCs w:val="24"/>
        </w:rPr>
        <w:t xml:space="preserve"> this point, we applied </w:t>
      </w:r>
      <w:bookmarkStart w:id="35" w:name="_Hlk62012197"/>
      <w:r w:rsidR="00871AC8" w:rsidRPr="00E30642">
        <w:rPr>
          <w:rFonts w:asciiTheme="majorBidi" w:eastAsia="Calibri" w:hAnsiTheme="majorBidi" w:cstheme="majorBidi"/>
          <w:sz w:val="24"/>
          <w:szCs w:val="24"/>
        </w:rPr>
        <w:t>linear regression analysis</w:t>
      </w:r>
      <w:r w:rsidR="0047518F">
        <w:rPr>
          <w:rFonts w:asciiTheme="majorBidi" w:eastAsia="Calibri" w:hAnsiTheme="majorBidi" w:cstheme="majorBidi"/>
          <w:sz w:val="24"/>
          <w:szCs w:val="24"/>
        </w:rPr>
        <w:t xml:space="preserve">. </w:t>
      </w:r>
      <w:r w:rsidR="00974C3B">
        <w:rPr>
          <w:rFonts w:asciiTheme="majorBidi" w:eastAsia="Calibri" w:hAnsiTheme="majorBidi" w:cstheme="majorBidi"/>
          <w:sz w:val="24"/>
          <w:szCs w:val="24"/>
        </w:rPr>
        <w:t>As a result, we</w:t>
      </w:r>
      <w:r w:rsidR="0047518F">
        <w:rPr>
          <w:rFonts w:asciiTheme="majorBidi" w:eastAsia="Calibri" w:hAnsiTheme="majorBidi" w:cstheme="majorBidi"/>
          <w:sz w:val="24"/>
          <w:szCs w:val="24"/>
        </w:rPr>
        <w:t xml:space="preserve"> revealed</w:t>
      </w:r>
      <w:r w:rsidR="00871AC8" w:rsidRPr="00E30642">
        <w:rPr>
          <w:rFonts w:asciiTheme="majorBidi" w:eastAsia="Calibri" w:hAnsiTheme="majorBidi" w:cstheme="majorBidi"/>
          <w:sz w:val="24"/>
          <w:szCs w:val="24"/>
        </w:rPr>
        <w:t xml:space="preserve"> that </w:t>
      </w:r>
      <w:bookmarkStart w:id="36" w:name="_Hlk60882805"/>
      <w:r w:rsidR="003D5715" w:rsidRPr="00E30642">
        <w:rPr>
          <w:rFonts w:asciiTheme="majorBidi" w:eastAsia="Calibri" w:hAnsiTheme="majorBidi" w:cstheme="majorBidi"/>
          <w:sz w:val="24"/>
          <w:szCs w:val="24"/>
        </w:rPr>
        <w:t>ALC and</w:t>
      </w:r>
      <w:r w:rsidR="003D5715" w:rsidRPr="00E30642">
        <w:rPr>
          <w:rFonts w:asciiTheme="majorBidi" w:hAnsiTheme="majorBidi" w:cstheme="majorBidi"/>
          <w:sz w:val="24"/>
          <w:szCs w:val="24"/>
        </w:rPr>
        <w:t xml:space="preserve"> </w:t>
      </w:r>
      <w:r w:rsidR="003D5715" w:rsidRPr="00E30642">
        <w:rPr>
          <w:rFonts w:asciiTheme="majorBidi" w:eastAsia="Calibri" w:hAnsiTheme="majorBidi" w:cstheme="majorBidi"/>
          <w:sz w:val="24"/>
          <w:szCs w:val="24"/>
        </w:rPr>
        <w:t xml:space="preserve">platelets were </w:t>
      </w:r>
      <w:r w:rsidR="00871AC8" w:rsidRPr="00E30642">
        <w:rPr>
          <w:rFonts w:asciiTheme="majorBidi" w:eastAsia="Calibri" w:hAnsiTheme="majorBidi" w:cstheme="majorBidi"/>
          <w:sz w:val="24"/>
          <w:szCs w:val="24"/>
        </w:rPr>
        <w:t xml:space="preserve">the </w:t>
      </w:r>
      <w:r w:rsidR="003D5715" w:rsidRPr="00E30642">
        <w:rPr>
          <w:rFonts w:asciiTheme="majorBidi" w:eastAsia="Calibri" w:hAnsiTheme="majorBidi" w:cstheme="majorBidi"/>
          <w:sz w:val="24"/>
          <w:szCs w:val="24"/>
        </w:rPr>
        <w:t xml:space="preserve">main </w:t>
      </w:r>
      <w:r w:rsidR="00871AC8" w:rsidRPr="00E30642">
        <w:rPr>
          <w:rFonts w:asciiTheme="majorBidi" w:eastAsia="Calibri" w:hAnsiTheme="majorBidi" w:cstheme="majorBidi"/>
          <w:sz w:val="24"/>
          <w:szCs w:val="24"/>
        </w:rPr>
        <w:t>predictor</w:t>
      </w:r>
      <w:r w:rsidR="003D5715" w:rsidRPr="00E30642">
        <w:rPr>
          <w:rFonts w:asciiTheme="majorBidi" w:eastAsia="Calibri" w:hAnsiTheme="majorBidi" w:cstheme="majorBidi"/>
          <w:sz w:val="24"/>
          <w:szCs w:val="24"/>
        </w:rPr>
        <w:t>s</w:t>
      </w:r>
      <w:r w:rsidR="00871AC8" w:rsidRPr="00E30642">
        <w:rPr>
          <w:rFonts w:asciiTheme="majorBidi" w:eastAsia="Calibri" w:hAnsiTheme="majorBidi" w:cstheme="majorBidi"/>
          <w:sz w:val="24"/>
          <w:szCs w:val="24"/>
        </w:rPr>
        <w:t xml:space="preserve"> </w:t>
      </w:r>
      <w:bookmarkEnd w:id="36"/>
      <w:r w:rsidR="00871AC8" w:rsidRPr="00E30642">
        <w:rPr>
          <w:rFonts w:asciiTheme="majorBidi" w:eastAsia="Calibri" w:hAnsiTheme="majorBidi" w:cstheme="majorBidi"/>
          <w:sz w:val="24"/>
          <w:szCs w:val="24"/>
        </w:rPr>
        <w:t xml:space="preserve">of the relative expression levels of </w:t>
      </w:r>
      <w:r w:rsidR="003D5715" w:rsidRPr="00E30642">
        <w:rPr>
          <w:rFonts w:asciiTheme="majorBidi" w:eastAsia="Calibri" w:hAnsiTheme="majorBidi" w:cstheme="majorBidi"/>
          <w:sz w:val="24"/>
          <w:szCs w:val="24"/>
        </w:rPr>
        <w:t>miR-150-5 p</w:t>
      </w:r>
      <w:r w:rsidR="00871AC8" w:rsidRPr="00E30642">
        <w:rPr>
          <w:rFonts w:asciiTheme="majorBidi" w:eastAsia="Calibri" w:hAnsiTheme="majorBidi" w:cstheme="majorBidi"/>
          <w:sz w:val="24"/>
          <w:szCs w:val="24"/>
        </w:rPr>
        <w:t xml:space="preserve"> among other laboratory</w:t>
      </w:r>
      <w:bookmarkEnd w:id="35"/>
      <w:r w:rsidR="00871AC8" w:rsidRPr="00E30642">
        <w:rPr>
          <w:rFonts w:asciiTheme="majorBidi" w:eastAsia="Calibri" w:hAnsiTheme="majorBidi" w:cstheme="majorBidi"/>
          <w:sz w:val="24"/>
          <w:szCs w:val="24"/>
        </w:rPr>
        <w:t xml:space="preserve"> tests</w:t>
      </w:r>
      <w:r w:rsidR="00871AC8" w:rsidRPr="00E30642">
        <w:rPr>
          <w:rFonts w:asciiTheme="majorBidi" w:eastAsia="Times New Roman" w:hAnsiTheme="majorBidi" w:cstheme="majorBidi"/>
          <w:sz w:val="24"/>
          <w:szCs w:val="24"/>
        </w:rPr>
        <w:t>, P ˂0.001*</w:t>
      </w:r>
      <w:r w:rsidR="00871AC8" w:rsidRPr="00E30642">
        <w:rPr>
          <w:rFonts w:asciiTheme="majorBidi" w:eastAsia="Calibri" w:hAnsiTheme="majorBidi" w:cstheme="majorBidi"/>
          <w:sz w:val="24"/>
          <w:szCs w:val="24"/>
        </w:rPr>
        <w:t xml:space="preserve"> (Table </w:t>
      </w:r>
      <w:r w:rsidR="003D5715" w:rsidRPr="00E30642">
        <w:rPr>
          <w:rFonts w:asciiTheme="majorBidi" w:eastAsia="Calibri" w:hAnsiTheme="majorBidi" w:cstheme="majorBidi"/>
          <w:sz w:val="24"/>
          <w:szCs w:val="24"/>
        </w:rPr>
        <w:t>5</w:t>
      </w:r>
      <w:r w:rsidR="00871AC8" w:rsidRPr="00E30642">
        <w:rPr>
          <w:rFonts w:asciiTheme="majorBidi" w:eastAsia="Calibri" w:hAnsiTheme="majorBidi" w:cstheme="majorBidi"/>
          <w:sz w:val="24"/>
          <w:szCs w:val="24"/>
        </w:rPr>
        <w:t>).</w:t>
      </w:r>
    </w:p>
    <w:p w14:paraId="3A71D1F0" w14:textId="65474DA0" w:rsidR="00884403" w:rsidRDefault="00884403" w:rsidP="00884403">
      <w:pPr>
        <w:pStyle w:val="Caption"/>
        <w:keepNext/>
      </w:pPr>
      <w:r>
        <w:t xml:space="preserve">Table </w:t>
      </w:r>
      <w:fldSimple w:instr=" SEQ Table \* ARABIC ">
        <w:r w:rsidR="009505D9">
          <w:rPr>
            <w:noProof/>
          </w:rPr>
          <w:t>5</w:t>
        </w:r>
      </w:fldSimple>
      <w:r>
        <w:t xml:space="preserve">. </w:t>
      </w:r>
      <w:r w:rsidRPr="00884403">
        <w:t>linear regression analyses to examine the main independent variables against the relative expression level of miR-150-5 p</w:t>
      </w:r>
      <w:r w:rsidRPr="00884403">
        <w:rPr>
          <w:b/>
          <w:bCs/>
        </w:rPr>
        <w:t xml:space="preserve"> </w:t>
      </w:r>
      <w:r>
        <w:t>within</w:t>
      </w:r>
      <w:r w:rsidRPr="00884403">
        <w:t xml:space="preserve"> CLL patients.</w:t>
      </w:r>
    </w:p>
    <w:tbl>
      <w:tblPr>
        <w:tblW w:w="9791" w:type="dxa"/>
        <w:jc w:val="center"/>
        <w:tblLayout w:type="fixed"/>
        <w:tblCellMar>
          <w:left w:w="0" w:type="dxa"/>
          <w:right w:w="0" w:type="dxa"/>
        </w:tblCellMar>
        <w:tblLook w:val="04A0" w:firstRow="1" w:lastRow="0" w:firstColumn="1" w:lastColumn="0" w:noHBand="0" w:noVBand="1"/>
      </w:tblPr>
      <w:tblGrid>
        <w:gridCol w:w="40"/>
        <w:gridCol w:w="2300"/>
        <w:gridCol w:w="788"/>
        <w:gridCol w:w="1198"/>
        <w:gridCol w:w="1579"/>
        <w:gridCol w:w="829"/>
        <w:gridCol w:w="1158"/>
        <w:gridCol w:w="881"/>
        <w:gridCol w:w="1018"/>
      </w:tblGrid>
      <w:tr w:rsidR="00E4000C" w:rsidRPr="004E21DA" w14:paraId="73E0BD9F" w14:textId="77777777" w:rsidTr="00884403">
        <w:trPr>
          <w:cantSplit/>
          <w:trHeight w:val="958"/>
          <w:tblHeader/>
          <w:jc w:val="center"/>
        </w:trPr>
        <w:tc>
          <w:tcPr>
            <w:tcW w:w="2340" w:type="dxa"/>
            <w:gridSpan w:val="2"/>
            <w:vMerge w:val="restart"/>
            <w:tcBorders>
              <w:top w:val="single" w:sz="4" w:space="0" w:color="auto"/>
            </w:tcBorders>
            <w:shd w:val="clear" w:color="auto" w:fill="FFFFFF"/>
            <w:vAlign w:val="bottom"/>
          </w:tcPr>
          <w:p w14:paraId="284E733A" w14:textId="77777777" w:rsidR="00E4000C" w:rsidRPr="004E21DA" w:rsidRDefault="00E4000C" w:rsidP="00884403">
            <w:pPr>
              <w:autoSpaceDE w:val="0"/>
              <w:autoSpaceDN w:val="0"/>
              <w:adjustRightInd w:val="0"/>
              <w:spacing w:after="0" w:line="240" w:lineRule="auto"/>
              <w:ind w:right="60"/>
              <w:jc w:val="center"/>
              <w:rPr>
                <w:rFonts w:asciiTheme="majorBidi" w:eastAsia="Calibri" w:hAnsiTheme="majorBidi" w:cstheme="majorBidi"/>
                <w:color w:val="000000"/>
                <w:sz w:val="24"/>
                <w:szCs w:val="24"/>
              </w:rPr>
            </w:pPr>
            <w:bookmarkStart w:id="37" w:name="_Hlk128670958"/>
            <w:r w:rsidRPr="004E21DA">
              <w:rPr>
                <w:rFonts w:asciiTheme="majorBidi" w:eastAsia="Calibri" w:hAnsiTheme="majorBidi" w:cstheme="majorBidi"/>
                <w:color w:val="000000"/>
                <w:sz w:val="24"/>
                <w:szCs w:val="24"/>
              </w:rPr>
              <w:t>Model</w:t>
            </w:r>
          </w:p>
        </w:tc>
        <w:tc>
          <w:tcPr>
            <w:tcW w:w="1986" w:type="dxa"/>
            <w:gridSpan w:val="2"/>
            <w:tcBorders>
              <w:top w:val="single" w:sz="4" w:space="0" w:color="auto"/>
            </w:tcBorders>
            <w:shd w:val="clear" w:color="auto" w:fill="FFFFFF"/>
            <w:vAlign w:val="bottom"/>
            <w:hideMark/>
          </w:tcPr>
          <w:p w14:paraId="64A73D61" w14:textId="77777777" w:rsidR="00E4000C" w:rsidRPr="004E21DA"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 xml:space="preserve">Unstandardized </w:t>
            </w:r>
          </w:p>
          <w:p w14:paraId="7EEA8CC0" w14:textId="77777777" w:rsidR="00E4000C" w:rsidRPr="004E21DA"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Coefficients</w:t>
            </w:r>
          </w:p>
        </w:tc>
        <w:tc>
          <w:tcPr>
            <w:tcW w:w="1579" w:type="dxa"/>
            <w:tcBorders>
              <w:top w:val="single" w:sz="4" w:space="0" w:color="auto"/>
            </w:tcBorders>
            <w:shd w:val="clear" w:color="auto" w:fill="FFFFFF"/>
            <w:vAlign w:val="bottom"/>
            <w:hideMark/>
          </w:tcPr>
          <w:p w14:paraId="07268BC7" w14:textId="77777777" w:rsidR="00E4000C" w:rsidRPr="004E21DA"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Standardized Coefficients</w:t>
            </w:r>
          </w:p>
        </w:tc>
        <w:tc>
          <w:tcPr>
            <w:tcW w:w="829" w:type="dxa"/>
            <w:vMerge w:val="restart"/>
            <w:tcBorders>
              <w:top w:val="single" w:sz="4" w:space="0" w:color="auto"/>
            </w:tcBorders>
            <w:shd w:val="clear" w:color="auto" w:fill="FFFFFF"/>
            <w:vAlign w:val="bottom"/>
            <w:hideMark/>
          </w:tcPr>
          <w:p w14:paraId="6CCD05AA" w14:textId="77777777" w:rsidR="00E4000C" w:rsidRPr="004E21DA"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t</w:t>
            </w:r>
          </w:p>
        </w:tc>
        <w:tc>
          <w:tcPr>
            <w:tcW w:w="1158" w:type="dxa"/>
            <w:vMerge w:val="restart"/>
            <w:tcBorders>
              <w:top w:val="single" w:sz="4" w:space="0" w:color="auto"/>
            </w:tcBorders>
            <w:shd w:val="clear" w:color="auto" w:fill="FFFFFF"/>
            <w:vAlign w:val="bottom"/>
            <w:hideMark/>
          </w:tcPr>
          <w:p w14:paraId="105F49B1" w14:textId="77777777" w:rsidR="00E4000C" w:rsidRPr="004E21DA"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 xml:space="preserve">P value </w:t>
            </w:r>
          </w:p>
        </w:tc>
        <w:tc>
          <w:tcPr>
            <w:tcW w:w="1899" w:type="dxa"/>
            <w:gridSpan w:val="2"/>
            <w:tcBorders>
              <w:top w:val="single" w:sz="4" w:space="0" w:color="auto"/>
            </w:tcBorders>
            <w:shd w:val="clear" w:color="auto" w:fill="FFFFFF"/>
            <w:vAlign w:val="bottom"/>
            <w:hideMark/>
          </w:tcPr>
          <w:p w14:paraId="329AB363" w14:textId="77777777" w:rsidR="00E4000C" w:rsidRPr="004E21DA"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95% C.I.</w:t>
            </w:r>
          </w:p>
        </w:tc>
      </w:tr>
      <w:tr w:rsidR="00E4000C" w:rsidRPr="004E21DA" w14:paraId="01CF2D9E" w14:textId="77777777" w:rsidTr="00884403">
        <w:trPr>
          <w:cantSplit/>
          <w:trHeight w:val="255"/>
          <w:tblHeader/>
          <w:jc w:val="center"/>
        </w:trPr>
        <w:tc>
          <w:tcPr>
            <w:tcW w:w="2340" w:type="dxa"/>
            <w:gridSpan w:val="2"/>
            <w:vMerge/>
            <w:vAlign w:val="center"/>
          </w:tcPr>
          <w:p w14:paraId="0FD762BE" w14:textId="77777777" w:rsidR="00E4000C" w:rsidRPr="004E21DA" w:rsidRDefault="00E4000C" w:rsidP="00884403">
            <w:pPr>
              <w:spacing w:after="0" w:line="240" w:lineRule="auto"/>
              <w:rPr>
                <w:rFonts w:asciiTheme="majorBidi" w:eastAsia="Calibri" w:hAnsiTheme="majorBidi" w:cstheme="majorBidi"/>
                <w:color w:val="000000"/>
                <w:sz w:val="24"/>
                <w:szCs w:val="24"/>
              </w:rPr>
            </w:pPr>
          </w:p>
        </w:tc>
        <w:tc>
          <w:tcPr>
            <w:tcW w:w="788" w:type="dxa"/>
            <w:tcBorders>
              <w:bottom w:val="single" w:sz="4" w:space="0" w:color="auto"/>
            </w:tcBorders>
            <w:shd w:val="clear" w:color="auto" w:fill="FFFFFF"/>
            <w:vAlign w:val="bottom"/>
            <w:hideMark/>
          </w:tcPr>
          <w:p w14:paraId="54F3CEBE" w14:textId="77777777" w:rsidR="00E4000C" w:rsidRPr="004E21DA"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B</w:t>
            </w:r>
          </w:p>
        </w:tc>
        <w:tc>
          <w:tcPr>
            <w:tcW w:w="1198" w:type="dxa"/>
            <w:tcBorders>
              <w:bottom w:val="single" w:sz="4" w:space="0" w:color="auto"/>
            </w:tcBorders>
            <w:shd w:val="clear" w:color="auto" w:fill="FFFFFF"/>
            <w:vAlign w:val="bottom"/>
            <w:hideMark/>
          </w:tcPr>
          <w:p w14:paraId="284F1FF3" w14:textId="77777777" w:rsidR="00E4000C" w:rsidRPr="004E21DA"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S.E.</w:t>
            </w:r>
          </w:p>
        </w:tc>
        <w:tc>
          <w:tcPr>
            <w:tcW w:w="1579" w:type="dxa"/>
            <w:tcBorders>
              <w:bottom w:val="single" w:sz="4" w:space="0" w:color="auto"/>
            </w:tcBorders>
            <w:shd w:val="clear" w:color="auto" w:fill="FFFFFF"/>
            <w:vAlign w:val="bottom"/>
            <w:hideMark/>
          </w:tcPr>
          <w:p w14:paraId="7E896758" w14:textId="77777777" w:rsidR="00E4000C" w:rsidRPr="004E21DA"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Beta</w:t>
            </w:r>
          </w:p>
        </w:tc>
        <w:tc>
          <w:tcPr>
            <w:tcW w:w="829" w:type="dxa"/>
            <w:vMerge/>
            <w:tcBorders>
              <w:bottom w:val="single" w:sz="4" w:space="0" w:color="auto"/>
            </w:tcBorders>
            <w:vAlign w:val="center"/>
            <w:hideMark/>
          </w:tcPr>
          <w:p w14:paraId="784E9267" w14:textId="77777777" w:rsidR="00E4000C" w:rsidRPr="004E21DA" w:rsidRDefault="00E4000C" w:rsidP="00884403">
            <w:pPr>
              <w:spacing w:after="0" w:line="240" w:lineRule="auto"/>
              <w:rPr>
                <w:rFonts w:asciiTheme="majorBidi" w:eastAsia="Calibri" w:hAnsiTheme="majorBidi" w:cstheme="majorBidi"/>
                <w:color w:val="000000"/>
                <w:sz w:val="24"/>
                <w:szCs w:val="24"/>
              </w:rPr>
            </w:pPr>
          </w:p>
        </w:tc>
        <w:tc>
          <w:tcPr>
            <w:tcW w:w="1158" w:type="dxa"/>
            <w:vMerge/>
            <w:tcBorders>
              <w:bottom w:val="single" w:sz="4" w:space="0" w:color="auto"/>
            </w:tcBorders>
            <w:vAlign w:val="center"/>
            <w:hideMark/>
          </w:tcPr>
          <w:p w14:paraId="795367EF" w14:textId="77777777" w:rsidR="00E4000C" w:rsidRPr="004E21DA" w:rsidRDefault="00E4000C" w:rsidP="00884403">
            <w:pPr>
              <w:spacing w:after="0" w:line="240" w:lineRule="auto"/>
              <w:rPr>
                <w:rFonts w:asciiTheme="majorBidi" w:eastAsia="Calibri" w:hAnsiTheme="majorBidi" w:cstheme="majorBidi"/>
                <w:color w:val="000000"/>
                <w:sz w:val="24"/>
                <w:szCs w:val="24"/>
              </w:rPr>
            </w:pPr>
          </w:p>
        </w:tc>
        <w:tc>
          <w:tcPr>
            <w:tcW w:w="881" w:type="dxa"/>
            <w:tcBorders>
              <w:bottom w:val="single" w:sz="4" w:space="0" w:color="auto"/>
            </w:tcBorders>
            <w:shd w:val="clear" w:color="auto" w:fill="FFFFFF"/>
            <w:vAlign w:val="bottom"/>
            <w:hideMark/>
          </w:tcPr>
          <w:p w14:paraId="0FC73908" w14:textId="77777777" w:rsidR="00E4000C" w:rsidRPr="004E21DA"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Lower Bound</w:t>
            </w:r>
          </w:p>
        </w:tc>
        <w:tc>
          <w:tcPr>
            <w:tcW w:w="1018" w:type="dxa"/>
            <w:tcBorders>
              <w:bottom w:val="single" w:sz="4" w:space="0" w:color="auto"/>
            </w:tcBorders>
            <w:shd w:val="clear" w:color="auto" w:fill="FFFFFF"/>
            <w:vAlign w:val="bottom"/>
            <w:hideMark/>
          </w:tcPr>
          <w:p w14:paraId="68E3AF76" w14:textId="77777777" w:rsidR="00E4000C" w:rsidRPr="004E21DA"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Upper Bound</w:t>
            </w:r>
          </w:p>
        </w:tc>
      </w:tr>
      <w:tr w:rsidR="00E4000C" w:rsidRPr="004E21DA" w14:paraId="3D901122" w14:textId="77777777" w:rsidTr="00884403">
        <w:tblPrEx>
          <w:tblLook w:val="0000" w:firstRow="0" w:lastRow="0" w:firstColumn="0" w:lastColumn="0" w:noHBand="0" w:noVBand="0"/>
        </w:tblPrEx>
        <w:trPr>
          <w:cantSplit/>
          <w:trHeight w:val="526"/>
          <w:tblHeader/>
          <w:jc w:val="center"/>
        </w:trPr>
        <w:tc>
          <w:tcPr>
            <w:tcW w:w="40" w:type="dxa"/>
            <w:vMerge w:val="restart"/>
            <w:shd w:val="clear" w:color="auto" w:fill="FFFFFF"/>
          </w:tcPr>
          <w:p w14:paraId="0415C185" w14:textId="77777777" w:rsidR="00E4000C" w:rsidRPr="004E21DA" w:rsidRDefault="00E4000C" w:rsidP="00884403">
            <w:pPr>
              <w:autoSpaceDE w:val="0"/>
              <w:autoSpaceDN w:val="0"/>
              <w:adjustRightInd w:val="0"/>
              <w:spacing w:after="0" w:line="240" w:lineRule="auto"/>
              <w:ind w:right="60"/>
              <w:rPr>
                <w:rFonts w:asciiTheme="majorBidi" w:eastAsia="Calibri" w:hAnsiTheme="majorBidi" w:cstheme="majorBidi"/>
                <w:sz w:val="24"/>
                <w:szCs w:val="24"/>
                <w:lang w:bidi="ar-EG"/>
              </w:rPr>
            </w:pPr>
            <w:r w:rsidRPr="004E21DA">
              <w:rPr>
                <w:rFonts w:asciiTheme="majorBidi" w:eastAsia="Calibri" w:hAnsiTheme="majorBidi" w:cstheme="majorBidi"/>
                <w:sz w:val="24"/>
                <w:szCs w:val="24"/>
              </w:rPr>
              <w:t>1</w:t>
            </w:r>
          </w:p>
        </w:tc>
        <w:tc>
          <w:tcPr>
            <w:tcW w:w="2300" w:type="dxa"/>
            <w:tcBorders>
              <w:top w:val="single" w:sz="4" w:space="0" w:color="auto"/>
            </w:tcBorders>
            <w:shd w:val="clear" w:color="auto" w:fill="FFFFFF"/>
          </w:tcPr>
          <w:p w14:paraId="51ADCADB" w14:textId="77777777" w:rsidR="00E4000C" w:rsidRPr="004E21DA" w:rsidRDefault="00E4000C" w:rsidP="00884403">
            <w:pPr>
              <w:autoSpaceDE w:val="0"/>
              <w:autoSpaceDN w:val="0"/>
              <w:adjustRightInd w:val="0"/>
              <w:spacing w:after="0" w:line="240" w:lineRule="auto"/>
              <w:ind w:right="60"/>
              <w:jc w:val="center"/>
              <w:rPr>
                <w:rFonts w:asciiTheme="majorBidi" w:eastAsia="Calibri" w:hAnsiTheme="majorBidi" w:cstheme="majorBidi"/>
                <w:sz w:val="24"/>
                <w:szCs w:val="24"/>
                <w:rtl/>
                <w:lang w:bidi="ar-EG"/>
              </w:rPr>
            </w:pPr>
            <w:r>
              <w:rPr>
                <w:rFonts w:asciiTheme="majorBidi" w:eastAsia="Calibri" w:hAnsiTheme="majorBidi" w:cstheme="majorBidi"/>
                <w:sz w:val="24"/>
                <w:szCs w:val="24"/>
              </w:rPr>
              <w:t>C</w:t>
            </w:r>
            <w:r w:rsidRPr="004E21DA">
              <w:rPr>
                <w:rFonts w:asciiTheme="majorBidi" w:eastAsia="Calibri" w:hAnsiTheme="majorBidi" w:cstheme="majorBidi"/>
                <w:sz w:val="24"/>
                <w:szCs w:val="24"/>
              </w:rPr>
              <w:t>onstant</w:t>
            </w:r>
          </w:p>
        </w:tc>
        <w:tc>
          <w:tcPr>
            <w:tcW w:w="788" w:type="dxa"/>
            <w:tcBorders>
              <w:top w:val="single" w:sz="4" w:space="0" w:color="auto"/>
            </w:tcBorders>
            <w:shd w:val="clear" w:color="auto" w:fill="FFFFFF"/>
          </w:tcPr>
          <w:p w14:paraId="134C2598" w14:textId="77777777" w:rsidR="00E4000C" w:rsidRPr="006472A0"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6472A0">
              <w:rPr>
                <w:rFonts w:asciiTheme="majorBidi" w:hAnsiTheme="majorBidi" w:cstheme="majorBidi"/>
                <w:sz w:val="24"/>
                <w:szCs w:val="24"/>
              </w:rPr>
              <w:t>-</w:t>
            </w:r>
            <w:r>
              <w:rPr>
                <w:rFonts w:asciiTheme="majorBidi" w:hAnsiTheme="majorBidi" w:cstheme="majorBidi"/>
                <w:sz w:val="24"/>
                <w:szCs w:val="24"/>
              </w:rPr>
              <w:t>0</w:t>
            </w:r>
            <w:r w:rsidRPr="006472A0">
              <w:rPr>
                <w:rFonts w:asciiTheme="majorBidi" w:hAnsiTheme="majorBidi" w:cstheme="majorBidi"/>
                <w:sz w:val="24"/>
                <w:szCs w:val="24"/>
              </w:rPr>
              <w:t>.704</w:t>
            </w:r>
          </w:p>
        </w:tc>
        <w:tc>
          <w:tcPr>
            <w:tcW w:w="1198" w:type="dxa"/>
            <w:tcBorders>
              <w:top w:val="single" w:sz="4" w:space="0" w:color="auto"/>
            </w:tcBorders>
            <w:shd w:val="clear" w:color="auto" w:fill="FFFFFF"/>
          </w:tcPr>
          <w:p w14:paraId="6B4AEDF1" w14:textId="77777777" w:rsidR="00E4000C" w:rsidRPr="006472A0"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Pr>
                <w:rFonts w:asciiTheme="majorBidi" w:hAnsiTheme="majorBidi" w:cstheme="majorBidi"/>
                <w:sz w:val="24"/>
                <w:szCs w:val="24"/>
              </w:rPr>
              <w:t>0</w:t>
            </w:r>
            <w:r w:rsidRPr="006472A0">
              <w:rPr>
                <w:rFonts w:asciiTheme="majorBidi" w:hAnsiTheme="majorBidi" w:cstheme="majorBidi"/>
                <w:sz w:val="24"/>
                <w:szCs w:val="24"/>
              </w:rPr>
              <w:t>.187</w:t>
            </w:r>
          </w:p>
        </w:tc>
        <w:tc>
          <w:tcPr>
            <w:tcW w:w="1579" w:type="dxa"/>
            <w:tcBorders>
              <w:top w:val="single" w:sz="4" w:space="0" w:color="auto"/>
            </w:tcBorders>
            <w:shd w:val="clear" w:color="auto" w:fill="FFFFFF"/>
          </w:tcPr>
          <w:p w14:paraId="34971975" w14:textId="77777777" w:rsidR="00E4000C" w:rsidRPr="006472A0" w:rsidRDefault="00E4000C" w:rsidP="00884403">
            <w:pPr>
              <w:autoSpaceDE w:val="0"/>
              <w:autoSpaceDN w:val="0"/>
              <w:adjustRightInd w:val="0"/>
              <w:spacing w:after="0" w:line="240" w:lineRule="auto"/>
              <w:rPr>
                <w:rFonts w:asciiTheme="majorBidi" w:eastAsia="Calibri" w:hAnsiTheme="majorBidi" w:cstheme="majorBidi"/>
                <w:sz w:val="24"/>
                <w:szCs w:val="24"/>
              </w:rPr>
            </w:pPr>
          </w:p>
        </w:tc>
        <w:tc>
          <w:tcPr>
            <w:tcW w:w="829" w:type="dxa"/>
            <w:tcBorders>
              <w:top w:val="single" w:sz="4" w:space="0" w:color="auto"/>
            </w:tcBorders>
            <w:shd w:val="clear" w:color="auto" w:fill="FFFFFF"/>
          </w:tcPr>
          <w:p w14:paraId="23B86E5B" w14:textId="77777777" w:rsidR="00E4000C" w:rsidRPr="006472A0"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6472A0">
              <w:rPr>
                <w:rFonts w:asciiTheme="majorBidi" w:hAnsiTheme="majorBidi" w:cstheme="majorBidi"/>
                <w:sz w:val="24"/>
                <w:szCs w:val="24"/>
              </w:rPr>
              <w:t>-3.764</w:t>
            </w:r>
          </w:p>
        </w:tc>
        <w:tc>
          <w:tcPr>
            <w:tcW w:w="1158" w:type="dxa"/>
            <w:tcBorders>
              <w:top w:val="single" w:sz="4" w:space="0" w:color="auto"/>
            </w:tcBorders>
            <w:shd w:val="clear" w:color="auto" w:fill="FFFFFF"/>
          </w:tcPr>
          <w:p w14:paraId="756E4C28" w14:textId="77777777" w:rsidR="00E4000C" w:rsidRPr="006472A0"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Pr>
                <w:rFonts w:asciiTheme="majorBidi" w:hAnsiTheme="majorBidi" w:cstheme="majorBidi"/>
                <w:sz w:val="24"/>
                <w:szCs w:val="24"/>
              </w:rPr>
              <w:t>0</w:t>
            </w:r>
            <w:r w:rsidRPr="006472A0">
              <w:rPr>
                <w:rFonts w:asciiTheme="majorBidi" w:hAnsiTheme="majorBidi" w:cstheme="majorBidi"/>
                <w:sz w:val="24"/>
                <w:szCs w:val="24"/>
              </w:rPr>
              <w:t>.000</w:t>
            </w:r>
          </w:p>
        </w:tc>
        <w:tc>
          <w:tcPr>
            <w:tcW w:w="881" w:type="dxa"/>
            <w:tcBorders>
              <w:top w:val="single" w:sz="4" w:space="0" w:color="auto"/>
            </w:tcBorders>
            <w:shd w:val="clear" w:color="auto" w:fill="FFFFFF"/>
          </w:tcPr>
          <w:p w14:paraId="236C9617" w14:textId="77777777" w:rsidR="00E4000C" w:rsidRPr="006472A0"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6472A0">
              <w:rPr>
                <w:rFonts w:asciiTheme="majorBidi" w:hAnsiTheme="majorBidi" w:cstheme="majorBidi"/>
                <w:sz w:val="24"/>
                <w:szCs w:val="24"/>
              </w:rPr>
              <w:t>-1.080</w:t>
            </w:r>
          </w:p>
        </w:tc>
        <w:tc>
          <w:tcPr>
            <w:tcW w:w="1018" w:type="dxa"/>
            <w:shd w:val="clear" w:color="auto" w:fill="FFFFFF"/>
          </w:tcPr>
          <w:p w14:paraId="17C6B811" w14:textId="77777777" w:rsidR="00E4000C" w:rsidRPr="006472A0"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6472A0">
              <w:rPr>
                <w:rFonts w:asciiTheme="majorBidi" w:hAnsiTheme="majorBidi" w:cstheme="majorBidi"/>
                <w:sz w:val="24"/>
                <w:szCs w:val="24"/>
              </w:rPr>
              <w:t>-</w:t>
            </w:r>
            <w:r>
              <w:rPr>
                <w:rFonts w:asciiTheme="majorBidi" w:hAnsiTheme="majorBidi" w:cstheme="majorBidi"/>
                <w:sz w:val="24"/>
                <w:szCs w:val="24"/>
              </w:rPr>
              <w:t>0</w:t>
            </w:r>
            <w:r w:rsidRPr="006472A0">
              <w:rPr>
                <w:rFonts w:asciiTheme="majorBidi" w:hAnsiTheme="majorBidi" w:cstheme="majorBidi"/>
                <w:sz w:val="24"/>
                <w:szCs w:val="24"/>
              </w:rPr>
              <w:t>.328</w:t>
            </w:r>
          </w:p>
        </w:tc>
      </w:tr>
      <w:tr w:rsidR="00E4000C" w:rsidRPr="004E21DA" w14:paraId="77FCE3D2" w14:textId="77777777" w:rsidTr="00884403">
        <w:tblPrEx>
          <w:tblLook w:val="0000" w:firstRow="0" w:lastRow="0" w:firstColumn="0" w:lastColumn="0" w:noHBand="0" w:noVBand="0"/>
        </w:tblPrEx>
        <w:trPr>
          <w:cantSplit/>
          <w:trHeight w:val="506"/>
          <w:tblHeader/>
          <w:jc w:val="center"/>
        </w:trPr>
        <w:tc>
          <w:tcPr>
            <w:tcW w:w="40" w:type="dxa"/>
            <w:vMerge/>
            <w:shd w:val="clear" w:color="auto" w:fill="FFFFFF"/>
          </w:tcPr>
          <w:p w14:paraId="5AEE1E97" w14:textId="77777777" w:rsidR="00E4000C" w:rsidRPr="004E21DA" w:rsidRDefault="00E4000C" w:rsidP="00884403">
            <w:pPr>
              <w:autoSpaceDE w:val="0"/>
              <w:autoSpaceDN w:val="0"/>
              <w:adjustRightInd w:val="0"/>
              <w:spacing w:after="0" w:line="240" w:lineRule="auto"/>
              <w:rPr>
                <w:rFonts w:asciiTheme="majorBidi" w:eastAsia="Calibri" w:hAnsiTheme="majorBidi" w:cstheme="majorBidi"/>
                <w:sz w:val="24"/>
                <w:szCs w:val="24"/>
              </w:rPr>
            </w:pPr>
          </w:p>
        </w:tc>
        <w:tc>
          <w:tcPr>
            <w:tcW w:w="2300" w:type="dxa"/>
          </w:tcPr>
          <w:p w14:paraId="7C186D81" w14:textId="49421F7D" w:rsidR="00E4000C" w:rsidRPr="004E21DA" w:rsidRDefault="00E4000C" w:rsidP="00884403">
            <w:pPr>
              <w:autoSpaceDE w:val="0"/>
              <w:autoSpaceDN w:val="0"/>
              <w:adjustRightInd w:val="0"/>
              <w:spacing w:after="0" w:line="240" w:lineRule="auto"/>
              <w:ind w:left="60" w:right="60"/>
              <w:jc w:val="center"/>
              <w:rPr>
                <w:rFonts w:asciiTheme="majorBidi" w:eastAsia="Calibri" w:hAnsiTheme="majorBidi" w:cstheme="majorBidi"/>
                <w:sz w:val="24"/>
                <w:szCs w:val="24"/>
              </w:rPr>
            </w:pPr>
            <w:r w:rsidRPr="00300DD7">
              <w:rPr>
                <w:rFonts w:asciiTheme="majorBidi" w:hAnsiTheme="majorBidi" w:cstheme="majorBidi"/>
                <w:sz w:val="24"/>
                <w:szCs w:val="24"/>
              </w:rPr>
              <w:t>WBC</w:t>
            </w:r>
          </w:p>
        </w:tc>
        <w:tc>
          <w:tcPr>
            <w:tcW w:w="788" w:type="dxa"/>
            <w:shd w:val="clear" w:color="auto" w:fill="FFFFFF"/>
          </w:tcPr>
          <w:p w14:paraId="502DE838" w14:textId="77777777" w:rsidR="00E4000C" w:rsidRPr="006472A0"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.001</w:t>
            </w:r>
          </w:p>
        </w:tc>
        <w:tc>
          <w:tcPr>
            <w:tcW w:w="1198" w:type="dxa"/>
            <w:shd w:val="clear" w:color="auto" w:fill="FFFFFF"/>
          </w:tcPr>
          <w:p w14:paraId="0C329E03" w14:textId="77777777" w:rsidR="00E4000C" w:rsidRPr="006472A0"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.001</w:t>
            </w:r>
          </w:p>
        </w:tc>
        <w:tc>
          <w:tcPr>
            <w:tcW w:w="1579" w:type="dxa"/>
            <w:shd w:val="clear" w:color="auto" w:fill="FFFFFF"/>
          </w:tcPr>
          <w:p w14:paraId="0CE4A1A0" w14:textId="77777777" w:rsidR="00E4000C" w:rsidRPr="006472A0"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.109</w:t>
            </w:r>
          </w:p>
        </w:tc>
        <w:tc>
          <w:tcPr>
            <w:tcW w:w="829" w:type="dxa"/>
            <w:shd w:val="clear" w:color="auto" w:fill="FFFFFF"/>
          </w:tcPr>
          <w:p w14:paraId="3A192402" w14:textId="77777777" w:rsidR="00E4000C" w:rsidRPr="006472A0"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.952</w:t>
            </w:r>
          </w:p>
        </w:tc>
        <w:tc>
          <w:tcPr>
            <w:tcW w:w="1158" w:type="dxa"/>
            <w:shd w:val="clear" w:color="auto" w:fill="FFFFFF"/>
          </w:tcPr>
          <w:p w14:paraId="718732FF" w14:textId="77777777" w:rsidR="00E4000C" w:rsidRPr="006472A0"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.346</w:t>
            </w:r>
          </w:p>
        </w:tc>
        <w:tc>
          <w:tcPr>
            <w:tcW w:w="881" w:type="dxa"/>
            <w:shd w:val="clear" w:color="auto" w:fill="FFFFFF"/>
          </w:tcPr>
          <w:p w14:paraId="6ABC4B68" w14:textId="77777777" w:rsidR="00E4000C" w:rsidRPr="006472A0"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6472A0">
              <w:rPr>
                <w:rFonts w:asciiTheme="majorBidi" w:hAnsiTheme="majorBidi" w:cstheme="majorBidi"/>
                <w:color w:val="010205"/>
                <w:sz w:val="24"/>
                <w:szCs w:val="24"/>
              </w:rPr>
              <w:t>-</w:t>
            </w:r>
            <w:r>
              <w:rPr>
                <w:rFonts w:asciiTheme="majorBidi" w:hAnsiTheme="majorBidi" w:cstheme="majorBidi"/>
                <w:color w:val="010205"/>
                <w:sz w:val="24"/>
                <w:szCs w:val="24"/>
              </w:rPr>
              <w:t>0</w:t>
            </w:r>
            <w:r w:rsidRPr="006472A0">
              <w:rPr>
                <w:rFonts w:asciiTheme="majorBidi" w:hAnsiTheme="majorBidi" w:cstheme="majorBidi"/>
                <w:color w:val="010205"/>
                <w:sz w:val="24"/>
                <w:szCs w:val="24"/>
              </w:rPr>
              <w:t>.001</w:t>
            </w:r>
          </w:p>
        </w:tc>
        <w:tc>
          <w:tcPr>
            <w:tcW w:w="1018" w:type="dxa"/>
            <w:shd w:val="clear" w:color="auto" w:fill="FFFFFF"/>
          </w:tcPr>
          <w:p w14:paraId="54A5CED7" w14:textId="77777777" w:rsidR="00E4000C" w:rsidRPr="006472A0" w:rsidRDefault="00E4000C" w:rsidP="00884403">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6472A0">
              <w:rPr>
                <w:rFonts w:asciiTheme="majorBidi" w:hAnsiTheme="majorBidi" w:cstheme="majorBidi"/>
                <w:color w:val="010205"/>
                <w:sz w:val="24"/>
                <w:szCs w:val="24"/>
              </w:rPr>
              <w:t>.002</w:t>
            </w:r>
          </w:p>
        </w:tc>
      </w:tr>
      <w:tr w:rsidR="00E4000C" w:rsidRPr="00AB0CD6" w14:paraId="5DCEEE9B" w14:textId="77777777" w:rsidTr="00884403">
        <w:tblPrEx>
          <w:tblLook w:val="0000" w:firstRow="0" w:lastRow="0" w:firstColumn="0" w:lastColumn="0" w:noHBand="0" w:noVBand="0"/>
        </w:tblPrEx>
        <w:trPr>
          <w:cantSplit/>
          <w:trHeight w:val="506"/>
          <w:tblHeader/>
          <w:jc w:val="center"/>
        </w:trPr>
        <w:tc>
          <w:tcPr>
            <w:tcW w:w="40" w:type="dxa"/>
            <w:vMerge/>
            <w:shd w:val="clear" w:color="auto" w:fill="FFFFFF"/>
          </w:tcPr>
          <w:p w14:paraId="3BBCE7B3" w14:textId="77777777" w:rsidR="00E4000C" w:rsidRPr="00AB0CD6" w:rsidRDefault="00E4000C" w:rsidP="00884403">
            <w:pPr>
              <w:autoSpaceDE w:val="0"/>
              <w:autoSpaceDN w:val="0"/>
              <w:adjustRightInd w:val="0"/>
              <w:spacing w:after="0" w:line="240" w:lineRule="auto"/>
              <w:rPr>
                <w:rFonts w:asciiTheme="majorBidi" w:eastAsia="Calibri" w:hAnsiTheme="majorBidi" w:cstheme="majorBidi"/>
                <w:sz w:val="24"/>
                <w:szCs w:val="24"/>
              </w:rPr>
            </w:pPr>
          </w:p>
        </w:tc>
        <w:tc>
          <w:tcPr>
            <w:tcW w:w="2300" w:type="dxa"/>
          </w:tcPr>
          <w:p w14:paraId="591193F8" w14:textId="08BECCDD" w:rsidR="00E4000C" w:rsidRPr="00AB0CD6" w:rsidRDefault="00E4000C" w:rsidP="00884403">
            <w:pPr>
              <w:autoSpaceDE w:val="0"/>
              <w:autoSpaceDN w:val="0"/>
              <w:adjustRightInd w:val="0"/>
              <w:spacing w:after="0" w:line="240" w:lineRule="auto"/>
              <w:ind w:left="60" w:right="60"/>
              <w:jc w:val="center"/>
              <w:rPr>
                <w:rFonts w:asciiTheme="majorBidi" w:eastAsia="Calibri" w:hAnsiTheme="majorBidi" w:cstheme="majorBidi"/>
                <w:sz w:val="24"/>
                <w:szCs w:val="24"/>
              </w:rPr>
            </w:pPr>
            <w:bookmarkStart w:id="38" w:name="_Hlk125501164"/>
            <w:r w:rsidRPr="00DE3E8F">
              <w:rPr>
                <w:rFonts w:asciiTheme="majorBidi" w:hAnsiTheme="majorBidi" w:cstheme="majorBidi"/>
                <w:sz w:val="24"/>
                <w:szCs w:val="24"/>
              </w:rPr>
              <w:t>ALC</w:t>
            </w:r>
            <w:bookmarkEnd w:id="38"/>
          </w:p>
        </w:tc>
        <w:tc>
          <w:tcPr>
            <w:tcW w:w="788" w:type="dxa"/>
            <w:shd w:val="clear" w:color="auto" w:fill="FFFFFF"/>
          </w:tcPr>
          <w:p w14:paraId="1266780C"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.102</w:t>
            </w:r>
          </w:p>
        </w:tc>
        <w:tc>
          <w:tcPr>
            <w:tcW w:w="1198" w:type="dxa"/>
            <w:shd w:val="clear" w:color="auto" w:fill="FFFFFF"/>
          </w:tcPr>
          <w:p w14:paraId="00182DDE"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.018</w:t>
            </w:r>
          </w:p>
        </w:tc>
        <w:tc>
          <w:tcPr>
            <w:tcW w:w="1579" w:type="dxa"/>
            <w:shd w:val="clear" w:color="auto" w:fill="FFFFFF"/>
          </w:tcPr>
          <w:p w14:paraId="3AA45865"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.670</w:t>
            </w:r>
          </w:p>
        </w:tc>
        <w:tc>
          <w:tcPr>
            <w:tcW w:w="829" w:type="dxa"/>
            <w:shd w:val="clear" w:color="auto" w:fill="FFFFFF"/>
          </w:tcPr>
          <w:p w14:paraId="4DDFDDC1"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sidRPr="006472A0">
              <w:rPr>
                <w:rFonts w:asciiTheme="majorBidi" w:hAnsiTheme="majorBidi" w:cstheme="majorBidi"/>
                <w:color w:val="010205"/>
                <w:sz w:val="24"/>
                <w:szCs w:val="24"/>
              </w:rPr>
              <w:t>5.841</w:t>
            </w:r>
          </w:p>
        </w:tc>
        <w:tc>
          <w:tcPr>
            <w:tcW w:w="1158" w:type="dxa"/>
            <w:shd w:val="clear" w:color="auto" w:fill="FFFFFF"/>
          </w:tcPr>
          <w:p w14:paraId="204B0C08"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sidRPr="00A60684">
              <w:rPr>
                <w:rFonts w:asciiTheme="majorBidi" w:hAnsiTheme="majorBidi" w:cstheme="majorBidi"/>
                <w:color w:val="010205"/>
                <w:sz w:val="24"/>
                <w:szCs w:val="24"/>
              </w:rPr>
              <w:t>˂0.001*</w:t>
            </w:r>
          </w:p>
        </w:tc>
        <w:tc>
          <w:tcPr>
            <w:tcW w:w="881" w:type="dxa"/>
            <w:shd w:val="clear" w:color="auto" w:fill="FFFFFF"/>
          </w:tcPr>
          <w:p w14:paraId="7A195D5A"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.067</w:t>
            </w:r>
          </w:p>
        </w:tc>
        <w:tc>
          <w:tcPr>
            <w:tcW w:w="1018" w:type="dxa"/>
            <w:shd w:val="clear" w:color="auto" w:fill="FFFFFF"/>
          </w:tcPr>
          <w:p w14:paraId="3A1F4CB7"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00</w:t>
            </w:r>
            <w:r w:rsidRPr="006472A0">
              <w:rPr>
                <w:rFonts w:asciiTheme="majorBidi" w:hAnsiTheme="majorBidi" w:cstheme="majorBidi"/>
                <w:color w:val="010205"/>
                <w:sz w:val="24"/>
                <w:szCs w:val="24"/>
              </w:rPr>
              <w:t>.138</w:t>
            </w:r>
          </w:p>
        </w:tc>
      </w:tr>
      <w:tr w:rsidR="00E4000C" w:rsidRPr="004E21DA" w14:paraId="52E6F97A" w14:textId="77777777" w:rsidTr="00884403">
        <w:tblPrEx>
          <w:tblLook w:val="0000" w:firstRow="0" w:lastRow="0" w:firstColumn="0" w:lastColumn="0" w:noHBand="0" w:noVBand="0"/>
        </w:tblPrEx>
        <w:trPr>
          <w:cantSplit/>
          <w:trHeight w:val="506"/>
          <w:tblHeader/>
          <w:jc w:val="center"/>
        </w:trPr>
        <w:tc>
          <w:tcPr>
            <w:tcW w:w="40" w:type="dxa"/>
            <w:vMerge/>
            <w:shd w:val="clear" w:color="auto" w:fill="FFFFFF"/>
          </w:tcPr>
          <w:p w14:paraId="66A4A040" w14:textId="77777777" w:rsidR="00E4000C" w:rsidRPr="004E21DA" w:rsidRDefault="00E4000C" w:rsidP="00884403">
            <w:pPr>
              <w:autoSpaceDE w:val="0"/>
              <w:autoSpaceDN w:val="0"/>
              <w:adjustRightInd w:val="0"/>
              <w:spacing w:after="0" w:line="240" w:lineRule="auto"/>
              <w:rPr>
                <w:rFonts w:asciiTheme="majorBidi" w:eastAsia="Calibri" w:hAnsiTheme="majorBidi" w:cstheme="majorBidi"/>
                <w:sz w:val="24"/>
                <w:szCs w:val="24"/>
              </w:rPr>
            </w:pPr>
          </w:p>
        </w:tc>
        <w:tc>
          <w:tcPr>
            <w:tcW w:w="2300" w:type="dxa"/>
          </w:tcPr>
          <w:p w14:paraId="54A49F53" w14:textId="77777777" w:rsidR="00E4000C" w:rsidRPr="0087218F" w:rsidRDefault="00E4000C" w:rsidP="00884403">
            <w:pPr>
              <w:autoSpaceDE w:val="0"/>
              <w:autoSpaceDN w:val="0"/>
              <w:adjustRightInd w:val="0"/>
              <w:spacing w:after="0" w:line="240" w:lineRule="auto"/>
              <w:ind w:left="60" w:right="60"/>
              <w:jc w:val="center"/>
              <w:rPr>
                <w:rFonts w:asciiTheme="majorBidi" w:eastAsia="Calibri" w:hAnsiTheme="majorBidi" w:cstheme="majorBidi"/>
                <w:sz w:val="24"/>
                <w:szCs w:val="24"/>
              </w:rPr>
            </w:pPr>
            <w:r w:rsidRPr="002B45FF">
              <w:rPr>
                <w:rFonts w:ascii="Times New Roman" w:hAnsi="Times New Roman" w:cs="Times New Roman"/>
                <w:sz w:val="24"/>
                <w:szCs w:val="24"/>
              </w:rPr>
              <w:t>Hemoglobin</w:t>
            </w:r>
          </w:p>
        </w:tc>
        <w:tc>
          <w:tcPr>
            <w:tcW w:w="788" w:type="dxa"/>
            <w:shd w:val="clear" w:color="auto" w:fill="FFFFFF"/>
          </w:tcPr>
          <w:p w14:paraId="4A811874"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.001</w:t>
            </w:r>
          </w:p>
        </w:tc>
        <w:tc>
          <w:tcPr>
            <w:tcW w:w="1198" w:type="dxa"/>
            <w:shd w:val="clear" w:color="auto" w:fill="FFFFFF"/>
          </w:tcPr>
          <w:p w14:paraId="55940A28"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.001</w:t>
            </w:r>
          </w:p>
        </w:tc>
        <w:tc>
          <w:tcPr>
            <w:tcW w:w="1579" w:type="dxa"/>
            <w:shd w:val="clear" w:color="auto" w:fill="FFFFFF"/>
          </w:tcPr>
          <w:p w14:paraId="2B568F94"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.147</w:t>
            </w:r>
          </w:p>
        </w:tc>
        <w:tc>
          <w:tcPr>
            <w:tcW w:w="829" w:type="dxa"/>
            <w:shd w:val="clear" w:color="auto" w:fill="FFFFFF"/>
          </w:tcPr>
          <w:p w14:paraId="32CEDB96"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sidRPr="006472A0">
              <w:rPr>
                <w:rFonts w:asciiTheme="majorBidi" w:hAnsiTheme="majorBidi" w:cstheme="majorBidi"/>
                <w:color w:val="010205"/>
                <w:sz w:val="24"/>
                <w:szCs w:val="24"/>
              </w:rPr>
              <w:t>1.222</w:t>
            </w:r>
          </w:p>
        </w:tc>
        <w:tc>
          <w:tcPr>
            <w:tcW w:w="1158" w:type="dxa"/>
            <w:shd w:val="clear" w:color="auto" w:fill="FFFFFF"/>
          </w:tcPr>
          <w:p w14:paraId="44CAD385"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.228</w:t>
            </w:r>
          </w:p>
        </w:tc>
        <w:tc>
          <w:tcPr>
            <w:tcW w:w="881" w:type="dxa"/>
            <w:shd w:val="clear" w:color="auto" w:fill="FFFFFF"/>
          </w:tcPr>
          <w:p w14:paraId="342180D7"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.000</w:t>
            </w:r>
          </w:p>
        </w:tc>
        <w:tc>
          <w:tcPr>
            <w:tcW w:w="1018" w:type="dxa"/>
            <w:shd w:val="clear" w:color="auto" w:fill="FFFFFF"/>
          </w:tcPr>
          <w:p w14:paraId="045884B0"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.002</w:t>
            </w:r>
          </w:p>
        </w:tc>
      </w:tr>
      <w:tr w:rsidR="00E4000C" w:rsidRPr="004E21DA" w14:paraId="700777BE" w14:textId="77777777" w:rsidTr="00884403">
        <w:tblPrEx>
          <w:tblLook w:val="0000" w:firstRow="0" w:lastRow="0" w:firstColumn="0" w:lastColumn="0" w:noHBand="0" w:noVBand="0"/>
        </w:tblPrEx>
        <w:trPr>
          <w:cantSplit/>
          <w:trHeight w:val="506"/>
          <w:tblHeader/>
          <w:jc w:val="center"/>
        </w:trPr>
        <w:tc>
          <w:tcPr>
            <w:tcW w:w="40" w:type="dxa"/>
            <w:vMerge/>
            <w:shd w:val="clear" w:color="auto" w:fill="FFFFFF"/>
          </w:tcPr>
          <w:p w14:paraId="01FD973D" w14:textId="77777777" w:rsidR="00E4000C" w:rsidRPr="004E21DA" w:rsidRDefault="00E4000C" w:rsidP="00884403">
            <w:pPr>
              <w:autoSpaceDE w:val="0"/>
              <w:autoSpaceDN w:val="0"/>
              <w:adjustRightInd w:val="0"/>
              <w:spacing w:after="0" w:line="240" w:lineRule="auto"/>
              <w:rPr>
                <w:rFonts w:asciiTheme="majorBidi" w:eastAsia="Calibri" w:hAnsiTheme="majorBidi" w:cstheme="majorBidi"/>
                <w:sz w:val="24"/>
                <w:szCs w:val="24"/>
              </w:rPr>
            </w:pPr>
          </w:p>
        </w:tc>
        <w:tc>
          <w:tcPr>
            <w:tcW w:w="2300" w:type="dxa"/>
          </w:tcPr>
          <w:p w14:paraId="789FB16F" w14:textId="1AC5F495" w:rsidR="00E4000C" w:rsidRPr="0087218F" w:rsidRDefault="00E4000C" w:rsidP="00884403">
            <w:pPr>
              <w:autoSpaceDE w:val="0"/>
              <w:autoSpaceDN w:val="0"/>
              <w:adjustRightInd w:val="0"/>
              <w:spacing w:after="0" w:line="240" w:lineRule="auto"/>
              <w:ind w:left="60" w:right="60"/>
              <w:jc w:val="center"/>
              <w:rPr>
                <w:rFonts w:asciiTheme="majorBidi" w:eastAsia="Calibri" w:hAnsiTheme="majorBidi" w:cstheme="majorBidi"/>
                <w:sz w:val="24"/>
                <w:szCs w:val="24"/>
              </w:rPr>
            </w:pPr>
            <w:bookmarkStart w:id="39" w:name="_Hlk125501174"/>
            <w:r w:rsidRPr="009E2250">
              <w:rPr>
                <w:rFonts w:asciiTheme="majorBidi" w:hAnsiTheme="majorBidi" w:cstheme="majorBidi"/>
                <w:sz w:val="24"/>
                <w:szCs w:val="24"/>
              </w:rPr>
              <w:t>Platelets</w:t>
            </w:r>
            <w:bookmarkEnd w:id="39"/>
          </w:p>
        </w:tc>
        <w:tc>
          <w:tcPr>
            <w:tcW w:w="788" w:type="dxa"/>
            <w:shd w:val="clear" w:color="auto" w:fill="FFFFFF"/>
          </w:tcPr>
          <w:p w14:paraId="2166EAF6"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.077</w:t>
            </w:r>
          </w:p>
        </w:tc>
        <w:tc>
          <w:tcPr>
            <w:tcW w:w="1198" w:type="dxa"/>
            <w:shd w:val="clear" w:color="auto" w:fill="FFFFFF"/>
          </w:tcPr>
          <w:p w14:paraId="04509EB0"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.030</w:t>
            </w:r>
          </w:p>
        </w:tc>
        <w:tc>
          <w:tcPr>
            <w:tcW w:w="1579" w:type="dxa"/>
            <w:shd w:val="clear" w:color="auto" w:fill="FFFFFF"/>
          </w:tcPr>
          <w:p w14:paraId="23E465B6"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.505</w:t>
            </w:r>
          </w:p>
        </w:tc>
        <w:tc>
          <w:tcPr>
            <w:tcW w:w="829" w:type="dxa"/>
            <w:shd w:val="clear" w:color="auto" w:fill="FFFFFF"/>
          </w:tcPr>
          <w:p w14:paraId="0C1EAB32"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sidRPr="006472A0">
              <w:rPr>
                <w:rFonts w:asciiTheme="majorBidi" w:hAnsiTheme="majorBidi" w:cstheme="majorBidi"/>
                <w:color w:val="010205"/>
                <w:sz w:val="24"/>
                <w:szCs w:val="24"/>
              </w:rPr>
              <w:t>2.574</w:t>
            </w:r>
          </w:p>
        </w:tc>
        <w:tc>
          <w:tcPr>
            <w:tcW w:w="1158" w:type="dxa"/>
            <w:shd w:val="clear" w:color="auto" w:fill="FFFFFF"/>
          </w:tcPr>
          <w:p w14:paraId="0F9A59DC"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sidRPr="00A60684">
              <w:rPr>
                <w:rFonts w:asciiTheme="majorBidi" w:hAnsiTheme="majorBidi" w:cstheme="majorBidi"/>
                <w:color w:val="010205"/>
                <w:sz w:val="24"/>
                <w:szCs w:val="24"/>
              </w:rPr>
              <w:t>˂0.001*</w:t>
            </w:r>
          </w:p>
        </w:tc>
        <w:tc>
          <w:tcPr>
            <w:tcW w:w="881" w:type="dxa"/>
            <w:shd w:val="clear" w:color="auto" w:fill="FFFFFF"/>
          </w:tcPr>
          <w:p w14:paraId="2F760558"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.017</w:t>
            </w:r>
          </w:p>
        </w:tc>
        <w:tc>
          <w:tcPr>
            <w:tcW w:w="1018" w:type="dxa"/>
            <w:shd w:val="clear" w:color="auto" w:fill="FFFFFF"/>
          </w:tcPr>
          <w:p w14:paraId="5DB7D231"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.137</w:t>
            </w:r>
          </w:p>
        </w:tc>
      </w:tr>
      <w:tr w:rsidR="00E4000C" w:rsidRPr="004E21DA" w14:paraId="49BD6461" w14:textId="77777777" w:rsidTr="00884403">
        <w:tblPrEx>
          <w:tblLook w:val="0000" w:firstRow="0" w:lastRow="0" w:firstColumn="0" w:lastColumn="0" w:noHBand="0" w:noVBand="0"/>
        </w:tblPrEx>
        <w:trPr>
          <w:cantSplit/>
          <w:trHeight w:val="350"/>
          <w:tblHeader/>
          <w:jc w:val="center"/>
        </w:trPr>
        <w:tc>
          <w:tcPr>
            <w:tcW w:w="40" w:type="dxa"/>
            <w:vMerge/>
            <w:shd w:val="clear" w:color="auto" w:fill="FFFFFF"/>
          </w:tcPr>
          <w:p w14:paraId="69899AF9" w14:textId="77777777" w:rsidR="00E4000C" w:rsidRPr="004E21DA" w:rsidRDefault="00E4000C" w:rsidP="00884403">
            <w:pPr>
              <w:autoSpaceDE w:val="0"/>
              <w:autoSpaceDN w:val="0"/>
              <w:adjustRightInd w:val="0"/>
              <w:spacing w:after="0" w:line="240" w:lineRule="auto"/>
              <w:rPr>
                <w:rFonts w:asciiTheme="majorBidi" w:eastAsia="Calibri" w:hAnsiTheme="majorBidi" w:cstheme="majorBidi"/>
                <w:sz w:val="24"/>
                <w:szCs w:val="24"/>
              </w:rPr>
            </w:pPr>
          </w:p>
        </w:tc>
        <w:tc>
          <w:tcPr>
            <w:tcW w:w="2300" w:type="dxa"/>
            <w:tcBorders>
              <w:bottom w:val="single" w:sz="4" w:space="0" w:color="auto"/>
            </w:tcBorders>
          </w:tcPr>
          <w:p w14:paraId="5F0B3279" w14:textId="77777777" w:rsidR="00E4000C" w:rsidRPr="0087218F" w:rsidRDefault="00E4000C" w:rsidP="00884403">
            <w:pPr>
              <w:autoSpaceDE w:val="0"/>
              <w:autoSpaceDN w:val="0"/>
              <w:adjustRightInd w:val="0"/>
              <w:spacing w:after="0" w:line="240" w:lineRule="auto"/>
              <w:ind w:left="60" w:right="60"/>
              <w:jc w:val="center"/>
              <w:rPr>
                <w:rFonts w:asciiTheme="majorBidi" w:eastAsia="Calibri" w:hAnsiTheme="majorBidi" w:cstheme="majorBidi"/>
                <w:sz w:val="24"/>
                <w:szCs w:val="24"/>
              </w:rPr>
            </w:pPr>
            <w:r>
              <w:rPr>
                <w:rFonts w:asciiTheme="majorBidi" w:eastAsia="Calibri" w:hAnsiTheme="majorBidi" w:cstheme="majorBidi"/>
                <w:sz w:val="24"/>
                <w:szCs w:val="24"/>
              </w:rPr>
              <w:t>LDH</w:t>
            </w:r>
          </w:p>
        </w:tc>
        <w:tc>
          <w:tcPr>
            <w:tcW w:w="788" w:type="dxa"/>
            <w:tcBorders>
              <w:bottom w:val="single" w:sz="4" w:space="0" w:color="auto"/>
            </w:tcBorders>
            <w:shd w:val="clear" w:color="auto" w:fill="FFFFFF"/>
          </w:tcPr>
          <w:p w14:paraId="4B9C3B00"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.000</w:t>
            </w:r>
          </w:p>
        </w:tc>
        <w:tc>
          <w:tcPr>
            <w:tcW w:w="1198" w:type="dxa"/>
            <w:tcBorders>
              <w:bottom w:val="single" w:sz="4" w:space="0" w:color="auto"/>
            </w:tcBorders>
            <w:shd w:val="clear" w:color="auto" w:fill="FFFFFF"/>
          </w:tcPr>
          <w:p w14:paraId="4390502F"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.000</w:t>
            </w:r>
          </w:p>
        </w:tc>
        <w:tc>
          <w:tcPr>
            <w:tcW w:w="1579" w:type="dxa"/>
            <w:tcBorders>
              <w:bottom w:val="single" w:sz="4" w:space="0" w:color="auto"/>
            </w:tcBorders>
            <w:shd w:val="clear" w:color="auto" w:fill="FFFFFF"/>
          </w:tcPr>
          <w:p w14:paraId="1260E51B"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sidRPr="006472A0">
              <w:rPr>
                <w:rFonts w:asciiTheme="majorBidi" w:hAnsiTheme="majorBidi" w:cstheme="majorBidi"/>
                <w:color w:val="010205"/>
                <w:sz w:val="24"/>
                <w:szCs w:val="24"/>
              </w:rPr>
              <w:t>-</w:t>
            </w:r>
            <w:r>
              <w:rPr>
                <w:rFonts w:asciiTheme="majorBidi" w:hAnsiTheme="majorBidi" w:cstheme="majorBidi"/>
                <w:color w:val="010205"/>
                <w:sz w:val="24"/>
                <w:szCs w:val="24"/>
              </w:rPr>
              <w:t>0</w:t>
            </w:r>
            <w:r w:rsidRPr="006472A0">
              <w:rPr>
                <w:rFonts w:asciiTheme="majorBidi" w:hAnsiTheme="majorBidi" w:cstheme="majorBidi"/>
                <w:color w:val="010205"/>
                <w:sz w:val="24"/>
                <w:szCs w:val="24"/>
              </w:rPr>
              <w:t>.181</w:t>
            </w:r>
          </w:p>
        </w:tc>
        <w:tc>
          <w:tcPr>
            <w:tcW w:w="829" w:type="dxa"/>
            <w:tcBorders>
              <w:bottom w:val="single" w:sz="4" w:space="0" w:color="auto"/>
            </w:tcBorders>
            <w:shd w:val="clear" w:color="auto" w:fill="FFFFFF"/>
          </w:tcPr>
          <w:p w14:paraId="2A4201F8"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sidRPr="006472A0">
              <w:rPr>
                <w:rFonts w:asciiTheme="majorBidi" w:hAnsiTheme="majorBidi" w:cstheme="majorBidi"/>
                <w:color w:val="010205"/>
                <w:sz w:val="24"/>
                <w:szCs w:val="24"/>
              </w:rPr>
              <w:t>-1.040</w:t>
            </w:r>
          </w:p>
        </w:tc>
        <w:tc>
          <w:tcPr>
            <w:tcW w:w="1158" w:type="dxa"/>
            <w:tcBorders>
              <w:bottom w:val="single" w:sz="4" w:space="0" w:color="auto"/>
            </w:tcBorders>
            <w:shd w:val="clear" w:color="auto" w:fill="FFFFFF"/>
          </w:tcPr>
          <w:p w14:paraId="415253AC"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.303</w:t>
            </w:r>
          </w:p>
        </w:tc>
        <w:tc>
          <w:tcPr>
            <w:tcW w:w="881" w:type="dxa"/>
            <w:tcBorders>
              <w:bottom w:val="single" w:sz="4" w:space="0" w:color="auto"/>
            </w:tcBorders>
            <w:shd w:val="clear" w:color="auto" w:fill="FFFFFF"/>
          </w:tcPr>
          <w:p w14:paraId="0E60B964"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sidRPr="006472A0">
              <w:rPr>
                <w:rFonts w:asciiTheme="majorBidi" w:hAnsiTheme="majorBidi" w:cstheme="majorBidi"/>
                <w:color w:val="010205"/>
                <w:sz w:val="24"/>
                <w:szCs w:val="24"/>
              </w:rPr>
              <w:t>-</w:t>
            </w:r>
            <w:r>
              <w:rPr>
                <w:rFonts w:asciiTheme="majorBidi" w:hAnsiTheme="majorBidi" w:cstheme="majorBidi"/>
                <w:color w:val="010205"/>
                <w:sz w:val="24"/>
                <w:szCs w:val="24"/>
              </w:rPr>
              <w:t>0</w:t>
            </w:r>
            <w:r w:rsidRPr="006472A0">
              <w:rPr>
                <w:rFonts w:asciiTheme="majorBidi" w:hAnsiTheme="majorBidi" w:cstheme="majorBidi"/>
                <w:color w:val="010205"/>
                <w:sz w:val="24"/>
                <w:szCs w:val="24"/>
              </w:rPr>
              <w:t>.001</w:t>
            </w:r>
          </w:p>
        </w:tc>
        <w:tc>
          <w:tcPr>
            <w:tcW w:w="1018" w:type="dxa"/>
            <w:tcBorders>
              <w:bottom w:val="single" w:sz="4" w:space="0" w:color="auto"/>
            </w:tcBorders>
            <w:shd w:val="clear" w:color="auto" w:fill="FFFFFF"/>
          </w:tcPr>
          <w:p w14:paraId="2FB4E4E1" w14:textId="77777777" w:rsidR="00E4000C" w:rsidRPr="006472A0" w:rsidRDefault="00E4000C" w:rsidP="00884403">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color w:val="010205"/>
                <w:sz w:val="24"/>
                <w:szCs w:val="24"/>
              </w:rPr>
              <w:t>0</w:t>
            </w:r>
            <w:r w:rsidRPr="006472A0">
              <w:rPr>
                <w:rFonts w:asciiTheme="majorBidi" w:hAnsiTheme="majorBidi" w:cstheme="majorBidi"/>
                <w:color w:val="010205"/>
                <w:sz w:val="24"/>
                <w:szCs w:val="24"/>
              </w:rPr>
              <w:t>.000</w:t>
            </w:r>
          </w:p>
        </w:tc>
      </w:tr>
      <w:bookmarkEnd w:id="37"/>
    </w:tbl>
    <w:p w14:paraId="0F6DAB2C" w14:textId="77777777" w:rsidR="00E4000C" w:rsidRDefault="00E4000C" w:rsidP="00E30642">
      <w:pPr>
        <w:autoSpaceDE w:val="0"/>
        <w:autoSpaceDN w:val="0"/>
        <w:adjustRightInd w:val="0"/>
        <w:spacing w:after="0" w:line="360" w:lineRule="auto"/>
        <w:ind w:firstLine="720"/>
        <w:jc w:val="both"/>
        <w:rPr>
          <w:rFonts w:asciiTheme="majorBidi" w:eastAsia="Calibri" w:hAnsiTheme="majorBidi" w:cstheme="majorBidi"/>
          <w:sz w:val="24"/>
          <w:szCs w:val="24"/>
        </w:rPr>
      </w:pPr>
    </w:p>
    <w:p w14:paraId="6A278FE7" w14:textId="77777777" w:rsidR="00213F8F" w:rsidRPr="00E30642" w:rsidRDefault="00213F8F" w:rsidP="00E30642">
      <w:pPr>
        <w:autoSpaceDE w:val="0"/>
        <w:autoSpaceDN w:val="0"/>
        <w:adjustRightInd w:val="0"/>
        <w:spacing w:after="0" w:line="360" w:lineRule="auto"/>
        <w:ind w:firstLine="720"/>
        <w:jc w:val="both"/>
        <w:rPr>
          <w:rFonts w:asciiTheme="majorBidi" w:eastAsia="Calibri" w:hAnsiTheme="majorBidi" w:cstheme="majorBidi"/>
          <w:sz w:val="24"/>
          <w:szCs w:val="24"/>
        </w:rPr>
      </w:pPr>
    </w:p>
    <w:p w14:paraId="1D2459F7" w14:textId="5394A4B0" w:rsidR="00C05559" w:rsidRPr="00E30642" w:rsidRDefault="00871AC8" w:rsidP="00E30642">
      <w:pPr>
        <w:autoSpaceDE w:val="0"/>
        <w:autoSpaceDN w:val="0"/>
        <w:adjustRightInd w:val="0"/>
        <w:spacing w:after="0" w:line="360" w:lineRule="auto"/>
        <w:rPr>
          <w:rFonts w:asciiTheme="majorBidi" w:hAnsiTheme="majorBidi" w:cstheme="majorBidi"/>
          <w:b/>
          <w:bCs/>
          <w:color w:val="000000"/>
          <w:sz w:val="24"/>
          <w:szCs w:val="24"/>
        </w:rPr>
      </w:pPr>
      <w:r w:rsidRPr="00E30642">
        <w:rPr>
          <w:rFonts w:asciiTheme="majorBidi" w:hAnsiTheme="majorBidi" w:cstheme="majorBidi"/>
          <w:b/>
          <w:bCs/>
          <w:color w:val="000000"/>
          <w:sz w:val="24"/>
          <w:szCs w:val="24"/>
        </w:rPr>
        <w:t xml:space="preserve">The accuracy of </w:t>
      </w:r>
      <w:bookmarkStart w:id="40" w:name="_Hlk125159418"/>
      <w:r w:rsidRPr="00E30642">
        <w:rPr>
          <w:rFonts w:asciiTheme="majorBidi" w:hAnsiTheme="majorBidi" w:cstheme="majorBidi"/>
          <w:b/>
          <w:bCs/>
          <w:color w:val="000000"/>
          <w:sz w:val="24"/>
          <w:szCs w:val="24"/>
        </w:rPr>
        <w:t xml:space="preserve">miR-150-5 p expression levels </w:t>
      </w:r>
      <w:bookmarkEnd w:id="40"/>
      <w:r w:rsidRPr="00E30642">
        <w:rPr>
          <w:rFonts w:asciiTheme="majorBidi" w:hAnsiTheme="majorBidi" w:cstheme="majorBidi"/>
          <w:b/>
          <w:bCs/>
          <w:color w:val="000000"/>
          <w:sz w:val="24"/>
          <w:szCs w:val="24"/>
        </w:rPr>
        <w:t>for discriminating CLL from control by ROC analysis</w:t>
      </w:r>
    </w:p>
    <w:p w14:paraId="169C241C" w14:textId="159EE016" w:rsidR="00C05559" w:rsidRDefault="00871AC8" w:rsidP="00E30642">
      <w:pPr>
        <w:autoSpaceDE w:val="0"/>
        <w:autoSpaceDN w:val="0"/>
        <w:adjustRightInd w:val="0"/>
        <w:spacing w:after="0" w:line="360" w:lineRule="auto"/>
        <w:rPr>
          <w:rFonts w:asciiTheme="majorBidi" w:hAnsiTheme="majorBidi" w:cstheme="majorBidi"/>
          <w:color w:val="000000"/>
          <w:sz w:val="24"/>
          <w:szCs w:val="24"/>
        </w:rPr>
      </w:pPr>
      <w:r w:rsidRPr="00E30642">
        <w:rPr>
          <w:rFonts w:asciiTheme="majorBidi" w:hAnsiTheme="majorBidi" w:cstheme="majorBidi"/>
          <w:color w:val="000000"/>
          <w:sz w:val="24"/>
          <w:szCs w:val="24"/>
        </w:rPr>
        <w:t xml:space="preserve">The </w:t>
      </w:r>
      <w:r w:rsidR="0047518F">
        <w:rPr>
          <w:rFonts w:asciiTheme="majorBidi" w:hAnsiTheme="majorBidi" w:cstheme="majorBidi"/>
          <w:color w:val="000000"/>
          <w:sz w:val="24"/>
          <w:szCs w:val="24"/>
        </w:rPr>
        <w:t>exciting</w:t>
      </w:r>
      <w:r w:rsidRPr="00E30642">
        <w:rPr>
          <w:rFonts w:asciiTheme="majorBidi" w:hAnsiTheme="majorBidi" w:cstheme="majorBidi"/>
          <w:color w:val="000000"/>
          <w:sz w:val="24"/>
          <w:szCs w:val="24"/>
        </w:rPr>
        <w:t xml:space="preserve"> finding of the current research is that the power of miR-150-5 p expression levels to </w:t>
      </w:r>
      <w:r w:rsidR="00786D71" w:rsidRPr="00E30642">
        <w:rPr>
          <w:rFonts w:asciiTheme="majorBidi" w:hAnsiTheme="majorBidi" w:cstheme="majorBidi"/>
          <w:color w:val="000000"/>
          <w:sz w:val="24"/>
          <w:szCs w:val="24"/>
        </w:rPr>
        <w:t>differentiate CLL</w:t>
      </w:r>
      <w:r w:rsidRPr="00E30642">
        <w:rPr>
          <w:rFonts w:asciiTheme="majorBidi" w:hAnsiTheme="majorBidi" w:cstheme="majorBidi"/>
          <w:color w:val="000000"/>
          <w:sz w:val="24"/>
          <w:szCs w:val="24"/>
        </w:rPr>
        <w:t xml:space="preserve"> from control was evaluated using ROC analysis. The AUC was 0.965 (95% CI = 0.901-1.000) with sensitivity = 96.2%, specificity = 98 %, and the cutoff values (0.553), figure 3, P-value ˂0.0</w:t>
      </w:r>
      <w:r w:rsidR="00A70C9D" w:rsidRPr="00E30642">
        <w:rPr>
          <w:rFonts w:asciiTheme="majorBidi" w:hAnsiTheme="majorBidi" w:cstheme="majorBidi"/>
          <w:color w:val="000000"/>
          <w:sz w:val="24"/>
          <w:szCs w:val="24"/>
        </w:rPr>
        <w:t>0</w:t>
      </w:r>
      <w:r w:rsidRPr="00E30642">
        <w:rPr>
          <w:rFonts w:asciiTheme="majorBidi" w:hAnsiTheme="majorBidi" w:cstheme="majorBidi"/>
          <w:color w:val="000000"/>
          <w:sz w:val="24"/>
          <w:szCs w:val="24"/>
        </w:rPr>
        <w:t>1*.</w:t>
      </w:r>
    </w:p>
    <w:p w14:paraId="0B0757AE" w14:textId="526B094A" w:rsidR="00AA7C37" w:rsidRDefault="00AA7C37" w:rsidP="00E30642">
      <w:pPr>
        <w:autoSpaceDE w:val="0"/>
        <w:autoSpaceDN w:val="0"/>
        <w:adjustRightInd w:val="0"/>
        <w:spacing w:after="0" w:line="360" w:lineRule="auto"/>
        <w:rPr>
          <w:rFonts w:asciiTheme="majorBidi" w:hAnsiTheme="majorBidi" w:cstheme="majorBidi"/>
          <w:color w:val="000000"/>
          <w:sz w:val="24"/>
          <w:szCs w:val="24"/>
        </w:rPr>
      </w:pPr>
    </w:p>
    <w:p w14:paraId="6F5048D3" w14:textId="693893DD" w:rsidR="00AA7C37" w:rsidRDefault="00AA7C37" w:rsidP="00E30642">
      <w:pPr>
        <w:autoSpaceDE w:val="0"/>
        <w:autoSpaceDN w:val="0"/>
        <w:adjustRightInd w:val="0"/>
        <w:spacing w:after="0" w:line="360" w:lineRule="auto"/>
        <w:rPr>
          <w:rFonts w:asciiTheme="majorBidi" w:hAnsiTheme="majorBidi" w:cstheme="majorBidi"/>
          <w:color w:val="000000"/>
          <w:sz w:val="24"/>
          <w:szCs w:val="24"/>
        </w:rPr>
      </w:pPr>
    </w:p>
    <w:p w14:paraId="3A8D6AAA" w14:textId="50895673" w:rsidR="00AA7C37" w:rsidRDefault="00AA7C37" w:rsidP="00E30642">
      <w:pPr>
        <w:autoSpaceDE w:val="0"/>
        <w:autoSpaceDN w:val="0"/>
        <w:adjustRightInd w:val="0"/>
        <w:spacing w:after="0" w:line="360" w:lineRule="auto"/>
        <w:rPr>
          <w:rFonts w:asciiTheme="majorBidi" w:hAnsiTheme="majorBidi" w:cstheme="majorBidi"/>
          <w:color w:val="000000"/>
          <w:sz w:val="24"/>
          <w:szCs w:val="24"/>
        </w:rPr>
      </w:pPr>
    </w:p>
    <w:p w14:paraId="6FC33CCB" w14:textId="77777777" w:rsidR="00AA7C37" w:rsidRDefault="00AA7C37" w:rsidP="00AA7C37">
      <w:pPr>
        <w:keepNext/>
        <w:autoSpaceDE w:val="0"/>
        <w:autoSpaceDN w:val="0"/>
        <w:adjustRightInd w:val="0"/>
        <w:spacing w:after="0" w:line="360" w:lineRule="auto"/>
      </w:pPr>
      <w:r>
        <w:rPr>
          <w:noProof/>
        </w:rPr>
        <w:drawing>
          <wp:inline distT="0" distB="0" distL="0" distR="0" wp14:anchorId="468F5880" wp14:editId="0442EE36">
            <wp:extent cx="3886200" cy="4066430"/>
            <wp:effectExtent l="19050" t="19050" r="19050" b="1079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3572" cy="4074144"/>
                    </a:xfrm>
                    <a:prstGeom prst="rect">
                      <a:avLst/>
                    </a:prstGeom>
                    <a:noFill/>
                    <a:ln>
                      <a:solidFill>
                        <a:sysClr val="windowText" lastClr="000000"/>
                      </a:solidFill>
                    </a:ln>
                  </pic:spPr>
                </pic:pic>
              </a:graphicData>
            </a:graphic>
          </wp:inline>
        </w:drawing>
      </w:r>
    </w:p>
    <w:p w14:paraId="3FC666A6" w14:textId="47A2B9D8" w:rsidR="00AA7C37" w:rsidRPr="00E30642" w:rsidRDefault="00AA7C37" w:rsidP="00AA7C37">
      <w:pPr>
        <w:pStyle w:val="Caption"/>
        <w:rPr>
          <w:rFonts w:asciiTheme="majorBidi" w:hAnsiTheme="majorBidi" w:cstheme="majorBidi"/>
          <w:color w:val="000000"/>
          <w:sz w:val="24"/>
          <w:szCs w:val="24"/>
        </w:rPr>
      </w:pPr>
      <w:r>
        <w:t xml:space="preserve">Fig </w:t>
      </w:r>
      <w:fldSimple w:instr=" SEQ Figure \* ARABIC ">
        <w:r w:rsidR="009505D9">
          <w:rPr>
            <w:noProof/>
          </w:rPr>
          <w:t>3</w:t>
        </w:r>
      </w:fldSimple>
      <w:r>
        <w:t xml:space="preserve">. </w:t>
      </w:r>
      <w:r w:rsidRPr="00AA7C37">
        <w:rPr>
          <w:b/>
          <w:bCs/>
        </w:rPr>
        <w:t>Receiver operating characteristic curve of the relative expression levels of miR-150-5 p for diagnosis CLL.</w:t>
      </w:r>
    </w:p>
    <w:bookmarkEnd w:id="14"/>
    <w:p w14:paraId="32C1625E" w14:textId="239999B2" w:rsidR="00C6473A" w:rsidRPr="00E30642" w:rsidRDefault="00871AC8" w:rsidP="00E30642">
      <w:pPr>
        <w:spacing w:line="360" w:lineRule="auto"/>
        <w:rPr>
          <w:rFonts w:asciiTheme="majorBidi" w:hAnsiTheme="majorBidi" w:cstheme="majorBidi"/>
          <w:b/>
          <w:bCs/>
          <w:sz w:val="24"/>
          <w:szCs w:val="24"/>
          <w:lang w:bidi="ar-EG"/>
        </w:rPr>
      </w:pPr>
      <w:r w:rsidRPr="00E30642">
        <w:rPr>
          <w:rFonts w:asciiTheme="majorBidi" w:hAnsiTheme="majorBidi" w:cstheme="majorBidi"/>
          <w:b/>
          <w:bCs/>
          <w:sz w:val="24"/>
          <w:szCs w:val="24"/>
          <w:lang w:bidi="ar-EG"/>
        </w:rPr>
        <w:t>Discussion</w:t>
      </w:r>
    </w:p>
    <w:p w14:paraId="686D925B" w14:textId="448E9FDC" w:rsidR="0087328B" w:rsidRPr="00E30642" w:rsidRDefault="00871AC8" w:rsidP="00E30642">
      <w:pPr>
        <w:spacing w:line="360" w:lineRule="auto"/>
        <w:ind w:firstLine="720"/>
        <w:jc w:val="both"/>
        <w:rPr>
          <w:rFonts w:asciiTheme="majorBidi" w:hAnsiTheme="majorBidi" w:cstheme="majorBidi"/>
          <w:sz w:val="24"/>
          <w:szCs w:val="24"/>
          <w:lang w:bidi="ar-EG"/>
        </w:rPr>
      </w:pPr>
      <w:r w:rsidRPr="00E30642">
        <w:rPr>
          <w:rFonts w:asciiTheme="majorBidi" w:hAnsiTheme="majorBidi" w:cstheme="majorBidi"/>
          <w:sz w:val="24"/>
          <w:szCs w:val="24"/>
          <w:lang w:bidi="ar-EG"/>
        </w:rPr>
        <w:t xml:space="preserve">Several studies reported </w:t>
      </w:r>
      <w:r w:rsidR="0047518F">
        <w:rPr>
          <w:rFonts w:asciiTheme="majorBidi" w:hAnsiTheme="majorBidi" w:cstheme="majorBidi"/>
          <w:sz w:val="24"/>
          <w:szCs w:val="24"/>
          <w:lang w:bidi="ar-EG"/>
        </w:rPr>
        <w:t xml:space="preserve">that </w:t>
      </w:r>
      <w:r w:rsidRPr="00E30642">
        <w:rPr>
          <w:rFonts w:asciiTheme="majorBidi" w:hAnsiTheme="majorBidi" w:cstheme="majorBidi"/>
          <w:sz w:val="24"/>
          <w:szCs w:val="24"/>
          <w:lang w:bidi="ar-EG"/>
        </w:rPr>
        <w:t>HCV infects not only hepatocytes but also extrahepatic cells</w:t>
      </w:r>
      <w:r w:rsidR="0047518F">
        <w:rPr>
          <w:rFonts w:asciiTheme="majorBidi" w:hAnsiTheme="majorBidi" w:cstheme="majorBidi"/>
          <w:sz w:val="24"/>
          <w:szCs w:val="24"/>
          <w:lang w:bidi="ar-EG"/>
        </w:rPr>
        <w:t>,</w:t>
      </w:r>
      <w:r w:rsidRPr="00E30642">
        <w:rPr>
          <w:rFonts w:asciiTheme="majorBidi" w:hAnsiTheme="majorBidi" w:cstheme="majorBidi"/>
          <w:sz w:val="24"/>
          <w:szCs w:val="24"/>
          <w:lang w:bidi="ar-EG"/>
        </w:rPr>
        <w:t xml:space="preserve"> for example</w:t>
      </w:r>
      <w:r w:rsidR="004149D2">
        <w:rPr>
          <w:rFonts w:asciiTheme="majorBidi" w:hAnsiTheme="majorBidi" w:cstheme="majorBidi"/>
          <w:sz w:val="24"/>
          <w:szCs w:val="24"/>
          <w:lang w:bidi="ar-EG"/>
        </w:rPr>
        <w:t>,</w:t>
      </w:r>
      <w:r w:rsidRPr="00E30642">
        <w:rPr>
          <w:rFonts w:asciiTheme="majorBidi" w:hAnsiTheme="majorBidi" w:cstheme="majorBidi"/>
          <w:sz w:val="24"/>
          <w:szCs w:val="24"/>
          <w:lang w:bidi="ar-EG"/>
        </w:rPr>
        <w:t xml:space="preserve"> B lymphocytes</w:t>
      </w:r>
      <w:r w:rsidR="0061266D" w:rsidRPr="00E30642">
        <w:rPr>
          <w:rFonts w:asciiTheme="majorBidi" w:hAnsiTheme="majorBidi" w:cstheme="majorBidi"/>
          <w:sz w:val="24"/>
          <w:szCs w:val="24"/>
          <w:lang w:bidi="ar-EG"/>
        </w:rPr>
        <w:t xml:space="preserve"> [1</w:t>
      </w:r>
      <w:r w:rsidR="002035C4">
        <w:rPr>
          <w:rFonts w:asciiTheme="majorBidi" w:hAnsiTheme="majorBidi" w:cstheme="majorBidi"/>
          <w:sz w:val="24"/>
          <w:szCs w:val="24"/>
          <w:lang w:bidi="ar-EG"/>
        </w:rPr>
        <w:t>2</w:t>
      </w:r>
      <w:r w:rsidR="0061266D" w:rsidRPr="00E30642">
        <w:rPr>
          <w:rFonts w:asciiTheme="majorBidi" w:hAnsiTheme="majorBidi" w:cstheme="majorBidi"/>
          <w:sz w:val="24"/>
          <w:szCs w:val="24"/>
          <w:lang w:bidi="ar-EG"/>
        </w:rPr>
        <w:t>]</w:t>
      </w:r>
      <w:r w:rsidR="00EF1D71">
        <w:rPr>
          <w:rFonts w:asciiTheme="majorBidi" w:hAnsiTheme="majorBidi" w:cstheme="majorBidi"/>
          <w:sz w:val="24"/>
          <w:szCs w:val="24"/>
          <w:lang w:bidi="ar-EG"/>
        </w:rPr>
        <w:t>.</w:t>
      </w:r>
      <w:r w:rsidR="0047518F">
        <w:rPr>
          <w:rFonts w:asciiTheme="majorBidi" w:hAnsiTheme="majorBidi" w:cstheme="majorBidi"/>
          <w:sz w:val="24"/>
          <w:szCs w:val="24"/>
          <w:lang w:bidi="ar-EG"/>
        </w:rPr>
        <w:t xml:space="preserve"> </w:t>
      </w:r>
      <w:r w:rsidR="00EF1D71" w:rsidRPr="004149D2">
        <w:rPr>
          <w:rFonts w:asciiTheme="majorBidi" w:hAnsiTheme="majorBidi" w:cstheme="majorBidi"/>
          <w:sz w:val="24"/>
          <w:szCs w:val="24"/>
          <w:lang w:bidi="ar-EG"/>
        </w:rPr>
        <w:t>T</w:t>
      </w:r>
      <w:r w:rsidRPr="004149D2">
        <w:rPr>
          <w:rFonts w:asciiTheme="majorBidi" w:hAnsiTheme="majorBidi" w:cstheme="majorBidi"/>
          <w:sz w:val="24"/>
          <w:szCs w:val="24"/>
          <w:lang w:bidi="ar-EG"/>
        </w:rPr>
        <w:t>he oligoclonal proliferation of the infected B-cells and the presence of HCV in lymphocytes could initiate growth dysregulation and predispose the lymphocyte to develop</w:t>
      </w:r>
      <w:r w:rsidR="001D23D8" w:rsidRPr="004149D2">
        <w:rPr>
          <w:rFonts w:asciiTheme="majorBidi" w:hAnsiTheme="majorBidi" w:cstheme="majorBidi"/>
          <w:sz w:val="24"/>
          <w:szCs w:val="24"/>
          <w:lang w:bidi="ar-EG"/>
        </w:rPr>
        <w:t xml:space="preserve"> </w:t>
      </w:r>
      <w:r w:rsidRPr="004149D2">
        <w:rPr>
          <w:rFonts w:asciiTheme="majorBidi" w:hAnsiTheme="majorBidi" w:cstheme="majorBidi"/>
          <w:sz w:val="24"/>
          <w:szCs w:val="24"/>
          <w:lang w:bidi="ar-EG"/>
        </w:rPr>
        <w:t>molecular changes</w:t>
      </w:r>
      <w:r w:rsidR="001D23D8" w:rsidRPr="004149D2">
        <w:rPr>
          <w:rFonts w:asciiTheme="majorBidi" w:hAnsiTheme="majorBidi" w:cstheme="majorBidi"/>
          <w:sz w:val="24"/>
          <w:szCs w:val="24"/>
          <w:lang w:bidi="ar-EG"/>
        </w:rPr>
        <w:t xml:space="preserve"> and</w:t>
      </w:r>
      <w:r w:rsidR="0047518F" w:rsidRPr="004149D2">
        <w:rPr>
          <w:rFonts w:asciiTheme="majorBidi" w:hAnsiTheme="majorBidi" w:cstheme="majorBidi"/>
          <w:sz w:val="24"/>
          <w:szCs w:val="24"/>
          <w:lang w:bidi="ar-EG"/>
        </w:rPr>
        <w:t xml:space="preserve"> </w:t>
      </w:r>
      <w:r w:rsidRPr="004149D2">
        <w:rPr>
          <w:rFonts w:asciiTheme="majorBidi" w:hAnsiTheme="majorBidi" w:cstheme="majorBidi"/>
          <w:sz w:val="24"/>
          <w:szCs w:val="24"/>
          <w:lang w:bidi="ar-EG"/>
        </w:rPr>
        <w:t xml:space="preserve">malignant B-cell lymphoproliferative </w:t>
      </w:r>
      <w:r w:rsidR="0061266D" w:rsidRPr="004149D2">
        <w:rPr>
          <w:rFonts w:asciiTheme="majorBidi" w:hAnsiTheme="majorBidi" w:cstheme="majorBidi"/>
          <w:sz w:val="24"/>
          <w:szCs w:val="24"/>
          <w:lang w:bidi="ar-EG"/>
        </w:rPr>
        <w:t>disease, for example, CLL [1</w:t>
      </w:r>
      <w:r w:rsidR="002035C4" w:rsidRPr="004149D2">
        <w:rPr>
          <w:rFonts w:asciiTheme="majorBidi" w:hAnsiTheme="majorBidi" w:cstheme="majorBidi"/>
          <w:sz w:val="24"/>
          <w:szCs w:val="24"/>
          <w:lang w:bidi="ar-EG"/>
        </w:rPr>
        <w:t>3</w:t>
      </w:r>
      <w:r w:rsidR="0061266D" w:rsidRPr="004149D2">
        <w:rPr>
          <w:rFonts w:asciiTheme="majorBidi" w:hAnsiTheme="majorBidi" w:cstheme="majorBidi"/>
          <w:sz w:val="24"/>
          <w:szCs w:val="24"/>
          <w:lang w:bidi="ar-EG"/>
        </w:rPr>
        <w:t>]. Indeed,</w:t>
      </w:r>
      <w:r w:rsidRPr="004149D2">
        <w:rPr>
          <w:rFonts w:asciiTheme="majorBidi" w:hAnsiTheme="majorBidi" w:cstheme="majorBidi"/>
          <w:sz w:val="24"/>
          <w:szCs w:val="24"/>
          <w:lang w:bidi="ar-EG"/>
        </w:rPr>
        <w:t xml:space="preserve"> </w:t>
      </w:r>
      <w:r w:rsidR="006E18F5" w:rsidRPr="006E18F5">
        <w:rPr>
          <w:rFonts w:asciiTheme="majorBidi" w:hAnsiTheme="majorBidi" w:cstheme="majorBidi"/>
          <w:sz w:val="24"/>
          <w:szCs w:val="24"/>
          <w:lang w:bidi="ar-EG"/>
        </w:rPr>
        <w:t xml:space="preserve">the prevalence of monoclonal B-cell lymphocytosis (MBL) </w:t>
      </w:r>
      <w:r w:rsidR="0061266D" w:rsidRPr="00E30642">
        <w:rPr>
          <w:rFonts w:asciiTheme="majorBidi" w:hAnsiTheme="majorBidi" w:cstheme="majorBidi"/>
          <w:sz w:val="24"/>
          <w:szCs w:val="24"/>
          <w:lang w:bidi="ar-EG"/>
        </w:rPr>
        <w:t>in HCV-infected patients</w:t>
      </w:r>
      <w:r w:rsidRPr="00E30642">
        <w:rPr>
          <w:rFonts w:asciiTheme="majorBidi" w:hAnsiTheme="majorBidi" w:cstheme="majorBidi"/>
          <w:sz w:val="24"/>
          <w:szCs w:val="24"/>
          <w:lang w:bidi="ar-EG"/>
        </w:rPr>
        <w:t xml:space="preserve"> </w:t>
      </w:r>
      <w:r w:rsidR="0061266D" w:rsidRPr="00E30642">
        <w:rPr>
          <w:rFonts w:asciiTheme="majorBidi" w:hAnsiTheme="majorBidi" w:cstheme="majorBidi"/>
          <w:sz w:val="24"/>
          <w:szCs w:val="24"/>
          <w:lang w:bidi="ar-EG"/>
        </w:rPr>
        <w:t>was higher than in</w:t>
      </w:r>
      <w:r w:rsidRPr="00E30642">
        <w:rPr>
          <w:rFonts w:asciiTheme="majorBidi" w:hAnsiTheme="majorBidi" w:cstheme="majorBidi"/>
          <w:sz w:val="24"/>
          <w:szCs w:val="24"/>
          <w:lang w:bidi="ar-EG"/>
        </w:rPr>
        <w:t xml:space="preserve"> the general population</w:t>
      </w:r>
      <w:r w:rsidR="0061266D" w:rsidRPr="00E30642">
        <w:rPr>
          <w:rFonts w:asciiTheme="majorBidi" w:hAnsiTheme="majorBidi" w:cstheme="majorBidi"/>
          <w:sz w:val="24"/>
          <w:szCs w:val="24"/>
          <w:lang w:bidi="ar-EG"/>
        </w:rPr>
        <w:t xml:space="preserve"> [1</w:t>
      </w:r>
      <w:r w:rsidR="002035C4">
        <w:rPr>
          <w:rFonts w:asciiTheme="majorBidi" w:hAnsiTheme="majorBidi" w:cstheme="majorBidi"/>
          <w:sz w:val="24"/>
          <w:szCs w:val="24"/>
          <w:lang w:bidi="ar-EG"/>
        </w:rPr>
        <w:t>4</w:t>
      </w:r>
      <w:r w:rsidR="0061266D" w:rsidRPr="00E30642">
        <w:rPr>
          <w:rFonts w:asciiTheme="majorBidi" w:hAnsiTheme="majorBidi" w:cstheme="majorBidi"/>
          <w:sz w:val="24"/>
          <w:szCs w:val="24"/>
          <w:lang w:bidi="ar-EG"/>
        </w:rPr>
        <w:t>].</w:t>
      </w:r>
    </w:p>
    <w:p w14:paraId="2BADA62B" w14:textId="26D78E73" w:rsidR="0061266D" w:rsidRPr="00E30642" w:rsidRDefault="003E72B1" w:rsidP="00E30642">
      <w:pPr>
        <w:spacing w:line="360" w:lineRule="auto"/>
        <w:ind w:firstLine="720"/>
        <w:jc w:val="both"/>
        <w:rPr>
          <w:rFonts w:asciiTheme="majorBidi" w:hAnsiTheme="majorBidi" w:cstheme="majorBidi"/>
          <w:sz w:val="24"/>
          <w:szCs w:val="24"/>
          <w:lang w:bidi="ar-EG"/>
        </w:rPr>
      </w:pPr>
      <w:r w:rsidRPr="004149D2">
        <w:rPr>
          <w:rFonts w:asciiTheme="majorBidi" w:hAnsiTheme="majorBidi" w:cstheme="majorBidi"/>
          <w:sz w:val="24"/>
          <w:szCs w:val="24"/>
          <w:lang w:bidi="ar-EG"/>
        </w:rPr>
        <w:t>CLL is more prevalent in the elderly</w:t>
      </w:r>
      <w:r w:rsidR="0047518F" w:rsidRPr="004149D2">
        <w:rPr>
          <w:rFonts w:asciiTheme="majorBidi" w:hAnsiTheme="majorBidi" w:cstheme="majorBidi"/>
          <w:sz w:val="24"/>
          <w:szCs w:val="24"/>
          <w:lang w:bidi="ar-EG"/>
        </w:rPr>
        <w:t>,</w:t>
      </w:r>
      <w:r w:rsidRPr="004149D2">
        <w:rPr>
          <w:rFonts w:asciiTheme="majorBidi" w:hAnsiTheme="majorBidi" w:cstheme="majorBidi"/>
          <w:sz w:val="24"/>
          <w:szCs w:val="24"/>
          <w:lang w:bidi="ar-EG"/>
        </w:rPr>
        <w:t xml:space="preserve"> and to overcome any drawbacks in the results</w:t>
      </w:r>
      <w:r w:rsidR="0047518F" w:rsidRPr="004149D2">
        <w:rPr>
          <w:rFonts w:asciiTheme="majorBidi" w:hAnsiTheme="majorBidi" w:cstheme="majorBidi"/>
          <w:sz w:val="24"/>
          <w:szCs w:val="24"/>
          <w:lang w:bidi="ar-EG"/>
        </w:rPr>
        <w:t>,</w:t>
      </w:r>
      <w:r w:rsidRPr="004149D2">
        <w:rPr>
          <w:rFonts w:asciiTheme="majorBidi" w:hAnsiTheme="majorBidi" w:cstheme="majorBidi"/>
          <w:sz w:val="24"/>
          <w:szCs w:val="24"/>
          <w:lang w:bidi="ar-EG"/>
        </w:rPr>
        <w:t xml:space="preserve"> we selected a control group matched to the CLL group regarding age and sex.</w:t>
      </w:r>
      <w:r w:rsidRPr="003E72B1">
        <w:rPr>
          <w:rFonts w:asciiTheme="majorBidi" w:hAnsiTheme="majorBidi" w:cstheme="majorBidi"/>
          <w:sz w:val="24"/>
          <w:szCs w:val="24"/>
          <w:lang w:bidi="ar-EG"/>
        </w:rPr>
        <w:t xml:space="preserve"> </w:t>
      </w:r>
      <w:r w:rsidR="0047518F">
        <w:rPr>
          <w:rFonts w:asciiTheme="majorBidi" w:hAnsiTheme="majorBidi" w:cstheme="majorBidi"/>
          <w:sz w:val="24"/>
          <w:szCs w:val="24"/>
          <w:lang w:bidi="ar-EG"/>
        </w:rPr>
        <w:t>Therefore, the</w:t>
      </w:r>
      <w:r w:rsidRPr="00E30642">
        <w:rPr>
          <w:rFonts w:asciiTheme="majorBidi" w:hAnsiTheme="majorBidi" w:cstheme="majorBidi"/>
          <w:sz w:val="24"/>
          <w:szCs w:val="24"/>
          <w:lang w:bidi="ar-EG"/>
        </w:rPr>
        <w:t xml:space="preserve"> present study aimed to explore the prevalence of</w:t>
      </w:r>
      <w:r w:rsidRPr="00E30642">
        <w:rPr>
          <w:rFonts w:asciiTheme="majorBidi" w:hAnsiTheme="majorBidi" w:cstheme="majorBidi"/>
          <w:sz w:val="24"/>
          <w:szCs w:val="24"/>
        </w:rPr>
        <w:t xml:space="preserve"> </w:t>
      </w:r>
      <w:r w:rsidRPr="00E30642">
        <w:rPr>
          <w:rFonts w:asciiTheme="majorBidi" w:hAnsiTheme="majorBidi" w:cstheme="majorBidi"/>
          <w:sz w:val="24"/>
          <w:szCs w:val="24"/>
          <w:lang w:bidi="ar-EG"/>
        </w:rPr>
        <w:t xml:space="preserve">HCV infection among studied CLL </w:t>
      </w:r>
      <w:r w:rsidR="00031D05" w:rsidRPr="00E30642">
        <w:rPr>
          <w:rFonts w:asciiTheme="majorBidi" w:hAnsiTheme="majorBidi" w:cstheme="majorBidi"/>
          <w:sz w:val="24"/>
          <w:szCs w:val="24"/>
          <w:lang w:bidi="ar-EG"/>
        </w:rPr>
        <w:t>patients,</w:t>
      </w:r>
      <w:r w:rsidRPr="00E30642">
        <w:rPr>
          <w:rFonts w:asciiTheme="majorBidi" w:hAnsiTheme="majorBidi" w:cstheme="majorBidi"/>
          <w:sz w:val="24"/>
          <w:szCs w:val="24"/>
          <w:lang w:bidi="ar-EG"/>
        </w:rPr>
        <w:t xml:space="preserve"> and we detected that there were statistically significant differences regards HCV infection percentage among CLL patients, with about 19 (76%) of CLL patients not infected with HCV and 6 (24%) of CLL patients were infected with HCV.</w:t>
      </w:r>
    </w:p>
    <w:p w14:paraId="2833B42B" w14:textId="40D7BF34" w:rsidR="00067E21" w:rsidRPr="00E30642" w:rsidRDefault="00871AC8" w:rsidP="00E30642">
      <w:pPr>
        <w:spacing w:line="360" w:lineRule="auto"/>
        <w:ind w:firstLine="720"/>
        <w:jc w:val="both"/>
        <w:rPr>
          <w:rFonts w:asciiTheme="majorBidi" w:eastAsia="Times New Roman" w:hAnsiTheme="majorBidi" w:cstheme="majorBidi"/>
          <w:color w:val="212121"/>
          <w:sz w:val="24"/>
          <w:szCs w:val="24"/>
        </w:rPr>
      </w:pPr>
      <w:r w:rsidRPr="00E30642">
        <w:rPr>
          <w:rFonts w:asciiTheme="majorBidi" w:hAnsiTheme="majorBidi" w:cstheme="majorBidi"/>
          <w:sz w:val="24"/>
          <w:szCs w:val="24"/>
          <w:lang w:bidi="ar-EG"/>
        </w:rPr>
        <w:t xml:space="preserve">Similarly, </w:t>
      </w:r>
      <w:proofErr w:type="spellStart"/>
      <w:r w:rsidR="00031D05" w:rsidRPr="00E30642">
        <w:rPr>
          <w:rFonts w:asciiTheme="majorBidi" w:eastAsia="Times New Roman" w:hAnsiTheme="majorBidi" w:cstheme="majorBidi"/>
          <w:color w:val="212121"/>
          <w:sz w:val="24"/>
          <w:szCs w:val="24"/>
        </w:rPr>
        <w:t>Vladareanu</w:t>
      </w:r>
      <w:proofErr w:type="spellEnd"/>
      <w:r w:rsidR="00031D05" w:rsidRPr="00E30642">
        <w:rPr>
          <w:rFonts w:asciiTheme="majorBidi" w:eastAsia="Times New Roman" w:hAnsiTheme="majorBidi" w:cstheme="majorBidi"/>
          <w:color w:val="212121"/>
          <w:sz w:val="24"/>
          <w:szCs w:val="24"/>
        </w:rPr>
        <w:t xml:space="preserve"> </w:t>
      </w:r>
      <w:r w:rsidR="0047518F">
        <w:rPr>
          <w:rFonts w:asciiTheme="majorBidi" w:eastAsia="Times New Roman" w:hAnsiTheme="majorBidi" w:cstheme="majorBidi"/>
          <w:color w:val="212121"/>
          <w:sz w:val="24"/>
          <w:szCs w:val="24"/>
        </w:rPr>
        <w:t>et al.</w:t>
      </w:r>
      <w:r w:rsidRPr="00E30642">
        <w:rPr>
          <w:rFonts w:asciiTheme="majorBidi" w:eastAsia="Times New Roman" w:hAnsiTheme="majorBidi" w:cstheme="majorBidi"/>
          <w:color w:val="212121"/>
          <w:sz w:val="24"/>
          <w:szCs w:val="24"/>
        </w:rPr>
        <w:t xml:space="preserve"> observed </w:t>
      </w:r>
      <w:r w:rsidR="00031D05" w:rsidRPr="00E30642">
        <w:rPr>
          <w:rFonts w:asciiTheme="majorBidi" w:eastAsia="Times New Roman" w:hAnsiTheme="majorBidi" w:cstheme="majorBidi"/>
          <w:color w:val="212121"/>
          <w:sz w:val="24"/>
          <w:szCs w:val="24"/>
        </w:rPr>
        <w:t>a higher frequency</w:t>
      </w:r>
      <w:r w:rsidRPr="00E30642">
        <w:rPr>
          <w:rFonts w:asciiTheme="majorBidi" w:eastAsia="Times New Roman" w:hAnsiTheme="majorBidi" w:cstheme="majorBidi"/>
          <w:color w:val="212121"/>
          <w:sz w:val="24"/>
          <w:szCs w:val="24"/>
        </w:rPr>
        <w:t xml:space="preserve"> of chronic lymphoproliferative disorders </w:t>
      </w:r>
      <w:r w:rsidR="00031D05" w:rsidRPr="00E30642">
        <w:rPr>
          <w:rFonts w:asciiTheme="majorBidi" w:eastAsia="Times New Roman" w:hAnsiTheme="majorBidi" w:cstheme="majorBidi"/>
          <w:color w:val="212121"/>
          <w:sz w:val="24"/>
          <w:szCs w:val="24"/>
        </w:rPr>
        <w:t>related</w:t>
      </w:r>
      <w:r w:rsidRPr="00E30642">
        <w:rPr>
          <w:rFonts w:asciiTheme="majorBidi" w:eastAsia="Times New Roman" w:hAnsiTheme="majorBidi" w:cstheme="majorBidi"/>
          <w:color w:val="212121"/>
          <w:sz w:val="24"/>
          <w:szCs w:val="24"/>
        </w:rPr>
        <w:t xml:space="preserve"> </w:t>
      </w:r>
      <w:r w:rsidR="00031D05" w:rsidRPr="005E1C7A">
        <w:rPr>
          <w:rFonts w:asciiTheme="majorBidi" w:eastAsia="Times New Roman" w:hAnsiTheme="majorBidi" w:cstheme="majorBidi"/>
          <w:sz w:val="24"/>
          <w:szCs w:val="24"/>
        </w:rPr>
        <w:t>to HCV</w:t>
      </w:r>
      <w:r w:rsidRPr="005E1C7A">
        <w:rPr>
          <w:rFonts w:asciiTheme="majorBidi" w:eastAsia="Times New Roman" w:hAnsiTheme="majorBidi" w:cstheme="majorBidi"/>
          <w:sz w:val="24"/>
          <w:szCs w:val="24"/>
        </w:rPr>
        <w:t xml:space="preserve"> infections </w:t>
      </w:r>
      <w:r w:rsidR="00031D05" w:rsidRPr="005E1C7A">
        <w:rPr>
          <w:rFonts w:asciiTheme="majorBidi" w:eastAsia="Times New Roman" w:hAnsiTheme="majorBidi" w:cstheme="majorBidi"/>
          <w:sz w:val="24"/>
          <w:szCs w:val="24"/>
        </w:rPr>
        <w:t xml:space="preserve">in particular </w:t>
      </w:r>
      <w:r w:rsidR="0047518F">
        <w:rPr>
          <w:rFonts w:asciiTheme="majorBidi" w:eastAsia="Times New Roman" w:hAnsiTheme="majorBidi" w:cstheme="majorBidi"/>
          <w:sz w:val="24"/>
          <w:szCs w:val="24"/>
        </w:rPr>
        <w:t>older women</w:t>
      </w:r>
      <w:r w:rsidR="00031D05" w:rsidRPr="005E1C7A">
        <w:rPr>
          <w:rFonts w:asciiTheme="majorBidi" w:eastAsia="Times New Roman" w:hAnsiTheme="majorBidi" w:cstheme="majorBidi"/>
          <w:sz w:val="24"/>
          <w:szCs w:val="24"/>
        </w:rPr>
        <w:t xml:space="preserve"> [1</w:t>
      </w:r>
      <w:r w:rsidR="002035C4">
        <w:rPr>
          <w:rFonts w:asciiTheme="majorBidi" w:eastAsia="Times New Roman" w:hAnsiTheme="majorBidi" w:cstheme="majorBidi"/>
          <w:sz w:val="24"/>
          <w:szCs w:val="24"/>
        </w:rPr>
        <w:t>5</w:t>
      </w:r>
      <w:r w:rsidR="00031D05" w:rsidRPr="005E1C7A">
        <w:rPr>
          <w:rFonts w:asciiTheme="majorBidi" w:eastAsia="Times New Roman" w:hAnsiTheme="majorBidi" w:cstheme="majorBidi"/>
          <w:sz w:val="24"/>
          <w:szCs w:val="24"/>
        </w:rPr>
        <w:t>].</w:t>
      </w:r>
      <w:r w:rsidR="00031D05" w:rsidRPr="005E1C7A">
        <w:rPr>
          <w:rFonts w:asciiTheme="majorBidi" w:hAnsiTheme="majorBidi" w:cstheme="majorBidi"/>
          <w:sz w:val="24"/>
          <w:szCs w:val="24"/>
        </w:rPr>
        <w:t xml:space="preserve"> </w:t>
      </w:r>
      <w:r w:rsidR="0047518F">
        <w:rPr>
          <w:rFonts w:asciiTheme="majorBidi" w:eastAsia="Times New Roman" w:hAnsiTheme="majorBidi" w:cstheme="majorBidi"/>
          <w:sz w:val="24"/>
          <w:szCs w:val="24"/>
        </w:rPr>
        <w:t>They</w:t>
      </w:r>
      <w:r w:rsidR="00031D05" w:rsidRPr="005E1C7A">
        <w:rPr>
          <w:rFonts w:asciiTheme="majorBidi" w:eastAsia="Times New Roman" w:hAnsiTheme="majorBidi" w:cstheme="majorBidi"/>
          <w:sz w:val="24"/>
          <w:szCs w:val="24"/>
        </w:rPr>
        <w:t xml:space="preserve"> contributed their findings to</w:t>
      </w:r>
      <w:r w:rsidR="00031D05" w:rsidRPr="005E1C7A">
        <w:rPr>
          <w:rFonts w:asciiTheme="majorBidi" w:hAnsiTheme="majorBidi" w:cstheme="majorBidi"/>
          <w:sz w:val="24"/>
          <w:szCs w:val="24"/>
        </w:rPr>
        <w:t xml:space="preserve"> </w:t>
      </w:r>
      <w:r w:rsidR="005E1C7A" w:rsidRPr="005E1C7A">
        <w:rPr>
          <w:rFonts w:asciiTheme="majorBidi" w:eastAsia="Times New Roman" w:hAnsiTheme="majorBidi" w:cstheme="majorBidi"/>
          <w:sz w:val="24"/>
          <w:szCs w:val="24"/>
        </w:rPr>
        <w:t>persistent</w:t>
      </w:r>
      <w:r w:rsidR="00031D05" w:rsidRPr="005E1C7A">
        <w:rPr>
          <w:rFonts w:asciiTheme="majorBidi" w:eastAsia="Times New Roman" w:hAnsiTheme="majorBidi" w:cstheme="majorBidi"/>
          <w:sz w:val="24"/>
          <w:szCs w:val="24"/>
        </w:rPr>
        <w:t xml:space="preserve"> </w:t>
      </w:r>
      <w:r w:rsidR="005E1C7A" w:rsidRPr="005E1C7A">
        <w:rPr>
          <w:rFonts w:asciiTheme="majorBidi" w:eastAsia="Times New Roman" w:hAnsiTheme="majorBidi" w:cstheme="majorBidi"/>
          <w:sz w:val="24"/>
          <w:szCs w:val="24"/>
        </w:rPr>
        <w:t>activation</w:t>
      </w:r>
      <w:r w:rsidR="00031D05" w:rsidRPr="005E1C7A">
        <w:rPr>
          <w:rFonts w:asciiTheme="majorBidi" w:eastAsia="Times New Roman" w:hAnsiTheme="majorBidi" w:cstheme="majorBidi"/>
          <w:sz w:val="24"/>
          <w:szCs w:val="24"/>
        </w:rPr>
        <w:t xml:space="preserve"> by HCV leading to B–clone proliferation in the bone marrow and liver and </w:t>
      </w:r>
      <w:r w:rsidR="005E1C7A" w:rsidRPr="005E1C7A">
        <w:rPr>
          <w:rFonts w:asciiTheme="majorBidi" w:eastAsia="Times New Roman" w:hAnsiTheme="majorBidi" w:cstheme="majorBidi"/>
          <w:sz w:val="24"/>
          <w:szCs w:val="24"/>
        </w:rPr>
        <w:t>fatal</w:t>
      </w:r>
      <w:r w:rsidR="00031D05" w:rsidRPr="005E1C7A">
        <w:rPr>
          <w:rFonts w:asciiTheme="majorBidi" w:eastAsia="Times New Roman" w:hAnsiTheme="majorBidi" w:cstheme="majorBidi"/>
          <w:sz w:val="24"/>
          <w:szCs w:val="24"/>
        </w:rPr>
        <w:t xml:space="preserve"> </w:t>
      </w:r>
      <w:r w:rsidR="005E1C7A" w:rsidRPr="005E1C7A">
        <w:rPr>
          <w:rFonts w:asciiTheme="majorBidi" w:eastAsia="Times New Roman" w:hAnsiTheme="majorBidi" w:cstheme="majorBidi"/>
          <w:sz w:val="24"/>
          <w:szCs w:val="24"/>
        </w:rPr>
        <w:t>alteration</w:t>
      </w:r>
      <w:r w:rsidR="00031D05" w:rsidRPr="005E1C7A">
        <w:rPr>
          <w:rFonts w:asciiTheme="majorBidi" w:eastAsia="Times New Roman" w:hAnsiTheme="majorBidi" w:cstheme="majorBidi"/>
          <w:sz w:val="24"/>
          <w:szCs w:val="24"/>
        </w:rPr>
        <w:t xml:space="preserve">. HCV antigens such as E2 protein have the binding site CD 81, representing the specific hepatocyte </w:t>
      </w:r>
      <w:r w:rsidR="00031D05" w:rsidRPr="00E30642">
        <w:rPr>
          <w:rFonts w:asciiTheme="majorBidi" w:eastAsia="Times New Roman" w:hAnsiTheme="majorBidi" w:cstheme="majorBidi"/>
          <w:color w:val="212121"/>
          <w:sz w:val="24"/>
          <w:szCs w:val="24"/>
        </w:rPr>
        <w:t>and B–lymphocyte receptor for HCV[1</w:t>
      </w:r>
      <w:r w:rsidR="002035C4">
        <w:rPr>
          <w:rFonts w:asciiTheme="majorBidi" w:eastAsia="Times New Roman" w:hAnsiTheme="majorBidi" w:cstheme="majorBidi"/>
          <w:color w:val="212121"/>
          <w:sz w:val="24"/>
          <w:szCs w:val="24"/>
        </w:rPr>
        <w:t>6</w:t>
      </w:r>
      <w:r w:rsidR="00031D05" w:rsidRPr="00E30642">
        <w:rPr>
          <w:rFonts w:asciiTheme="majorBidi" w:eastAsia="Times New Roman" w:hAnsiTheme="majorBidi" w:cstheme="majorBidi"/>
          <w:color w:val="212121"/>
          <w:sz w:val="24"/>
          <w:szCs w:val="24"/>
        </w:rPr>
        <w:t>].</w:t>
      </w:r>
    </w:p>
    <w:p w14:paraId="0CBD97B3" w14:textId="3A3CD50D" w:rsidR="00031D05" w:rsidRPr="00E30642" w:rsidRDefault="00871AC8" w:rsidP="00E30642">
      <w:pPr>
        <w:spacing w:line="360" w:lineRule="auto"/>
        <w:ind w:firstLine="720"/>
        <w:jc w:val="both"/>
        <w:rPr>
          <w:rFonts w:asciiTheme="majorBidi" w:eastAsia="Times New Roman" w:hAnsiTheme="majorBidi" w:cstheme="majorBidi"/>
          <w:color w:val="212121"/>
          <w:sz w:val="24"/>
          <w:szCs w:val="24"/>
        </w:rPr>
      </w:pPr>
      <w:r w:rsidRPr="00E30642">
        <w:rPr>
          <w:rFonts w:asciiTheme="majorBidi" w:eastAsia="Times New Roman" w:hAnsiTheme="majorBidi" w:cstheme="majorBidi"/>
          <w:color w:val="212121"/>
          <w:sz w:val="24"/>
          <w:szCs w:val="24"/>
        </w:rPr>
        <w:t>On the contrary</w:t>
      </w:r>
      <w:r w:rsidR="0047518F">
        <w:rPr>
          <w:rFonts w:asciiTheme="majorBidi" w:eastAsia="Times New Roman" w:hAnsiTheme="majorBidi" w:cstheme="majorBidi"/>
          <w:color w:val="212121"/>
          <w:sz w:val="24"/>
          <w:szCs w:val="24"/>
        </w:rPr>
        <w:t>,</w:t>
      </w:r>
      <w:r w:rsidRPr="00E30642">
        <w:rPr>
          <w:rFonts w:asciiTheme="majorBidi" w:eastAsia="Times New Roman" w:hAnsiTheme="majorBidi" w:cstheme="majorBidi"/>
          <w:color w:val="212121"/>
          <w:sz w:val="24"/>
          <w:szCs w:val="24"/>
        </w:rPr>
        <w:t xml:space="preserve"> other studies detected non-statistically significant differences regards the prevalence of HCV infection among CLL [patients [1</w:t>
      </w:r>
      <w:r w:rsidR="002035C4">
        <w:rPr>
          <w:rFonts w:asciiTheme="majorBidi" w:eastAsia="Times New Roman" w:hAnsiTheme="majorBidi" w:cstheme="majorBidi"/>
          <w:color w:val="212121"/>
          <w:sz w:val="24"/>
          <w:szCs w:val="24"/>
        </w:rPr>
        <w:t>7</w:t>
      </w:r>
      <w:r w:rsidRPr="00E30642">
        <w:rPr>
          <w:rFonts w:asciiTheme="majorBidi" w:eastAsia="Times New Roman" w:hAnsiTheme="majorBidi" w:cstheme="majorBidi"/>
          <w:color w:val="212121"/>
          <w:sz w:val="24"/>
          <w:szCs w:val="24"/>
        </w:rPr>
        <w:t>,1</w:t>
      </w:r>
      <w:r w:rsidR="002035C4">
        <w:rPr>
          <w:rFonts w:asciiTheme="majorBidi" w:eastAsia="Times New Roman" w:hAnsiTheme="majorBidi" w:cstheme="majorBidi"/>
          <w:color w:val="212121"/>
          <w:sz w:val="24"/>
          <w:szCs w:val="24"/>
        </w:rPr>
        <w:t>8</w:t>
      </w:r>
      <w:r w:rsidR="00612C20" w:rsidRPr="00E30642">
        <w:rPr>
          <w:rFonts w:asciiTheme="majorBidi" w:eastAsia="Times New Roman" w:hAnsiTheme="majorBidi" w:cstheme="majorBidi"/>
          <w:color w:val="212121"/>
          <w:sz w:val="24"/>
          <w:szCs w:val="24"/>
        </w:rPr>
        <w:t>]</w:t>
      </w:r>
      <w:r w:rsidR="0047518F">
        <w:rPr>
          <w:rFonts w:asciiTheme="majorBidi" w:eastAsia="Times New Roman" w:hAnsiTheme="majorBidi" w:cstheme="majorBidi"/>
          <w:color w:val="212121"/>
          <w:sz w:val="24"/>
          <w:szCs w:val="24"/>
        </w:rPr>
        <w:t>.</w:t>
      </w:r>
      <w:r w:rsidR="00612C20" w:rsidRPr="00E30642">
        <w:rPr>
          <w:rFonts w:asciiTheme="majorBidi" w:eastAsia="Times New Roman" w:hAnsiTheme="majorBidi" w:cstheme="majorBidi"/>
          <w:color w:val="212121"/>
          <w:sz w:val="24"/>
          <w:szCs w:val="24"/>
        </w:rPr>
        <w:t xml:space="preserve"> This difference</w:t>
      </w:r>
      <w:r w:rsidRPr="00E30642">
        <w:rPr>
          <w:rFonts w:asciiTheme="majorBidi" w:eastAsia="Times New Roman" w:hAnsiTheme="majorBidi" w:cstheme="majorBidi"/>
          <w:color w:val="212121"/>
          <w:sz w:val="24"/>
          <w:szCs w:val="24"/>
        </w:rPr>
        <w:t xml:space="preserve"> could be due to the small </w:t>
      </w:r>
      <w:r w:rsidR="004149D2">
        <w:rPr>
          <w:rFonts w:asciiTheme="majorBidi" w:eastAsia="Times New Roman" w:hAnsiTheme="majorBidi" w:cstheme="majorBidi"/>
          <w:color w:val="212121"/>
          <w:sz w:val="24"/>
          <w:szCs w:val="24"/>
        </w:rPr>
        <w:t>sample size</w:t>
      </w:r>
      <w:r w:rsidRPr="00E30642">
        <w:rPr>
          <w:rFonts w:asciiTheme="majorBidi" w:eastAsia="Times New Roman" w:hAnsiTheme="majorBidi" w:cstheme="majorBidi"/>
          <w:color w:val="212121"/>
          <w:sz w:val="24"/>
          <w:szCs w:val="24"/>
        </w:rPr>
        <w:t xml:space="preserve"> and the low prevalence of HCV in the countries where these studies were conducted [1</w:t>
      </w:r>
      <w:r w:rsidR="002035C4">
        <w:rPr>
          <w:rFonts w:asciiTheme="majorBidi" w:eastAsia="Times New Roman" w:hAnsiTheme="majorBidi" w:cstheme="majorBidi"/>
          <w:color w:val="212121"/>
          <w:sz w:val="24"/>
          <w:szCs w:val="24"/>
        </w:rPr>
        <w:t>9</w:t>
      </w:r>
      <w:r w:rsidRPr="00E30642">
        <w:rPr>
          <w:rFonts w:asciiTheme="majorBidi" w:eastAsia="Times New Roman" w:hAnsiTheme="majorBidi" w:cstheme="majorBidi"/>
          <w:color w:val="212121"/>
          <w:sz w:val="24"/>
          <w:szCs w:val="24"/>
        </w:rPr>
        <w:t>].</w:t>
      </w:r>
    </w:p>
    <w:p w14:paraId="18E49B1A" w14:textId="1BCB9EAA" w:rsidR="00612C20" w:rsidRPr="00E30642" w:rsidRDefault="00871AC8" w:rsidP="00E30642">
      <w:pPr>
        <w:spacing w:line="360" w:lineRule="auto"/>
        <w:ind w:firstLine="720"/>
        <w:jc w:val="both"/>
        <w:rPr>
          <w:rFonts w:asciiTheme="majorBidi" w:eastAsia="Times New Roman" w:hAnsiTheme="majorBidi" w:cstheme="majorBidi"/>
          <w:color w:val="212121"/>
          <w:sz w:val="24"/>
          <w:szCs w:val="24"/>
        </w:rPr>
      </w:pPr>
      <w:r w:rsidRPr="00E30642">
        <w:rPr>
          <w:rFonts w:asciiTheme="majorBidi" w:eastAsia="Times New Roman" w:hAnsiTheme="majorBidi" w:cstheme="majorBidi"/>
          <w:color w:val="212121"/>
          <w:sz w:val="24"/>
          <w:szCs w:val="24"/>
        </w:rPr>
        <w:t xml:space="preserve">This is consistent with a previous finding that miRNAs abundantly expressed in CLL may regulate the expression of genes encoding proteins participating in the </w:t>
      </w:r>
      <w:r w:rsidR="0047518F">
        <w:rPr>
          <w:rFonts w:asciiTheme="majorBidi" w:eastAsia="Times New Roman" w:hAnsiTheme="majorBidi" w:cstheme="majorBidi"/>
          <w:color w:val="212121"/>
          <w:sz w:val="24"/>
          <w:szCs w:val="24"/>
        </w:rPr>
        <w:t>critical</w:t>
      </w:r>
      <w:r w:rsidRPr="00E30642">
        <w:rPr>
          <w:rFonts w:asciiTheme="majorBidi" w:eastAsia="Times New Roman" w:hAnsiTheme="majorBidi" w:cstheme="majorBidi"/>
          <w:color w:val="212121"/>
          <w:sz w:val="24"/>
          <w:szCs w:val="24"/>
        </w:rPr>
        <w:t xml:space="preserve"> </w:t>
      </w:r>
      <w:r w:rsidRPr="00471D28">
        <w:rPr>
          <w:rFonts w:asciiTheme="majorBidi" w:eastAsia="Times New Roman" w:hAnsiTheme="majorBidi" w:cstheme="majorBidi"/>
          <w:sz w:val="24"/>
          <w:szCs w:val="24"/>
        </w:rPr>
        <w:t>molecular pathways, such as those involved in BCR signaling</w:t>
      </w:r>
      <w:r w:rsidR="004E4E51">
        <w:rPr>
          <w:rFonts w:asciiTheme="majorBidi" w:eastAsia="Times New Roman" w:hAnsiTheme="majorBidi" w:cstheme="majorBidi"/>
          <w:sz w:val="24"/>
          <w:szCs w:val="24"/>
        </w:rPr>
        <w:t xml:space="preserve"> [</w:t>
      </w:r>
      <w:r w:rsidR="002035C4">
        <w:rPr>
          <w:rFonts w:asciiTheme="majorBidi" w:eastAsia="Times New Roman" w:hAnsiTheme="majorBidi" w:cstheme="majorBidi"/>
          <w:sz w:val="24"/>
          <w:szCs w:val="24"/>
        </w:rPr>
        <w:t>20</w:t>
      </w:r>
      <w:r w:rsidR="004E4E51">
        <w:rPr>
          <w:rFonts w:asciiTheme="majorBidi" w:eastAsia="Times New Roman" w:hAnsiTheme="majorBidi" w:cstheme="majorBidi"/>
          <w:sz w:val="24"/>
          <w:szCs w:val="24"/>
        </w:rPr>
        <w:t>]</w:t>
      </w:r>
      <w:r w:rsidRPr="00471D28">
        <w:rPr>
          <w:rFonts w:asciiTheme="majorBidi" w:eastAsia="Times New Roman" w:hAnsiTheme="majorBidi" w:cstheme="majorBidi"/>
          <w:sz w:val="24"/>
          <w:szCs w:val="24"/>
        </w:rPr>
        <w:t xml:space="preserve">. Interestingly, the most important results of this analysis indicated that CLL patients had a significantly lower level of miR-150-5 p expression </w:t>
      </w:r>
      <w:r w:rsidR="0047518F">
        <w:rPr>
          <w:rFonts w:asciiTheme="majorBidi" w:eastAsia="Times New Roman" w:hAnsiTheme="majorBidi" w:cstheme="majorBidi"/>
          <w:sz w:val="24"/>
          <w:szCs w:val="24"/>
        </w:rPr>
        <w:t>than</w:t>
      </w:r>
      <w:r w:rsidR="00471D28" w:rsidRPr="00471D28">
        <w:rPr>
          <w:rFonts w:asciiTheme="majorBidi" w:eastAsia="Times New Roman" w:hAnsiTheme="majorBidi" w:cstheme="majorBidi"/>
          <w:sz w:val="24"/>
          <w:szCs w:val="24"/>
        </w:rPr>
        <w:t xml:space="preserve"> other studied groups.</w:t>
      </w:r>
      <w:r w:rsidRPr="00471D28">
        <w:rPr>
          <w:rFonts w:asciiTheme="majorBidi" w:eastAsia="Times New Roman" w:hAnsiTheme="majorBidi" w:cstheme="majorBidi"/>
          <w:sz w:val="24"/>
          <w:szCs w:val="24"/>
        </w:rPr>
        <w:t xml:space="preserve"> Additionally, the expression </w:t>
      </w:r>
      <w:r w:rsidR="00471D28" w:rsidRPr="00471D28">
        <w:rPr>
          <w:rFonts w:asciiTheme="majorBidi" w:eastAsia="Times New Roman" w:hAnsiTheme="majorBidi" w:cstheme="majorBidi"/>
          <w:sz w:val="24"/>
          <w:szCs w:val="24"/>
        </w:rPr>
        <w:t xml:space="preserve">values </w:t>
      </w:r>
      <w:r w:rsidRPr="00471D28">
        <w:rPr>
          <w:rFonts w:asciiTheme="majorBidi" w:eastAsia="Times New Roman" w:hAnsiTheme="majorBidi" w:cstheme="majorBidi"/>
          <w:sz w:val="24"/>
          <w:szCs w:val="24"/>
        </w:rPr>
        <w:t xml:space="preserve">of miR-150-5 p were significantly inversely correlated with laboratory and clinicopathological features of CLL as well </w:t>
      </w:r>
      <w:r w:rsidRPr="00E30642">
        <w:rPr>
          <w:rFonts w:asciiTheme="majorBidi" w:eastAsia="Times New Roman" w:hAnsiTheme="majorBidi" w:cstheme="majorBidi"/>
          <w:color w:val="212121"/>
          <w:sz w:val="24"/>
          <w:szCs w:val="24"/>
        </w:rPr>
        <w:t xml:space="preserve">as the severity of CLL according to the Modified Rai staging system and Binet staging system. </w:t>
      </w:r>
    </w:p>
    <w:p w14:paraId="6F821165" w14:textId="36A16EE1" w:rsidR="00B50EF4" w:rsidRPr="004149D2" w:rsidRDefault="00871AC8" w:rsidP="00E30642">
      <w:pPr>
        <w:spacing w:line="360" w:lineRule="auto"/>
        <w:ind w:firstLine="720"/>
        <w:jc w:val="both"/>
        <w:rPr>
          <w:rFonts w:asciiTheme="majorBidi" w:eastAsia="Times New Roman" w:hAnsiTheme="majorBidi" w:cstheme="majorBidi"/>
          <w:sz w:val="24"/>
          <w:szCs w:val="24"/>
        </w:rPr>
      </w:pPr>
      <w:r w:rsidRPr="00E30642">
        <w:rPr>
          <w:rFonts w:asciiTheme="majorBidi" w:eastAsia="Times New Roman" w:hAnsiTheme="majorBidi" w:cstheme="majorBidi"/>
          <w:color w:val="212121"/>
          <w:sz w:val="24"/>
          <w:szCs w:val="24"/>
        </w:rPr>
        <w:t xml:space="preserve">In line with this, Ling </w:t>
      </w:r>
      <w:r w:rsidR="0047518F">
        <w:rPr>
          <w:rFonts w:asciiTheme="majorBidi" w:eastAsia="Times New Roman" w:hAnsiTheme="majorBidi" w:cstheme="majorBidi"/>
          <w:color w:val="212121"/>
          <w:sz w:val="24"/>
          <w:szCs w:val="24"/>
        </w:rPr>
        <w:t>et al.</w:t>
      </w:r>
      <w:r w:rsidRPr="00E30642">
        <w:rPr>
          <w:rFonts w:asciiTheme="majorBidi" w:eastAsia="Times New Roman" w:hAnsiTheme="majorBidi" w:cstheme="majorBidi"/>
          <w:color w:val="212121"/>
          <w:sz w:val="24"/>
          <w:szCs w:val="24"/>
        </w:rPr>
        <w:t xml:space="preserve"> study found miR-150 as</w:t>
      </w:r>
      <w:r w:rsidRPr="00E30642">
        <w:rPr>
          <w:rFonts w:asciiTheme="majorBidi" w:hAnsiTheme="majorBidi" w:cstheme="majorBidi"/>
          <w:sz w:val="24"/>
          <w:szCs w:val="24"/>
        </w:rPr>
        <w:t xml:space="preserve"> </w:t>
      </w:r>
      <w:r w:rsidRPr="00E30642">
        <w:rPr>
          <w:rFonts w:asciiTheme="majorBidi" w:eastAsia="Times New Roman" w:hAnsiTheme="majorBidi" w:cstheme="majorBidi"/>
          <w:color w:val="212121"/>
          <w:sz w:val="24"/>
          <w:szCs w:val="24"/>
        </w:rPr>
        <w:t xml:space="preserve">a tumor suppressor </w:t>
      </w:r>
      <w:r w:rsidR="009D4C15" w:rsidRPr="00E30642">
        <w:rPr>
          <w:rFonts w:asciiTheme="majorBidi" w:eastAsia="Times New Roman" w:hAnsiTheme="majorBidi" w:cstheme="majorBidi"/>
          <w:color w:val="212121"/>
          <w:sz w:val="24"/>
          <w:szCs w:val="24"/>
        </w:rPr>
        <w:t>in osteosarcoma. Concerning</w:t>
      </w:r>
      <w:r w:rsidRPr="00E30642">
        <w:rPr>
          <w:rFonts w:asciiTheme="majorBidi" w:eastAsia="Times New Roman" w:hAnsiTheme="majorBidi" w:cstheme="majorBidi"/>
          <w:color w:val="212121"/>
          <w:sz w:val="24"/>
          <w:szCs w:val="24"/>
        </w:rPr>
        <w:t xml:space="preserve"> the influence of treatment with doxorubicin-induced apoptosis by targeting RUNX2, they revealed that its level improved after treatment. </w:t>
      </w:r>
      <w:r w:rsidR="008C75A4" w:rsidRPr="008C75A4">
        <w:rPr>
          <w:rFonts w:asciiTheme="majorBidi" w:eastAsia="Times New Roman" w:hAnsiTheme="majorBidi" w:cstheme="majorBidi"/>
          <w:sz w:val="24"/>
          <w:szCs w:val="24"/>
        </w:rPr>
        <w:t>Remarkably,</w:t>
      </w:r>
      <w:r w:rsidRPr="008C75A4">
        <w:rPr>
          <w:rFonts w:asciiTheme="majorBidi" w:eastAsia="Times New Roman" w:hAnsiTheme="majorBidi" w:cstheme="majorBidi"/>
          <w:sz w:val="24"/>
          <w:szCs w:val="24"/>
        </w:rPr>
        <w:t xml:space="preserve"> these </w:t>
      </w:r>
      <w:r w:rsidR="008C75A4" w:rsidRPr="008C75A4">
        <w:rPr>
          <w:rFonts w:asciiTheme="majorBidi" w:eastAsia="Times New Roman" w:hAnsiTheme="majorBidi" w:cstheme="majorBidi"/>
          <w:sz w:val="24"/>
          <w:szCs w:val="24"/>
        </w:rPr>
        <w:t>findings</w:t>
      </w:r>
      <w:r w:rsidRPr="008C75A4">
        <w:rPr>
          <w:rFonts w:asciiTheme="majorBidi" w:eastAsia="Times New Roman" w:hAnsiTheme="majorBidi" w:cstheme="majorBidi"/>
          <w:sz w:val="24"/>
          <w:szCs w:val="24"/>
        </w:rPr>
        <w:t xml:space="preserve"> </w:t>
      </w:r>
      <w:r w:rsidR="008C75A4" w:rsidRPr="008C75A4">
        <w:rPr>
          <w:rFonts w:asciiTheme="majorBidi" w:eastAsia="Times New Roman" w:hAnsiTheme="majorBidi" w:cstheme="majorBidi"/>
          <w:sz w:val="24"/>
          <w:szCs w:val="24"/>
        </w:rPr>
        <w:t>propose</w:t>
      </w:r>
      <w:r w:rsidRPr="008C75A4">
        <w:rPr>
          <w:rFonts w:asciiTheme="majorBidi" w:eastAsia="Times New Roman" w:hAnsiTheme="majorBidi" w:cstheme="majorBidi"/>
          <w:sz w:val="24"/>
          <w:szCs w:val="24"/>
        </w:rPr>
        <w:t xml:space="preserve"> that miR-150 </w:t>
      </w:r>
      <w:r w:rsidR="004E4E51" w:rsidRPr="008C75A4">
        <w:rPr>
          <w:rFonts w:asciiTheme="majorBidi" w:eastAsia="Times New Roman" w:hAnsiTheme="majorBidi" w:cstheme="majorBidi"/>
          <w:sz w:val="24"/>
          <w:szCs w:val="24"/>
        </w:rPr>
        <w:t>could be</w:t>
      </w:r>
      <w:r w:rsidRPr="008C75A4">
        <w:rPr>
          <w:rFonts w:asciiTheme="majorBidi" w:eastAsia="Times New Roman" w:hAnsiTheme="majorBidi" w:cstheme="majorBidi"/>
          <w:sz w:val="24"/>
          <w:szCs w:val="24"/>
        </w:rPr>
        <w:t xml:space="preserve"> a potential therapy in future osteosarcoma treatment</w:t>
      </w:r>
      <w:r w:rsidR="008F746B" w:rsidRPr="008C75A4">
        <w:rPr>
          <w:rFonts w:asciiTheme="majorBidi" w:eastAsia="Times New Roman" w:hAnsiTheme="majorBidi" w:cstheme="majorBidi"/>
          <w:sz w:val="24"/>
          <w:szCs w:val="24"/>
        </w:rPr>
        <w:t xml:space="preserve"> [</w:t>
      </w:r>
      <w:r w:rsidR="004E4E51">
        <w:rPr>
          <w:rFonts w:asciiTheme="majorBidi" w:eastAsia="Times New Roman" w:hAnsiTheme="majorBidi" w:cstheme="majorBidi"/>
          <w:sz w:val="24"/>
          <w:szCs w:val="24"/>
        </w:rPr>
        <w:t>2</w:t>
      </w:r>
      <w:r w:rsidR="002035C4">
        <w:rPr>
          <w:rFonts w:asciiTheme="majorBidi" w:eastAsia="Times New Roman" w:hAnsiTheme="majorBidi" w:cstheme="majorBidi"/>
          <w:sz w:val="24"/>
          <w:szCs w:val="24"/>
        </w:rPr>
        <w:t>1</w:t>
      </w:r>
      <w:r w:rsidR="008F746B" w:rsidRPr="008C75A4">
        <w:rPr>
          <w:rFonts w:asciiTheme="majorBidi" w:eastAsia="Times New Roman" w:hAnsiTheme="majorBidi" w:cstheme="majorBidi"/>
          <w:sz w:val="24"/>
          <w:szCs w:val="24"/>
        </w:rPr>
        <w:t>].</w:t>
      </w:r>
      <w:r w:rsidRPr="008C75A4">
        <w:rPr>
          <w:rFonts w:asciiTheme="majorBidi" w:eastAsia="Times New Roman" w:hAnsiTheme="majorBidi" w:cstheme="majorBidi"/>
          <w:sz w:val="24"/>
          <w:szCs w:val="24"/>
        </w:rPr>
        <w:t xml:space="preserve"> Similar results detected by Mraz </w:t>
      </w:r>
      <w:r w:rsidR="0047518F">
        <w:rPr>
          <w:rFonts w:asciiTheme="majorBidi" w:eastAsia="Times New Roman" w:hAnsiTheme="majorBidi" w:cstheme="majorBidi"/>
          <w:sz w:val="24"/>
          <w:szCs w:val="24"/>
        </w:rPr>
        <w:t>et al.</w:t>
      </w:r>
      <w:r w:rsidRPr="008C75A4">
        <w:rPr>
          <w:rFonts w:asciiTheme="majorBidi" w:eastAsia="Times New Roman" w:hAnsiTheme="majorBidi" w:cstheme="majorBidi"/>
          <w:sz w:val="24"/>
          <w:szCs w:val="24"/>
        </w:rPr>
        <w:t xml:space="preserve"> </w:t>
      </w:r>
      <w:r w:rsidR="00B14E91" w:rsidRPr="004149D2">
        <w:rPr>
          <w:rFonts w:asciiTheme="majorBidi" w:eastAsia="Times New Roman" w:hAnsiTheme="majorBidi" w:cstheme="majorBidi"/>
          <w:sz w:val="24"/>
          <w:szCs w:val="24"/>
        </w:rPr>
        <w:t>postulated</w:t>
      </w:r>
      <w:r w:rsidRPr="004149D2">
        <w:rPr>
          <w:rFonts w:asciiTheme="majorBidi" w:eastAsia="Times New Roman" w:hAnsiTheme="majorBidi" w:cstheme="majorBidi"/>
          <w:sz w:val="24"/>
          <w:szCs w:val="24"/>
        </w:rPr>
        <w:t xml:space="preserve"> that </w:t>
      </w:r>
      <w:r w:rsidR="00B14E91" w:rsidRPr="004149D2">
        <w:rPr>
          <w:rFonts w:asciiTheme="majorBidi" w:eastAsia="Times New Roman" w:hAnsiTheme="majorBidi" w:cstheme="majorBidi"/>
          <w:sz w:val="24"/>
          <w:szCs w:val="24"/>
        </w:rPr>
        <w:t>l</w:t>
      </w:r>
      <w:r w:rsidRPr="004149D2">
        <w:rPr>
          <w:rFonts w:asciiTheme="majorBidi" w:eastAsia="Times New Roman" w:hAnsiTheme="majorBidi" w:cstheme="majorBidi"/>
          <w:sz w:val="24"/>
          <w:szCs w:val="24"/>
        </w:rPr>
        <w:t>ow-level expression of miR-150 was associated with unfavorable clinical and prognostic markers</w:t>
      </w:r>
      <w:r w:rsidR="00B14E91" w:rsidRPr="004149D2">
        <w:rPr>
          <w:rFonts w:asciiTheme="majorBidi" w:eastAsia="Times New Roman" w:hAnsiTheme="majorBidi" w:cstheme="majorBidi"/>
          <w:sz w:val="24"/>
          <w:szCs w:val="24"/>
        </w:rPr>
        <w:t xml:space="preserve"> of CLL </w:t>
      </w:r>
      <w:r w:rsidR="00917B1F" w:rsidRPr="004149D2">
        <w:rPr>
          <w:rFonts w:asciiTheme="majorBidi" w:eastAsia="Times New Roman" w:hAnsiTheme="majorBidi" w:cstheme="majorBidi"/>
          <w:sz w:val="24"/>
          <w:szCs w:val="24"/>
        </w:rPr>
        <w:t>[</w:t>
      </w:r>
      <w:r w:rsidR="002035C4" w:rsidRPr="004149D2">
        <w:rPr>
          <w:rFonts w:asciiTheme="majorBidi" w:eastAsia="Times New Roman" w:hAnsiTheme="majorBidi" w:cstheme="majorBidi"/>
          <w:sz w:val="24"/>
          <w:szCs w:val="24"/>
        </w:rPr>
        <w:t>22</w:t>
      </w:r>
      <w:r w:rsidR="00917B1F" w:rsidRPr="004149D2">
        <w:rPr>
          <w:rFonts w:asciiTheme="majorBidi" w:eastAsia="Times New Roman" w:hAnsiTheme="majorBidi" w:cstheme="majorBidi"/>
          <w:sz w:val="24"/>
          <w:szCs w:val="24"/>
        </w:rPr>
        <w:t>].</w:t>
      </w:r>
    </w:p>
    <w:p w14:paraId="64FA4C1C" w14:textId="12586FA9" w:rsidR="00B50EF4" w:rsidRPr="003A6C22" w:rsidRDefault="00871AC8" w:rsidP="00E30642">
      <w:pPr>
        <w:spacing w:line="360" w:lineRule="auto"/>
        <w:ind w:firstLine="720"/>
        <w:jc w:val="both"/>
        <w:rPr>
          <w:rFonts w:asciiTheme="majorBidi" w:eastAsia="Times New Roman" w:hAnsiTheme="majorBidi" w:cstheme="majorBidi"/>
          <w:sz w:val="24"/>
          <w:szCs w:val="24"/>
        </w:rPr>
      </w:pPr>
      <w:r w:rsidRPr="003A6C22">
        <w:rPr>
          <w:rFonts w:asciiTheme="majorBidi" w:eastAsia="Times New Roman" w:hAnsiTheme="majorBidi" w:cstheme="majorBidi"/>
          <w:sz w:val="24"/>
          <w:szCs w:val="24"/>
        </w:rPr>
        <w:t xml:space="preserve">Similar effects were observed in </w:t>
      </w:r>
      <w:proofErr w:type="spellStart"/>
      <w:r w:rsidRPr="003A6C22">
        <w:rPr>
          <w:rFonts w:asciiTheme="majorBidi" w:eastAsia="Times New Roman" w:hAnsiTheme="majorBidi" w:cstheme="majorBidi"/>
          <w:sz w:val="24"/>
          <w:szCs w:val="24"/>
        </w:rPr>
        <w:t>Szurián</w:t>
      </w:r>
      <w:proofErr w:type="spellEnd"/>
      <w:r w:rsidRPr="003A6C22">
        <w:rPr>
          <w:rFonts w:asciiTheme="majorBidi" w:eastAsia="Times New Roman" w:hAnsiTheme="majorBidi" w:cstheme="majorBidi"/>
          <w:sz w:val="24"/>
          <w:szCs w:val="24"/>
        </w:rPr>
        <w:t xml:space="preserve"> </w:t>
      </w:r>
      <w:r w:rsidR="0047518F">
        <w:rPr>
          <w:rFonts w:asciiTheme="majorBidi" w:eastAsia="Times New Roman" w:hAnsiTheme="majorBidi" w:cstheme="majorBidi"/>
          <w:sz w:val="24"/>
          <w:szCs w:val="24"/>
        </w:rPr>
        <w:t>et al.</w:t>
      </w:r>
      <w:r w:rsidRPr="003A6C22">
        <w:rPr>
          <w:rFonts w:asciiTheme="majorBidi" w:eastAsia="Times New Roman" w:hAnsiTheme="majorBidi" w:cstheme="majorBidi"/>
          <w:sz w:val="24"/>
          <w:szCs w:val="24"/>
        </w:rPr>
        <w:t xml:space="preserve"> research, which</w:t>
      </w:r>
      <w:r w:rsidR="003A6C22" w:rsidRPr="003A6C22">
        <w:rPr>
          <w:rFonts w:asciiTheme="majorBidi" w:eastAsia="Times New Roman" w:hAnsiTheme="majorBidi" w:cstheme="majorBidi"/>
          <w:sz w:val="24"/>
          <w:szCs w:val="24"/>
        </w:rPr>
        <w:t xml:space="preserve"> investigated </w:t>
      </w:r>
      <w:r w:rsidR="003A6C22" w:rsidRPr="003A6C22">
        <w:rPr>
          <w:rFonts w:asciiTheme="majorBidi" w:hAnsiTheme="majorBidi" w:cstheme="majorBidi"/>
          <w:sz w:val="24"/>
          <w:szCs w:val="24"/>
        </w:rPr>
        <w:t>miR-150</w:t>
      </w:r>
      <w:r w:rsidR="003A6C22" w:rsidRPr="003A6C22">
        <w:t xml:space="preserve"> </w:t>
      </w:r>
      <w:r w:rsidRPr="003A6C22">
        <w:rPr>
          <w:rFonts w:asciiTheme="majorBidi" w:eastAsia="Times New Roman" w:hAnsiTheme="majorBidi" w:cstheme="majorBidi"/>
          <w:sz w:val="24"/>
          <w:szCs w:val="24"/>
        </w:rPr>
        <w:t>in progenitor B- and T-cells</w:t>
      </w:r>
      <w:r w:rsidR="004149D2">
        <w:rPr>
          <w:rFonts w:asciiTheme="majorBidi" w:eastAsia="Times New Roman" w:hAnsiTheme="majorBidi" w:cstheme="majorBidi"/>
          <w:sz w:val="24"/>
          <w:szCs w:val="24"/>
        </w:rPr>
        <w:t xml:space="preserve"> and </w:t>
      </w:r>
      <w:r w:rsidR="003A6C22" w:rsidRPr="003A6C22">
        <w:rPr>
          <w:rFonts w:asciiTheme="majorBidi" w:eastAsia="Times New Roman" w:hAnsiTheme="majorBidi" w:cstheme="majorBidi"/>
          <w:sz w:val="24"/>
          <w:szCs w:val="24"/>
        </w:rPr>
        <w:t>observed under-expression in them.</w:t>
      </w:r>
      <w:r w:rsidR="003A6C22" w:rsidRPr="003A6C22">
        <w:t xml:space="preserve"> </w:t>
      </w:r>
      <w:r w:rsidR="003A6C22" w:rsidRPr="003A6C22">
        <w:rPr>
          <w:rFonts w:asciiTheme="majorBidi" w:eastAsia="Times New Roman" w:hAnsiTheme="majorBidi" w:cstheme="majorBidi"/>
          <w:sz w:val="24"/>
          <w:szCs w:val="24"/>
        </w:rPr>
        <w:t>Nevertheless,</w:t>
      </w:r>
      <w:r w:rsidRPr="003A6C22">
        <w:rPr>
          <w:rFonts w:asciiTheme="majorBidi" w:eastAsia="Times New Roman" w:hAnsiTheme="majorBidi" w:cstheme="majorBidi"/>
          <w:sz w:val="24"/>
          <w:szCs w:val="24"/>
        </w:rPr>
        <w:t xml:space="preserve"> miR-150 </w:t>
      </w:r>
      <w:r w:rsidR="003A6C22" w:rsidRPr="003A6C22">
        <w:rPr>
          <w:rFonts w:asciiTheme="majorBidi" w:eastAsia="Times New Roman" w:hAnsiTheme="majorBidi" w:cstheme="majorBidi"/>
          <w:sz w:val="24"/>
          <w:szCs w:val="24"/>
        </w:rPr>
        <w:t>over</w:t>
      </w:r>
      <w:r w:rsidRPr="003A6C22">
        <w:rPr>
          <w:rFonts w:asciiTheme="majorBidi" w:eastAsia="Times New Roman" w:hAnsiTheme="majorBidi" w:cstheme="majorBidi"/>
          <w:sz w:val="24"/>
          <w:szCs w:val="24"/>
        </w:rPr>
        <w:t>express</w:t>
      </w:r>
      <w:r w:rsidR="003A6C22" w:rsidRPr="003A6C22">
        <w:rPr>
          <w:rFonts w:asciiTheme="majorBidi" w:eastAsia="Times New Roman" w:hAnsiTheme="majorBidi" w:cstheme="majorBidi"/>
          <w:sz w:val="24"/>
          <w:szCs w:val="24"/>
        </w:rPr>
        <w:t>ed</w:t>
      </w:r>
      <w:r w:rsidRPr="003A6C22">
        <w:rPr>
          <w:rFonts w:asciiTheme="majorBidi" w:eastAsia="Times New Roman" w:hAnsiTheme="majorBidi" w:cstheme="majorBidi"/>
          <w:sz w:val="24"/>
          <w:szCs w:val="24"/>
        </w:rPr>
        <w:t xml:space="preserve"> in mature cells. </w:t>
      </w:r>
      <w:r w:rsidR="003A6C22" w:rsidRPr="003A6C22">
        <w:rPr>
          <w:rFonts w:asciiTheme="majorBidi" w:eastAsia="Times New Roman" w:hAnsiTheme="majorBidi" w:cstheme="majorBidi"/>
          <w:sz w:val="24"/>
          <w:szCs w:val="24"/>
        </w:rPr>
        <w:t>Intriguingly</w:t>
      </w:r>
      <w:r w:rsidRPr="003A6C22">
        <w:rPr>
          <w:rFonts w:asciiTheme="majorBidi" w:eastAsia="Times New Roman" w:hAnsiTheme="majorBidi" w:cstheme="majorBidi"/>
          <w:sz w:val="24"/>
          <w:szCs w:val="24"/>
        </w:rPr>
        <w:t xml:space="preserve"> they detected that </w:t>
      </w:r>
      <w:r w:rsidR="003A6C22" w:rsidRPr="003A6C22">
        <w:rPr>
          <w:rFonts w:asciiTheme="majorBidi" w:eastAsia="Times New Roman" w:hAnsiTheme="majorBidi" w:cstheme="majorBidi"/>
          <w:sz w:val="24"/>
          <w:szCs w:val="24"/>
        </w:rPr>
        <w:t>the epigenetic biomarker</w:t>
      </w:r>
      <w:r w:rsidRPr="003A6C22">
        <w:rPr>
          <w:rFonts w:asciiTheme="majorBidi" w:eastAsia="Times New Roman" w:hAnsiTheme="majorBidi" w:cstheme="majorBidi"/>
          <w:sz w:val="24"/>
          <w:szCs w:val="24"/>
        </w:rPr>
        <w:t xml:space="preserve"> </w:t>
      </w:r>
      <w:r w:rsidR="003A6C22" w:rsidRPr="003A6C22">
        <w:rPr>
          <w:rFonts w:asciiTheme="majorBidi" w:eastAsia="Times New Roman" w:hAnsiTheme="majorBidi" w:cstheme="majorBidi"/>
          <w:sz w:val="24"/>
          <w:szCs w:val="24"/>
        </w:rPr>
        <w:t>was correlated with</w:t>
      </w:r>
      <w:r w:rsidRPr="003A6C22">
        <w:rPr>
          <w:rFonts w:asciiTheme="majorBidi" w:eastAsia="Times New Roman" w:hAnsiTheme="majorBidi" w:cstheme="majorBidi"/>
          <w:sz w:val="24"/>
          <w:szCs w:val="24"/>
        </w:rPr>
        <w:t xml:space="preserve"> poor prognosis in </w:t>
      </w:r>
      <w:r w:rsidR="003A6C22" w:rsidRPr="003A6C22">
        <w:rPr>
          <w:rFonts w:asciiTheme="majorBidi" w:eastAsia="Times New Roman" w:hAnsiTheme="majorBidi" w:cstheme="majorBidi"/>
          <w:sz w:val="24"/>
          <w:szCs w:val="24"/>
        </w:rPr>
        <w:t>CLL</w:t>
      </w:r>
      <w:r w:rsidRPr="003A6C22">
        <w:rPr>
          <w:rFonts w:asciiTheme="majorBidi" w:eastAsia="Times New Roman" w:hAnsiTheme="majorBidi" w:cstheme="majorBidi"/>
          <w:sz w:val="24"/>
          <w:szCs w:val="24"/>
        </w:rPr>
        <w:t xml:space="preserve"> [2</w:t>
      </w:r>
      <w:r w:rsidR="002035C4">
        <w:rPr>
          <w:rFonts w:asciiTheme="majorBidi" w:eastAsia="Times New Roman" w:hAnsiTheme="majorBidi" w:cstheme="majorBidi"/>
          <w:sz w:val="24"/>
          <w:szCs w:val="24"/>
        </w:rPr>
        <w:t>3</w:t>
      </w:r>
      <w:r w:rsidRPr="003A6C22">
        <w:rPr>
          <w:rFonts w:asciiTheme="majorBidi" w:eastAsia="Times New Roman" w:hAnsiTheme="majorBidi" w:cstheme="majorBidi"/>
          <w:sz w:val="24"/>
          <w:szCs w:val="24"/>
        </w:rPr>
        <w:t>].</w:t>
      </w:r>
    </w:p>
    <w:p w14:paraId="7F0ED03E" w14:textId="0E6C4CA5" w:rsidR="008F746B" w:rsidRPr="003A6C22" w:rsidRDefault="00871AC8" w:rsidP="00E30642">
      <w:pPr>
        <w:spacing w:line="360" w:lineRule="auto"/>
        <w:ind w:firstLine="720"/>
        <w:jc w:val="both"/>
        <w:rPr>
          <w:rFonts w:asciiTheme="majorBidi" w:eastAsia="Times New Roman" w:hAnsiTheme="majorBidi" w:cstheme="majorBidi"/>
          <w:sz w:val="24"/>
          <w:szCs w:val="24"/>
        </w:rPr>
      </w:pPr>
      <w:r w:rsidRPr="003A6C22">
        <w:rPr>
          <w:rFonts w:asciiTheme="majorBidi" w:eastAsia="Times New Roman" w:hAnsiTheme="majorBidi" w:cstheme="majorBidi"/>
          <w:sz w:val="24"/>
          <w:szCs w:val="24"/>
        </w:rPr>
        <w:t xml:space="preserve">However, </w:t>
      </w:r>
      <w:r w:rsidR="0047518F">
        <w:rPr>
          <w:rFonts w:asciiTheme="majorBidi" w:eastAsia="Times New Roman" w:hAnsiTheme="majorBidi" w:cstheme="majorBidi"/>
          <w:sz w:val="24"/>
          <w:szCs w:val="24"/>
        </w:rPr>
        <w:t>compared</w:t>
      </w:r>
      <w:r w:rsidRPr="003A6C22">
        <w:rPr>
          <w:rFonts w:asciiTheme="majorBidi" w:eastAsia="Times New Roman" w:hAnsiTheme="majorBidi" w:cstheme="majorBidi"/>
          <w:sz w:val="24"/>
          <w:szCs w:val="24"/>
        </w:rPr>
        <w:t xml:space="preserve"> to our data, </w:t>
      </w:r>
      <w:proofErr w:type="spellStart"/>
      <w:r w:rsidRPr="003A6C22">
        <w:rPr>
          <w:rFonts w:asciiTheme="majorBidi" w:eastAsia="Times New Roman" w:hAnsiTheme="majorBidi" w:cstheme="majorBidi"/>
          <w:sz w:val="24"/>
          <w:szCs w:val="24"/>
        </w:rPr>
        <w:t>Chiaretti</w:t>
      </w:r>
      <w:proofErr w:type="spellEnd"/>
      <w:r w:rsidRPr="003A6C22">
        <w:rPr>
          <w:rFonts w:asciiTheme="majorBidi" w:eastAsia="Times New Roman" w:hAnsiTheme="majorBidi" w:cstheme="majorBidi"/>
          <w:sz w:val="24"/>
          <w:szCs w:val="24"/>
        </w:rPr>
        <w:t xml:space="preserve"> </w:t>
      </w:r>
      <w:r w:rsidR="0047518F">
        <w:rPr>
          <w:rFonts w:asciiTheme="majorBidi" w:eastAsia="Times New Roman" w:hAnsiTheme="majorBidi" w:cstheme="majorBidi"/>
          <w:sz w:val="24"/>
          <w:szCs w:val="24"/>
        </w:rPr>
        <w:t>et al.</w:t>
      </w:r>
      <w:r w:rsidRPr="003A6C22">
        <w:rPr>
          <w:rFonts w:asciiTheme="majorBidi" w:eastAsia="Times New Roman" w:hAnsiTheme="majorBidi" w:cstheme="majorBidi"/>
          <w:sz w:val="24"/>
          <w:szCs w:val="24"/>
        </w:rPr>
        <w:t xml:space="preserve"> observed a significant upregulation of mir-150 in CLL patients compared to the healthy group and </w:t>
      </w:r>
      <w:r w:rsidR="0047518F">
        <w:rPr>
          <w:rFonts w:asciiTheme="majorBidi" w:eastAsia="Times New Roman" w:hAnsiTheme="majorBidi" w:cstheme="majorBidi"/>
          <w:sz w:val="24"/>
          <w:szCs w:val="24"/>
        </w:rPr>
        <w:t>recommended</w:t>
      </w:r>
      <w:r w:rsidRPr="003A6C22">
        <w:rPr>
          <w:rFonts w:asciiTheme="majorBidi" w:eastAsia="Times New Roman" w:hAnsiTheme="majorBidi" w:cstheme="majorBidi"/>
          <w:sz w:val="24"/>
          <w:szCs w:val="24"/>
        </w:rPr>
        <w:t xml:space="preserve"> that mir-150 could initiate or progress proliferation in CLL. However, they recommended further investigations to elucidate these findings [2</w:t>
      </w:r>
      <w:r w:rsidR="002035C4">
        <w:rPr>
          <w:rFonts w:asciiTheme="majorBidi" w:eastAsia="Times New Roman" w:hAnsiTheme="majorBidi" w:cstheme="majorBidi"/>
          <w:sz w:val="24"/>
          <w:szCs w:val="24"/>
        </w:rPr>
        <w:t>3</w:t>
      </w:r>
      <w:r w:rsidRPr="003A6C22">
        <w:rPr>
          <w:rFonts w:asciiTheme="majorBidi" w:eastAsia="Times New Roman" w:hAnsiTheme="majorBidi" w:cstheme="majorBidi"/>
          <w:sz w:val="24"/>
          <w:szCs w:val="24"/>
        </w:rPr>
        <w:t>]</w:t>
      </w:r>
    </w:p>
    <w:p w14:paraId="46760130" w14:textId="37F4E1FC" w:rsidR="00CC1230" w:rsidRPr="00E30642" w:rsidRDefault="00871AC8" w:rsidP="00E30642">
      <w:pPr>
        <w:spacing w:line="360" w:lineRule="auto"/>
        <w:ind w:firstLine="720"/>
        <w:jc w:val="both"/>
        <w:rPr>
          <w:rFonts w:asciiTheme="majorBidi" w:eastAsia="Times New Roman" w:hAnsiTheme="majorBidi" w:cstheme="majorBidi"/>
          <w:color w:val="212121"/>
          <w:sz w:val="24"/>
          <w:szCs w:val="24"/>
        </w:rPr>
      </w:pPr>
      <w:r w:rsidRPr="00E30642">
        <w:rPr>
          <w:rFonts w:asciiTheme="majorBidi" w:eastAsia="Times New Roman" w:hAnsiTheme="majorBidi" w:cstheme="majorBidi"/>
          <w:color w:val="212121"/>
          <w:sz w:val="24"/>
          <w:szCs w:val="24"/>
        </w:rPr>
        <w:t>Interestingly, concerning the treatment of CLL, In the current study</w:t>
      </w:r>
      <w:r w:rsidR="0047518F">
        <w:rPr>
          <w:rFonts w:asciiTheme="majorBidi" w:eastAsia="Times New Roman" w:hAnsiTheme="majorBidi" w:cstheme="majorBidi"/>
          <w:color w:val="212121"/>
          <w:sz w:val="24"/>
          <w:szCs w:val="24"/>
        </w:rPr>
        <w:t>,</w:t>
      </w:r>
      <w:r w:rsidRPr="00E30642">
        <w:rPr>
          <w:rFonts w:asciiTheme="majorBidi" w:eastAsia="Times New Roman" w:hAnsiTheme="majorBidi" w:cstheme="majorBidi"/>
          <w:color w:val="212121"/>
          <w:sz w:val="24"/>
          <w:szCs w:val="24"/>
        </w:rPr>
        <w:t xml:space="preserve"> 18(72%) patients did not receive treatment as we mentioned </w:t>
      </w:r>
      <w:r w:rsidR="009D4C15" w:rsidRPr="00E30642">
        <w:rPr>
          <w:rFonts w:asciiTheme="majorBidi" w:eastAsia="Times New Roman" w:hAnsiTheme="majorBidi" w:cstheme="majorBidi"/>
          <w:color w:val="212121"/>
          <w:sz w:val="24"/>
          <w:szCs w:val="24"/>
        </w:rPr>
        <w:t>before,</w:t>
      </w:r>
      <w:r w:rsidRPr="00E30642">
        <w:rPr>
          <w:rFonts w:asciiTheme="majorBidi" w:eastAsia="Times New Roman" w:hAnsiTheme="majorBidi" w:cstheme="majorBidi"/>
          <w:color w:val="212121"/>
          <w:sz w:val="24"/>
          <w:szCs w:val="24"/>
        </w:rPr>
        <w:t xml:space="preserve"> </w:t>
      </w:r>
      <w:r w:rsidR="009D4C15" w:rsidRPr="00E30642">
        <w:rPr>
          <w:rFonts w:asciiTheme="majorBidi" w:eastAsia="Times New Roman" w:hAnsiTheme="majorBidi" w:cstheme="majorBidi"/>
          <w:color w:val="212121"/>
          <w:sz w:val="24"/>
          <w:szCs w:val="24"/>
        </w:rPr>
        <w:t>and seven</w:t>
      </w:r>
      <w:r w:rsidRPr="00E30642">
        <w:rPr>
          <w:rFonts w:asciiTheme="majorBidi" w:eastAsia="Times New Roman" w:hAnsiTheme="majorBidi" w:cstheme="majorBidi"/>
          <w:color w:val="212121"/>
          <w:sz w:val="24"/>
          <w:szCs w:val="24"/>
        </w:rPr>
        <w:t xml:space="preserve"> Egyptian patients (28%) received treatment modalities</w:t>
      </w:r>
      <w:r w:rsidR="0047518F">
        <w:rPr>
          <w:rFonts w:asciiTheme="majorBidi" w:eastAsia="Times New Roman" w:hAnsiTheme="majorBidi" w:cstheme="majorBidi"/>
          <w:color w:val="212121"/>
          <w:sz w:val="24"/>
          <w:szCs w:val="24"/>
        </w:rPr>
        <w:t>,</w:t>
      </w:r>
      <w:r w:rsidRPr="00E30642">
        <w:rPr>
          <w:rFonts w:asciiTheme="majorBidi" w:eastAsia="Times New Roman" w:hAnsiTheme="majorBidi" w:cstheme="majorBidi"/>
          <w:color w:val="212121"/>
          <w:sz w:val="24"/>
          <w:szCs w:val="24"/>
        </w:rPr>
        <w:t xml:space="preserve"> including FCR. (Fludarabine, cyclophosphamide, and rituximab) and ibrutinib. Interestingly, there were significantly lower miR-150-5 p in </w:t>
      </w:r>
      <w:r w:rsidRPr="004149D2">
        <w:rPr>
          <w:rFonts w:asciiTheme="majorBidi" w:eastAsia="Times New Roman" w:hAnsiTheme="majorBidi" w:cstheme="majorBidi"/>
          <w:color w:val="212121"/>
          <w:sz w:val="24"/>
          <w:szCs w:val="24"/>
        </w:rPr>
        <w:t xml:space="preserve">the </w:t>
      </w:r>
      <w:r w:rsidR="0093055A" w:rsidRPr="004149D2">
        <w:rPr>
          <w:rFonts w:asciiTheme="majorBidi" w:eastAsia="Times New Roman" w:hAnsiTheme="majorBidi" w:cstheme="majorBidi"/>
          <w:color w:val="212121"/>
          <w:sz w:val="24"/>
          <w:szCs w:val="24"/>
        </w:rPr>
        <w:t>no</w:t>
      </w:r>
      <w:r w:rsidR="004149D2">
        <w:rPr>
          <w:rFonts w:asciiTheme="majorBidi" w:eastAsia="Times New Roman" w:hAnsiTheme="majorBidi" w:cstheme="majorBidi"/>
          <w:color w:val="212121"/>
          <w:sz w:val="24"/>
          <w:szCs w:val="24"/>
        </w:rPr>
        <w:t>n</w:t>
      </w:r>
      <w:r w:rsidRPr="004149D2">
        <w:rPr>
          <w:rFonts w:asciiTheme="majorBidi" w:eastAsia="Times New Roman" w:hAnsiTheme="majorBidi" w:cstheme="majorBidi"/>
          <w:color w:val="212121"/>
          <w:sz w:val="24"/>
          <w:szCs w:val="24"/>
        </w:rPr>
        <w:t>-treatment</w:t>
      </w:r>
      <w:r w:rsidRPr="00E30642">
        <w:rPr>
          <w:rFonts w:asciiTheme="majorBidi" w:eastAsia="Times New Roman" w:hAnsiTheme="majorBidi" w:cstheme="majorBidi"/>
          <w:color w:val="212121"/>
          <w:sz w:val="24"/>
          <w:szCs w:val="24"/>
        </w:rPr>
        <w:t xml:space="preserve"> subgroup </w:t>
      </w:r>
      <w:r w:rsidR="004149D2">
        <w:rPr>
          <w:rFonts w:asciiTheme="majorBidi" w:eastAsia="Times New Roman" w:hAnsiTheme="majorBidi" w:cstheme="majorBidi"/>
          <w:color w:val="212121"/>
          <w:sz w:val="24"/>
          <w:szCs w:val="24"/>
        </w:rPr>
        <w:t>than</w:t>
      </w:r>
      <w:r w:rsidRPr="00E30642">
        <w:rPr>
          <w:rFonts w:asciiTheme="majorBidi" w:eastAsia="Times New Roman" w:hAnsiTheme="majorBidi" w:cstheme="majorBidi"/>
          <w:color w:val="212121"/>
          <w:sz w:val="24"/>
          <w:szCs w:val="24"/>
        </w:rPr>
        <w:t xml:space="preserve"> </w:t>
      </w:r>
      <w:r w:rsidR="004149D2">
        <w:rPr>
          <w:rFonts w:asciiTheme="majorBidi" w:eastAsia="Times New Roman" w:hAnsiTheme="majorBidi" w:cstheme="majorBidi"/>
          <w:color w:val="212121"/>
          <w:sz w:val="24"/>
          <w:szCs w:val="24"/>
        </w:rPr>
        <w:t xml:space="preserve">in </w:t>
      </w:r>
      <w:r w:rsidRPr="00E30642">
        <w:rPr>
          <w:rFonts w:asciiTheme="majorBidi" w:eastAsia="Times New Roman" w:hAnsiTheme="majorBidi" w:cstheme="majorBidi"/>
          <w:color w:val="212121"/>
          <w:sz w:val="24"/>
          <w:szCs w:val="24"/>
        </w:rPr>
        <w:t xml:space="preserve">successfully treated subgroups. </w:t>
      </w:r>
      <w:r w:rsidR="004149D2">
        <w:rPr>
          <w:rFonts w:asciiTheme="majorBidi" w:eastAsia="Times New Roman" w:hAnsiTheme="majorBidi" w:cstheme="majorBidi"/>
          <w:color w:val="212121"/>
          <w:sz w:val="24"/>
          <w:szCs w:val="24"/>
        </w:rPr>
        <w:t>But on the other hand, treating</w:t>
      </w:r>
      <w:r w:rsidRPr="00E30642">
        <w:rPr>
          <w:rFonts w:asciiTheme="majorBidi" w:eastAsia="Times New Roman" w:hAnsiTheme="majorBidi" w:cstheme="majorBidi"/>
          <w:color w:val="212121"/>
          <w:sz w:val="24"/>
          <w:szCs w:val="24"/>
        </w:rPr>
        <w:t xml:space="preserve"> patients with CLL </w:t>
      </w:r>
      <w:r w:rsidR="004149D2">
        <w:rPr>
          <w:rFonts w:asciiTheme="majorBidi" w:eastAsia="Times New Roman" w:hAnsiTheme="majorBidi" w:cstheme="majorBidi"/>
          <w:color w:val="212121"/>
          <w:sz w:val="24"/>
          <w:szCs w:val="24"/>
        </w:rPr>
        <w:t>increases</w:t>
      </w:r>
      <w:r w:rsidRPr="00E30642">
        <w:rPr>
          <w:rFonts w:asciiTheme="majorBidi" w:eastAsia="Times New Roman" w:hAnsiTheme="majorBidi" w:cstheme="majorBidi"/>
          <w:color w:val="212121"/>
          <w:sz w:val="24"/>
          <w:szCs w:val="24"/>
        </w:rPr>
        <w:t xml:space="preserve"> miR-150-5 p levels. So, we could use this epigenetic marker as a diagnostic and prognostic marker.</w:t>
      </w:r>
    </w:p>
    <w:p w14:paraId="19B275F3" w14:textId="77A960D6" w:rsidR="004F0E99" w:rsidRPr="00E30642" w:rsidRDefault="00871AC8" w:rsidP="00E30642">
      <w:pPr>
        <w:spacing w:line="360" w:lineRule="auto"/>
        <w:ind w:firstLine="720"/>
        <w:jc w:val="both"/>
        <w:rPr>
          <w:rFonts w:asciiTheme="majorBidi" w:hAnsiTheme="majorBidi" w:cstheme="majorBidi"/>
          <w:sz w:val="24"/>
          <w:szCs w:val="24"/>
        </w:rPr>
      </w:pPr>
      <w:r w:rsidRPr="00E30642">
        <w:rPr>
          <w:rFonts w:asciiTheme="majorBidi" w:eastAsia="Times New Roman" w:hAnsiTheme="majorBidi" w:cstheme="majorBidi"/>
          <w:color w:val="212121"/>
          <w:sz w:val="24"/>
          <w:szCs w:val="24"/>
        </w:rPr>
        <w:t>Despite these pieces of evidence, there is a substantial gap in our knowledge about the diagnostic and prognostic role of</w:t>
      </w:r>
      <w:r w:rsidRPr="00E30642">
        <w:rPr>
          <w:rFonts w:asciiTheme="majorBidi" w:hAnsiTheme="majorBidi" w:cstheme="majorBidi"/>
          <w:sz w:val="24"/>
          <w:szCs w:val="24"/>
        </w:rPr>
        <w:t xml:space="preserve"> </w:t>
      </w:r>
      <w:r w:rsidRPr="00E30642">
        <w:rPr>
          <w:rFonts w:asciiTheme="majorBidi" w:eastAsia="Times New Roman" w:hAnsiTheme="majorBidi" w:cstheme="majorBidi"/>
          <w:color w:val="212121"/>
          <w:sz w:val="24"/>
          <w:szCs w:val="24"/>
        </w:rPr>
        <w:t>miR-150-5 p in hematological cancers.</w:t>
      </w:r>
      <w:r w:rsidRPr="00E30642">
        <w:rPr>
          <w:rFonts w:asciiTheme="majorBidi" w:hAnsiTheme="majorBidi" w:cstheme="majorBidi"/>
          <w:sz w:val="24"/>
          <w:szCs w:val="24"/>
        </w:rPr>
        <w:t xml:space="preserve"> </w:t>
      </w:r>
      <w:r w:rsidRPr="00E30642">
        <w:rPr>
          <w:rFonts w:asciiTheme="majorBidi" w:eastAsia="Times New Roman" w:hAnsiTheme="majorBidi" w:cstheme="majorBidi"/>
          <w:color w:val="212121"/>
          <w:sz w:val="24"/>
          <w:szCs w:val="24"/>
        </w:rPr>
        <w:t xml:space="preserve">To address these issues, we further evaluated our </w:t>
      </w:r>
      <w:r w:rsidR="004149D2">
        <w:rPr>
          <w:rFonts w:asciiTheme="majorBidi" w:eastAsia="Times New Roman" w:hAnsiTheme="majorBidi" w:cstheme="majorBidi"/>
          <w:color w:val="212121"/>
          <w:sz w:val="24"/>
          <w:szCs w:val="24"/>
        </w:rPr>
        <w:t>findings</w:t>
      </w:r>
      <w:r w:rsidRPr="00E30642">
        <w:rPr>
          <w:rFonts w:asciiTheme="majorBidi" w:eastAsia="Times New Roman" w:hAnsiTheme="majorBidi" w:cstheme="majorBidi"/>
          <w:color w:val="212121"/>
          <w:sz w:val="24"/>
          <w:szCs w:val="24"/>
        </w:rPr>
        <w:t xml:space="preserve"> with Pearson correlations</w:t>
      </w:r>
      <w:r w:rsidR="0047518F" w:rsidRPr="0047518F">
        <w:rPr>
          <w:rFonts w:asciiTheme="majorBidi" w:eastAsia="Times New Roman" w:hAnsiTheme="majorBidi" w:cstheme="majorBidi"/>
          <w:color w:val="212121"/>
          <w:sz w:val="24"/>
          <w:szCs w:val="24"/>
        </w:rPr>
        <w:t xml:space="preserve">. We detected that the relative expression level of miR-150-5 p was negatively correlated with WBC ALC, serum β2M, and ZAP-70%, respectively </w:t>
      </w:r>
      <w:r w:rsidRPr="00E30642">
        <w:rPr>
          <w:rFonts w:asciiTheme="majorBidi" w:eastAsia="Times New Roman" w:hAnsiTheme="majorBidi" w:cstheme="majorBidi"/>
          <w:color w:val="212121"/>
          <w:sz w:val="24"/>
          <w:szCs w:val="24"/>
        </w:rPr>
        <w:t>CD38%, and LDH. In contrast, miR-150-5 expression level was positively correlated with hemoglobin and platelet. In addition, linear regression analysis revealed that ALC and platelets were the main predictors of the relative expression levels of miR-150-5 p among other laboratory tests.</w:t>
      </w:r>
      <w:r w:rsidRPr="00E30642">
        <w:rPr>
          <w:rFonts w:asciiTheme="majorBidi" w:hAnsiTheme="majorBidi" w:cstheme="majorBidi"/>
          <w:sz w:val="24"/>
          <w:szCs w:val="24"/>
        </w:rPr>
        <w:t xml:space="preserve"> </w:t>
      </w:r>
    </w:p>
    <w:p w14:paraId="59187129" w14:textId="488E5E48" w:rsidR="00612C20" w:rsidRPr="00E30642" w:rsidRDefault="00871AC8" w:rsidP="00E30642">
      <w:pPr>
        <w:spacing w:line="360" w:lineRule="auto"/>
        <w:ind w:firstLine="720"/>
        <w:jc w:val="both"/>
        <w:rPr>
          <w:rFonts w:asciiTheme="majorBidi" w:eastAsia="Times New Roman" w:hAnsiTheme="majorBidi" w:cstheme="majorBidi"/>
          <w:color w:val="212121"/>
          <w:sz w:val="24"/>
          <w:szCs w:val="24"/>
        </w:rPr>
      </w:pPr>
      <w:r w:rsidRPr="00E30642">
        <w:rPr>
          <w:rFonts w:asciiTheme="majorBidi" w:eastAsia="Times New Roman" w:hAnsiTheme="majorBidi" w:cstheme="majorBidi"/>
          <w:color w:val="212121"/>
          <w:sz w:val="24"/>
          <w:szCs w:val="24"/>
        </w:rPr>
        <w:t xml:space="preserve">To further understand the observations, we performed a ROC analysis. </w:t>
      </w:r>
      <w:r w:rsidRPr="004149D2">
        <w:rPr>
          <w:rFonts w:asciiTheme="majorBidi" w:eastAsia="Times New Roman" w:hAnsiTheme="majorBidi" w:cstheme="majorBidi"/>
          <w:color w:val="212121"/>
          <w:sz w:val="24"/>
          <w:szCs w:val="24"/>
        </w:rPr>
        <w:t xml:space="preserve">The power of miR-150-5 p expression levels to differentiate CLL from control </w:t>
      </w:r>
      <w:r w:rsidR="0050586F" w:rsidRPr="004149D2">
        <w:rPr>
          <w:rFonts w:asciiTheme="majorBidi" w:eastAsia="Times New Roman" w:hAnsiTheme="majorBidi" w:cstheme="majorBidi"/>
          <w:color w:val="212121"/>
          <w:sz w:val="24"/>
          <w:szCs w:val="24"/>
        </w:rPr>
        <w:t>had sensitivity</w:t>
      </w:r>
      <w:r w:rsidRPr="004149D2">
        <w:rPr>
          <w:rFonts w:asciiTheme="majorBidi" w:eastAsia="Times New Roman" w:hAnsiTheme="majorBidi" w:cstheme="majorBidi"/>
          <w:color w:val="212121"/>
          <w:sz w:val="24"/>
          <w:szCs w:val="24"/>
        </w:rPr>
        <w:t xml:space="preserve"> </w:t>
      </w:r>
      <w:r w:rsidR="00874A85" w:rsidRPr="004149D2">
        <w:rPr>
          <w:rFonts w:asciiTheme="majorBidi" w:eastAsia="Times New Roman" w:hAnsiTheme="majorBidi" w:cstheme="majorBidi"/>
          <w:color w:val="212121"/>
          <w:sz w:val="24"/>
          <w:szCs w:val="24"/>
        </w:rPr>
        <w:t>(96.2</w:t>
      </w:r>
      <w:r w:rsidRPr="004149D2">
        <w:rPr>
          <w:rFonts w:asciiTheme="majorBidi" w:eastAsia="Times New Roman" w:hAnsiTheme="majorBidi" w:cstheme="majorBidi"/>
          <w:color w:val="212121"/>
          <w:sz w:val="24"/>
          <w:szCs w:val="24"/>
        </w:rPr>
        <w:t>%) and specificity ( 98 % )</w:t>
      </w:r>
      <w:r w:rsidR="00874A85" w:rsidRPr="004149D2">
        <w:rPr>
          <w:rFonts w:asciiTheme="majorBidi" w:eastAsia="Times New Roman" w:hAnsiTheme="majorBidi" w:cstheme="majorBidi"/>
          <w:color w:val="212121"/>
          <w:sz w:val="24"/>
          <w:szCs w:val="24"/>
        </w:rPr>
        <w:t>.</w:t>
      </w:r>
    </w:p>
    <w:p w14:paraId="6809FE3F" w14:textId="67E0BF06" w:rsidR="00874A85" w:rsidRDefault="00871AC8" w:rsidP="0070288B">
      <w:pPr>
        <w:spacing w:line="360" w:lineRule="auto"/>
        <w:jc w:val="both"/>
        <w:rPr>
          <w:rFonts w:asciiTheme="majorBidi" w:hAnsiTheme="majorBidi" w:cstheme="majorBidi"/>
          <w:sz w:val="24"/>
          <w:szCs w:val="24"/>
        </w:rPr>
      </w:pPr>
      <w:r w:rsidRPr="00A63F51">
        <w:rPr>
          <w:rFonts w:asciiTheme="majorBidi" w:hAnsiTheme="majorBidi" w:cstheme="majorBidi"/>
          <w:b/>
          <w:bCs/>
          <w:sz w:val="24"/>
          <w:szCs w:val="24"/>
        </w:rPr>
        <w:t>Conclusions</w:t>
      </w:r>
      <w:r w:rsidRPr="00A63F51">
        <w:rPr>
          <w:rFonts w:asciiTheme="majorBidi" w:hAnsiTheme="majorBidi" w:cstheme="majorBidi"/>
          <w:sz w:val="24"/>
          <w:szCs w:val="24"/>
        </w:rPr>
        <w:t xml:space="preserve">: </w:t>
      </w:r>
      <w:r w:rsidR="000A227F" w:rsidRPr="00A63F51">
        <w:rPr>
          <w:rFonts w:asciiTheme="majorBidi" w:hAnsiTheme="majorBidi" w:cstheme="majorBidi"/>
          <w:sz w:val="24"/>
          <w:szCs w:val="24"/>
        </w:rPr>
        <w:t xml:space="preserve">The current research </w:t>
      </w:r>
      <w:r w:rsidR="00A63F51" w:rsidRPr="00A63F51">
        <w:rPr>
          <w:rFonts w:asciiTheme="majorBidi" w:hAnsiTheme="majorBidi" w:cstheme="majorBidi"/>
          <w:sz w:val="24"/>
          <w:szCs w:val="24"/>
        </w:rPr>
        <w:t>findings revealed that</w:t>
      </w:r>
      <w:r w:rsidRPr="00A63F51">
        <w:rPr>
          <w:rFonts w:asciiTheme="majorBidi" w:hAnsiTheme="majorBidi" w:cstheme="majorBidi"/>
          <w:sz w:val="24"/>
          <w:szCs w:val="24"/>
        </w:rPr>
        <w:t xml:space="preserve"> </w:t>
      </w:r>
      <w:bookmarkStart w:id="41" w:name="_Hlk127750223"/>
      <w:r w:rsidRPr="00A63F51">
        <w:rPr>
          <w:rFonts w:asciiTheme="majorBidi" w:hAnsiTheme="majorBidi" w:cstheme="majorBidi"/>
          <w:sz w:val="24"/>
          <w:szCs w:val="24"/>
        </w:rPr>
        <w:t>miR-150-5p</w:t>
      </w:r>
      <w:bookmarkEnd w:id="41"/>
      <w:r w:rsidR="003C03D5">
        <w:rPr>
          <w:rFonts w:asciiTheme="majorBidi" w:hAnsiTheme="majorBidi" w:cstheme="majorBidi"/>
          <w:sz w:val="24"/>
          <w:szCs w:val="24"/>
        </w:rPr>
        <w:t xml:space="preserve"> </w:t>
      </w:r>
      <w:r w:rsidR="00A63F51" w:rsidRPr="00A63F51">
        <w:rPr>
          <w:rFonts w:asciiTheme="majorBidi" w:hAnsiTheme="majorBidi" w:cstheme="majorBidi"/>
          <w:sz w:val="24"/>
          <w:szCs w:val="24"/>
        </w:rPr>
        <w:t>values were</w:t>
      </w:r>
      <w:r w:rsidRPr="00A63F51">
        <w:rPr>
          <w:rFonts w:asciiTheme="majorBidi" w:hAnsiTheme="majorBidi" w:cstheme="majorBidi"/>
          <w:sz w:val="24"/>
          <w:szCs w:val="24"/>
        </w:rPr>
        <w:t xml:space="preserve"> </w:t>
      </w:r>
      <w:r w:rsidR="00A63F51" w:rsidRPr="00A63F51">
        <w:rPr>
          <w:rFonts w:asciiTheme="majorBidi" w:hAnsiTheme="majorBidi" w:cstheme="majorBidi"/>
          <w:sz w:val="24"/>
          <w:szCs w:val="24"/>
        </w:rPr>
        <w:t xml:space="preserve">under-expressed </w:t>
      </w:r>
      <w:r w:rsidRPr="00A63F51">
        <w:rPr>
          <w:rFonts w:asciiTheme="majorBidi" w:hAnsiTheme="majorBidi" w:cstheme="majorBidi"/>
          <w:sz w:val="24"/>
          <w:szCs w:val="24"/>
        </w:rPr>
        <w:t xml:space="preserve">in CLL patients, particularly patients with HCV infection, and significantly inversely correlated with </w:t>
      </w:r>
      <w:r w:rsidR="000839C9" w:rsidRPr="00A63F51">
        <w:rPr>
          <w:rFonts w:asciiTheme="majorBidi" w:hAnsiTheme="majorBidi" w:cstheme="majorBidi"/>
          <w:sz w:val="24"/>
          <w:szCs w:val="24"/>
        </w:rPr>
        <w:t>clinical and laboratory</w:t>
      </w:r>
      <w:r w:rsidRPr="00A63F51">
        <w:rPr>
          <w:rFonts w:asciiTheme="majorBidi" w:hAnsiTheme="majorBidi" w:cstheme="majorBidi"/>
          <w:sz w:val="24"/>
          <w:szCs w:val="24"/>
        </w:rPr>
        <w:t xml:space="preserve"> characteristics as well as the severity of CLL. Thus, it could be </w:t>
      </w:r>
      <w:r w:rsidR="0047518F">
        <w:rPr>
          <w:rFonts w:asciiTheme="majorBidi" w:hAnsiTheme="majorBidi" w:cstheme="majorBidi"/>
          <w:sz w:val="24"/>
          <w:szCs w:val="24"/>
        </w:rPr>
        <w:t>helpful</w:t>
      </w:r>
      <w:r w:rsidRPr="00A63F51">
        <w:rPr>
          <w:rFonts w:asciiTheme="majorBidi" w:hAnsiTheme="majorBidi" w:cstheme="majorBidi"/>
          <w:sz w:val="24"/>
          <w:szCs w:val="24"/>
        </w:rPr>
        <w:t xml:space="preserve"> for diagnostic </w:t>
      </w:r>
      <w:r w:rsidR="0047518F">
        <w:rPr>
          <w:rFonts w:asciiTheme="majorBidi" w:hAnsiTheme="majorBidi" w:cstheme="majorBidi"/>
          <w:sz w:val="24"/>
          <w:szCs w:val="24"/>
        </w:rPr>
        <w:t>and</w:t>
      </w:r>
      <w:r w:rsidRPr="00A63F51">
        <w:rPr>
          <w:rFonts w:asciiTheme="majorBidi" w:hAnsiTheme="majorBidi" w:cstheme="majorBidi"/>
          <w:sz w:val="24"/>
          <w:szCs w:val="24"/>
        </w:rPr>
        <w:t xml:space="preserve"> prognostic purposes in CLL.</w:t>
      </w:r>
    </w:p>
    <w:p w14:paraId="6351C8FD" w14:textId="01967F37" w:rsidR="00772757" w:rsidRDefault="00871AC8" w:rsidP="000A19ED">
      <w:pPr>
        <w:spacing w:line="360" w:lineRule="auto"/>
        <w:jc w:val="both"/>
        <w:rPr>
          <w:rFonts w:asciiTheme="majorBidi" w:hAnsiTheme="majorBidi" w:cstheme="majorBidi"/>
          <w:b/>
          <w:bCs/>
          <w:sz w:val="24"/>
          <w:szCs w:val="24"/>
        </w:rPr>
      </w:pPr>
      <w:r w:rsidRPr="004149D2">
        <w:rPr>
          <w:rFonts w:asciiTheme="majorBidi" w:hAnsiTheme="majorBidi" w:cstheme="majorBidi"/>
          <w:b/>
          <w:bCs/>
          <w:sz w:val="24"/>
          <w:szCs w:val="24"/>
        </w:rPr>
        <w:t>The limitation and recommendations of the study</w:t>
      </w:r>
    </w:p>
    <w:p w14:paraId="059B1955" w14:textId="51EBE7CF" w:rsidR="003C03D5" w:rsidRPr="003C03D5" w:rsidRDefault="00871AC8" w:rsidP="000A19ED">
      <w:pPr>
        <w:spacing w:line="360" w:lineRule="auto"/>
        <w:jc w:val="both"/>
        <w:rPr>
          <w:rFonts w:asciiTheme="majorBidi" w:hAnsiTheme="majorBidi" w:cstheme="majorBidi"/>
          <w:sz w:val="24"/>
          <w:szCs w:val="24"/>
        </w:rPr>
      </w:pPr>
      <w:r w:rsidRPr="003C03D5">
        <w:rPr>
          <w:rFonts w:asciiTheme="majorBidi" w:hAnsiTheme="majorBidi" w:cstheme="majorBidi"/>
          <w:sz w:val="24"/>
          <w:szCs w:val="24"/>
        </w:rPr>
        <w:t xml:space="preserve">The </w:t>
      </w:r>
      <w:r w:rsidR="0047518F">
        <w:rPr>
          <w:rFonts w:asciiTheme="majorBidi" w:hAnsiTheme="majorBidi" w:cstheme="majorBidi"/>
          <w:sz w:val="24"/>
          <w:szCs w:val="24"/>
        </w:rPr>
        <w:t>fundamental</w:t>
      </w:r>
      <w:r w:rsidRPr="003C03D5">
        <w:rPr>
          <w:rFonts w:asciiTheme="majorBidi" w:hAnsiTheme="majorBidi" w:cstheme="majorBidi"/>
          <w:sz w:val="24"/>
          <w:szCs w:val="24"/>
        </w:rPr>
        <w:t xml:space="preserve"> limitations of the current study were the small sample size of the </w:t>
      </w:r>
      <w:r w:rsidR="0047518F">
        <w:rPr>
          <w:rFonts w:asciiTheme="majorBidi" w:hAnsiTheme="majorBidi" w:cstheme="majorBidi"/>
          <w:sz w:val="24"/>
          <w:szCs w:val="24"/>
        </w:rPr>
        <w:t>analysis</w:t>
      </w:r>
      <w:r w:rsidRPr="003C03D5">
        <w:rPr>
          <w:rFonts w:asciiTheme="majorBidi" w:hAnsiTheme="majorBidi" w:cstheme="majorBidi"/>
          <w:sz w:val="24"/>
          <w:szCs w:val="24"/>
        </w:rPr>
        <w:t xml:space="preserve"> and </w:t>
      </w:r>
      <w:r w:rsidR="004149D2">
        <w:rPr>
          <w:rFonts w:asciiTheme="majorBidi" w:hAnsiTheme="majorBidi" w:cstheme="majorBidi"/>
          <w:sz w:val="24"/>
          <w:szCs w:val="24"/>
        </w:rPr>
        <w:t xml:space="preserve">the </w:t>
      </w:r>
      <w:r w:rsidRPr="003C03D5">
        <w:rPr>
          <w:rFonts w:asciiTheme="majorBidi" w:hAnsiTheme="majorBidi" w:cstheme="majorBidi"/>
          <w:sz w:val="24"/>
          <w:szCs w:val="24"/>
        </w:rPr>
        <w:t>case-control study design</w:t>
      </w:r>
      <w:r w:rsidR="004149D2">
        <w:rPr>
          <w:rFonts w:asciiTheme="majorBidi" w:hAnsiTheme="majorBidi" w:cstheme="majorBidi"/>
          <w:sz w:val="24"/>
          <w:szCs w:val="24"/>
        </w:rPr>
        <w:t>,</w:t>
      </w:r>
      <w:r w:rsidRPr="003C03D5">
        <w:rPr>
          <w:rFonts w:asciiTheme="majorBidi" w:hAnsiTheme="majorBidi" w:cstheme="majorBidi"/>
          <w:sz w:val="24"/>
          <w:szCs w:val="24"/>
        </w:rPr>
        <w:t xml:space="preserve"> as we </w:t>
      </w:r>
      <w:r w:rsidR="004149D2">
        <w:rPr>
          <w:rFonts w:asciiTheme="majorBidi" w:hAnsiTheme="majorBidi" w:cstheme="majorBidi"/>
          <w:sz w:val="24"/>
          <w:szCs w:val="24"/>
        </w:rPr>
        <w:t>needed to</w:t>
      </w:r>
      <w:r w:rsidRPr="003C03D5">
        <w:rPr>
          <w:rFonts w:asciiTheme="majorBidi" w:hAnsiTheme="majorBidi" w:cstheme="majorBidi"/>
          <w:sz w:val="24"/>
          <w:szCs w:val="24"/>
        </w:rPr>
        <w:t xml:space="preserve"> assess the prevalence of HCV in CLL</w:t>
      </w:r>
      <w:r w:rsidR="0047518F">
        <w:rPr>
          <w:rFonts w:asciiTheme="majorBidi" w:hAnsiTheme="majorBidi" w:cstheme="majorBidi"/>
          <w:sz w:val="24"/>
          <w:szCs w:val="24"/>
        </w:rPr>
        <w:t>.</w:t>
      </w:r>
      <w:r w:rsidRPr="003C03D5">
        <w:rPr>
          <w:rFonts w:asciiTheme="majorBidi" w:hAnsiTheme="majorBidi" w:cstheme="majorBidi"/>
          <w:sz w:val="24"/>
          <w:szCs w:val="24"/>
        </w:rPr>
        <w:t xml:space="preserve"> </w:t>
      </w:r>
      <w:r w:rsidR="004149D2">
        <w:rPr>
          <w:rFonts w:asciiTheme="majorBidi" w:hAnsiTheme="majorBidi" w:cstheme="majorBidi"/>
          <w:sz w:val="24"/>
          <w:szCs w:val="24"/>
        </w:rPr>
        <w:t>Therefore, we</w:t>
      </w:r>
      <w:r w:rsidRPr="003C03D5">
        <w:rPr>
          <w:rFonts w:asciiTheme="majorBidi" w:hAnsiTheme="majorBidi" w:cstheme="majorBidi"/>
          <w:sz w:val="24"/>
          <w:szCs w:val="24"/>
        </w:rPr>
        <w:t xml:space="preserve"> recommend further </w:t>
      </w:r>
      <w:r w:rsidR="004149D2">
        <w:rPr>
          <w:rFonts w:asciiTheme="majorBidi" w:hAnsiTheme="majorBidi" w:cstheme="majorBidi"/>
          <w:sz w:val="24"/>
          <w:szCs w:val="24"/>
        </w:rPr>
        <w:t>extensive</w:t>
      </w:r>
      <w:r w:rsidRPr="003C03D5">
        <w:rPr>
          <w:rFonts w:asciiTheme="majorBidi" w:hAnsiTheme="majorBidi" w:cstheme="majorBidi"/>
          <w:sz w:val="24"/>
          <w:szCs w:val="24"/>
        </w:rPr>
        <w:t xml:space="preserve"> cross-sectional </w:t>
      </w:r>
      <w:r w:rsidR="004149D2">
        <w:rPr>
          <w:rFonts w:asciiTheme="majorBidi" w:hAnsiTheme="majorBidi" w:cstheme="majorBidi"/>
          <w:sz w:val="24"/>
          <w:szCs w:val="24"/>
        </w:rPr>
        <w:t>studies</w:t>
      </w:r>
      <w:r w:rsidRPr="003C03D5">
        <w:rPr>
          <w:rFonts w:asciiTheme="majorBidi" w:hAnsiTheme="majorBidi" w:cstheme="majorBidi"/>
          <w:sz w:val="24"/>
          <w:szCs w:val="24"/>
        </w:rPr>
        <w:t xml:space="preserve"> and multicenter to confirm the study results so we </w:t>
      </w:r>
      <w:r w:rsidR="0047518F">
        <w:rPr>
          <w:rFonts w:asciiTheme="majorBidi" w:hAnsiTheme="majorBidi" w:cstheme="majorBidi"/>
          <w:sz w:val="24"/>
          <w:szCs w:val="24"/>
        </w:rPr>
        <w:t>can</w:t>
      </w:r>
      <w:r w:rsidRPr="003C03D5">
        <w:rPr>
          <w:rFonts w:asciiTheme="majorBidi" w:hAnsiTheme="majorBidi" w:cstheme="majorBidi"/>
          <w:sz w:val="24"/>
          <w:szCs w:val="24"/>
        </w:rPr>
        <w:t xml:space="preserve"> use mir-150-5p</w:t>
      </w:r>
      <w:r w:rsidRPr="003C03D5">
        <w:t xml:space="preserve"> </w:t>
      </w:r>
      <w:r w:rsidRPr="003C03D5">
        <w:rPr>
          <w:rFonts w:asciiTheme="majorBidi" w:hAnsiTheme="majorBidi" w:cstheme="majorBidi"/>
          <w:sz w:val="24"/>
          <w:szCs w:val="24"/>
        </w:rPr>
        <w:t xml:space="preserve">diagnostic </w:t>
      </w:r>
      <w:r w:rsidR="0047518F">
        <w:rPr>
          <w:rFonts w:asciiTheme="majorBidi" w:hAnsiTheme="majorBidi" w:cstheme="majorBidi"/>
          <w:sz w:val="24"/>
          <w:szCs w:val="24"/>
        </w:rPr>
        <w:t>and</w:t>
      </w:r>
      <w:r w:rsidRPr="003C03D5">
        <w:rPr>
          <w:rFonts w:asciiTheme="majorBidi" w:hAnsiTheme="majorBidi" w:cstheme="majorBidi"/>
          <w:sz w:val="24"/>
          <w:szCs w:val="24"/>
        </w:rPr>
        <w:t xml:space="preserve"> prognostic</w:t>
      </w:r>
      <w:r w:rsidR="0047518F">
        <w:rPr>
          <w:rFonts w:asciiTheme="majorBidi" w:hAnsiTheme="majorBidi" w:cstheme="majorBidi"/>
          <w:sz w:val="24"/>
          <w:szCs w:val="24"/>
        </w:rPr>
        <w:t xml:space="preserve"> </w:t>
      </w:r>
      <w:r w:rsidRPr="003C03D5">
        <w:rPr>
          <w:rFonts w:asciiTheme="majorBidi" w:hAnsiTheme="majorBidi" w:cstheme="majorBidi"/>
          <w:sz w:val="24"/>
          <w:szCs w:val="24"/>
        </w:rPr>
        <w:t xml:space="preserve">epigenetic </w:t>
      </w:r>
      <w:r w:rsidR="004149D2">
        <w:rPr>
          <w:rFonts w:asciiTheme="majorBidi" w:hAnsiTheme="majorBidi" w:cstheme="majorBidi"/>
          <w:sz w:val="24"/>
          <w:szCs w:val="24"/>
        </w:rPr>
        <w:t>markers</w:t>
      </w:r>
      <w:r w:rsidRPr="003C03D5">
        <w:rPr>
          <w:rFonts w:asciiTheme="majorBidi" w:hAnsiTheme="majorBidi" w:cstheme="majorBidi"/>
          <w:sz w:val="24"/>
          <w:szCs w:val="24"/>
        </w:rPr>
        <w:t xml:space="preserve"> in CLL</w:t>
      </w:r>
      <w:r w:rsidR="0047518F">
        <w:rPr>
          <w:rFonts w:asciiTheme="majorBidi" w:hAnsiTheme="majorBidi" w:cstheme="majorBidi"/>
          <w:sz w:val="24"/>
          <w:szCs w:val="24"/>
        </w:rPr>
        <w:t>.</w:t>
      </w:r>
    </w:p>
    <w:p w14:paraId="59FB2C89" w14:textId="54DD6C87" w:rsidR="005E5589" w:rsidRPr="004149D2" w:rsidRDefault="00871AC8" w:rsidP="005E5589">
      <w:pPr>
        <w:spacing w:line="360" w:lineRule="auto"/>
        <w:jc w:val="both"/>
        <w:rPr>
          <w:rFonts w:asciiTheme="majorBidi" w:hAnsiTheme="majorBidi" w:cstheme="majorBidi"/>
          <w:b/>
          <w:bCs/>
          <w:sz w:val="24"/>
          <w:szCs w:val="24"/>
        </w:rPr>
      </w:pPr>
      <w:r w:rsidRPr="004149D2">
        <w:rPr>
          <w:rFonts w:asciiTheme="majorBidi" w:hAnsiTheme="majorBidi" w:cstheme="majorBidi"/>
          <w:b/>
          <w:bCs/>
          <w:sz w:val="24"/>
          <w:szCs w:val="24"/>
        </w:rPr>
        <w:t>List of abbreviations</w:t>
      </w:r>
    </w:p>
    <w:p w14:paraId="6BC9EC10" w14:textId="2A23AE1F" w:rsidR="000A19ED" w:rsidRPr="004149D2" w:rsidRDefault="00871AC8" w:rsidP="000A19ED">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CLL:</w:t>
      </w:r>
      <w:r w:rsidR="0007508A" w:rsidRPr="004149D2">
        <w:rPr>
          <w:rFonts w:asciiTheme="majorBidi" w:hAnsiTheme="majorBidi" w:cstheme="majorBidi"/>
          <w:sz w:val="24"/>
          <w:szCs w:val="24"/>
        </w:rPr>
        <w:t xml:space="preserve"> </w:t>
      </w:r>
      <w:r w:rsidRPr="004149D2">
        <w:rPr>
          <w:rFonts w:asciiTheme="majorBidi" w:hAnsiTheme="majorBidi" w:cstheme="majorBidi"/>
          <w:sz w:val="24"/>
          <w:szCs w:val="24"/>
        </w:rPr>
        <w:t>Chronic lymphocytic leukemia.</w:t>
      </w:r>
    </w:p>
    <w:p w14:paraId="3C721EF1" w14:textId="3011EFD1" w:rsidR="000A19ED" w:rsidRPr="004149D2" w:rsidRDefault="00871AC8" w:rsidP="000A19ED">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HCV: hepatitis C virus.</w:t>
      </w:r>
    </w:p>
    <w:p w14:paraId="0119EA95" w14:textId="7F097D95" w:rsidR="000A19ED" w:rsidRPr="004149D2" w:rsidRDefault="00871AC8" w:rsidP="000A19ED">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MiRNAs: MicroRNAs.</w:t>
      </w:r>
    </w:p>
    <w:p w14:paraId="5A49003D" w14:textId="15A28318" w:rsidR="000A19ED" w:rsidRPr="004149D2" w:rsidRDefault="00871AC8" w:rsidP="000A19ED">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 xml:space="preserve">β2M: β2 </w:t>
      </w:r>
      <w:proofErr w:type="spellStart"/>
      <w:r w:rsidRPr="004149D2">
        <w:rPr>
          <w:rFonts w:asciiTheme="majorBidi" w:hAnsiTheme="majorBidi" w:cstheme="majorBidi"/>
          <w:sz w:val="24"/>
          <w:szCs w:val="24"/>
        </w:rPr>
        <w:t>microglobulin</w:t>
      </w:r>
      <w:proofErr w:type="spellEnd"/>
      <w:r w:rsidRPr="004149D2">
        <w:rPr>
          <w:rFonts w:asciiTheme="majorBidi" w:hAnsiTheme="majorBidi" w:cstheme="majorBidi"/>
          <w:sz w:val="24"/>
          <w:szCs w:val="24"/>
        </w:rPr>
        <w:t xml:space="preserve"> .</w:t>
      </w:r>
    </w:p>
    <w:p w14:paraId="3D9B0126" w14:textId="7D27C5B9" w:rsidR="000A19ED" w:rsidRPr="004149D2" w:rsidRDefault="00871AC8" w:rsidP="000A19ED">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CD38: Cluster of differentiation 38</w:t>
      </w:r>
    </w:p>
    <w:p w14:paraId="7E87DDB3" w14:textId="72B4F161" w:rsidR="000A19ED" w:rsidRPr="004149D2" w:rsidRDefault="00871AC8" w:rsidP="000A19ED">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ZAP70: Zeta-chain-associated protein kinase 70</w:t>
      </w:r>
    </w:p>
    <w:p w14:paraId="0E337305" w14:textId="77777777" w:rsidR="000A19ED" w:rsidRPr="004149D2" w:rsidRDefault="00871AC8" w:rsidP="000A19ED">
      <w:pPr>
        <w:spacing w:after="200" w:line="276" w:lineRule="auto"/>
        <w:rPr>
          <w:rFonts w:asciiTheme="majorBidi" w:hAnsiTheme="majorBidi" w:cstheme="majorBidi"/>
          <w:sz w:val="24"/>
          <w:szCs w:val="24"/>
        </w:rPr>
      </w:pPr>
      <w:r w:rsidRPr="004149D2">
        <w:rPr>
          <w:rFonts w:asciiTheme="majorBidi" w:hAnsiTheme="majorBidi" w:cstheme="majorBidi"/>
          <w:sz w:val="24"/>
          <w:szCs w:val="24"/>
        </w:rPr>
        <w:t xml:space="preserve">RT-PCR: A real-time polymerase chain reaction </w:t>
      </w:r>
    </w:p>
    <w:p w14:paraId="6D3EA363" w14:textId="77777777" w:rsidR="000A19ED" w:rsidRPr="004149D2" w:rsidRDefault="00871AC8" w:rsidP="000A19ED">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IWCLL: International Workshop on Chronic Lymphocytic Leukemia</w:t>
      </w:r>
    </w:p>
    <w:p w14:paraId="170EF139" w14:textId="5210F705" w:rsidR="000A19ED" w:rsidRDefault="00871AC8" w:rsidP="000A19ED">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ALC</w:t>
      </w:r>
      <w:r w:rsidR="006E18F5">
        <w:rPr>
          <w:rFonts w:asciiTheme="majorBidi" w:hAnsiTheme="majorBidi" w:cstheme="majorBidi"/>
          <w:sz w:val="24"/>
          <w:szCs w:val="24"/>
        </w:rPr>
        <w:t xml:space="preserve">: </w:t>
      </w:r>
      <w:r w:rsidR="006E18F5" w:rsidRPr="004149D2">
        <w:rPr>
          <w:rFonts w:asciiTheme="majorBidi" w:hAnsiTheme="majorBidi" w:cstheme="majorBidi"/>
          <w:sz w:val="24"/>
          <w:szCs w:val="24"/>
        </w:rPr>
        <w:t>absolute lymphocyte count</w:t>
      </w:r>
    </w:p>
    <w:p w14:paraId="26425BE1" w14:textId="77777777" w:rsidR="006E18F5" w:rsidRPr="006E18F5" w:rsidRDefault="006E18F5" w:rsidP="006E18F5">
      <w:pPr>
        <w:spacing w:line="240" w:lineRule="auto"/>
        <w:jc w:val="both"/>
        <w:rPr>
          <w:rFonts w:ascii="Times New Roman" w:eastAsia="Calibri" w:hAnsi="Times New Roman" w:cs="Times New Roman"/>
          <w:b/>
          <w:bCs/>
          <w:sz w:val="20"/>
          <w:szCs w:val="20"/>
        </w:rPr>
      </w:pPr>
      <w:r w:rsidRPr="006E18F5">
        <w:rPr>
          <w:rFonts w:ascii="Times New Roman" w:eastAsia="Calibri" w:hAnsi="Times New Roman" w:cs="Times New Roman"/>
          <w:b/>
          <w:bCs/>
          <w:sz w:val="20"/>
          <w:szCs w:val="20"/>
        </w:rPr>
        <w:t>Footnotes.</w:t>
      </w:r>
    </w:p>
    <w:p w14:paraId="5ACB9F61" w14:textId="056F4604" w:rsidR="006E18F5" w:rsidRPr="006E18F5" w:rsidRDefault="006E18F5" w:rsidP="006E18F5">
      <w:pPr>
        <w:spacing w:line="240" w:lineRule="auto"/>
        <w:jc w:val="both"/>
        <w:rPr>
          <w:rFonts w:ascii="Times New Roman" w:eastAsia="Calibri" w:hAnsi="Times New Roman" w:cs="Times New Roman"/>
          <w:bCs/>
          <w:iCs/>
          <w:sz w:val="20"/>
          <w:szCs w:val="20"/>
        </w:rPr>
      </w:pPr>
      <w:r w:rsidRPr="006E18F5">
        <w:rPr>
          <w:rFonts w:ascii="Times New Roman" w:eastAsia="Calibri" w:hAnsi="Times New Roman" w:cs="Times New Roman"/>
          <w:b/>
          <w:iCs/>
          <w:sz w:val="20"/>
          <w:szCs w:val="20"/>
        </w:rPr>
        <w:t>Peer-Reviewers:</w:t>
      </w:r>
      <w:r w:rsidRPr="006E18F5">
        <w:rPr>
          <w:rFonts w:ascii="Times New Roman" w:eastAsia="Calibri" w:hAnsi="Times New Roman" w:cs="Times New Roman"/>
          <w:bCs/>
          <w:iCs/>
          <w:sz w:val="20"/>
          <w:szCs w:val="20"/>
        </w:rPr>
        <w:t xml:space="preserve"> A</w:t>
      </w:r>
      <w:r w:rsidR="00013C58">
        <w:rPr>
          <w:rFonts w:ascii="Times New Roman" w:eastAsia="Calibri" w:hAnsi="Times New Roman" w:cs="Times New Roman"/>
          <w:bCs/>
          <w:iCs/>
          <w:sz w:val="20"/>
          <w:szCs w:val="20"/>
        </w:rPr>
        <w:t>mr Hanafy</w:t>
      </w:r>
      <w:r w:rsidRPr="006E18F5">
        <w:rPr>
          <w:rFonts w:ascii="Times New Roman" w:eastAsia="Calibri" w:hAnsi="Times New Roman" w:cs="Times New Roman"/>
          <w:bCs/>
          <w:iCs/>
          <w:sz w:val="20"/>
          <w:szCs w:val="20"/>
        </w:rPr>
        <w:t xml:space="preserve"> (</w:t>
      </w:r>
      <w:bookmarkStart w:id="42" w:name="_Hlk125551784"/>
      <w:r w:rsidRPr="006E18F5">
        <w:rPr>
          <w:rFonts w:ascii="Times New Roman" w:eastAsia="Calibri" w:hAnsi="Times New Roman" w:cs="Times New Roman"/>
          <w:bCs/>
          <w:iCs/>
          <w:sz w:val="20"/>
          <w:szCs w:val="20"/>
        </w:rPr>
        <w:t>Professor</w:t>
      </w:r>
      <w:bookmarkEnd w:id="42"/>
      <w:r w:rsidRPr="006E18F5">
        <w:rPr>
          <w:rFonts w:ascii="Times New Roman" w:eastAsia="Calibri" w:hAnsi="Times New Roman" w:cs="Times New Roman"/>
          <w:bCs/>
          <w:iCs/>
          <w:sz w:val="20"/>
          <w:szCs w:val="20"/>
        </w:rPr>
        <w:t xml:space="preserve"> of internal medicine), </w:t>
      </w:r>
      <w:proofErr w:type="spellStart"/>
      <w:r w:rsidR="00013C58">
        <w:rPr>
          <w:rFonts w:ascii="Times New Roman" w:eastAsia="Calibri" w:hAnsi="Times New Roman" w:cs="Times New Roman"/>
          <w:bCs/>
          <w:iCs/>
          <w:sz w:val="20"/>
          <w:szCs w:val="20"/>
        </w:rPr>
        <w:t>Samia</w:t>
      </w:r>
      <w:proofErr w:type="spellEnd"/>
      <w:r w:rsidR="00013C58">
        <w:rPr>
          <w:rFonts w:ascii="Times New Roman" w:eastAsia="Calibri" w:hAnsi="Times New Roman" w:cs="Times New Roman"/>
          <w:bCs/>
          <w:iCs/>
          <w:sz w:val="20"/>
          <w:szCs w:val="20"/>
        </w:rPr>
        <w:t xml:space="preserve"> </w:t>
      </w:r>
      <w:proofErr w:type="spellStart"/>
      <w:r w:rsidR="00013C58">
        <w:rPr>
          <w:rFonts w:ascii="Times New Roman" w:eastAsia="Calibri" w:hAnsi="Times New Roman" w:cs="Times New Roman"/>
          <w:bCs/>
          <w:iCs/>
          <w:sz w:val="20"/>
          <w:szCs w:val="20"/>
        </w:rPr>
        <w:t>Hussien</w:t>
      </w:r>
      <w:proofErr w:type="spellEnd"/>
      <w:r w:rsidRPr="006E18F5">
        <w:rPr>
          <w:rFonts w:ascii="Times New Roman" w:eastAsia="Calibri" w:hAnsi="Times New Roman" w:cs="Times New Roman"/>
          <w:bCs/>
          <w:iCs/>
          <w:sz w:val="20"/>
          <w:szCs w:val="20"/>
        </w:rPr>
        <w:t xml:space="preserve"> </w:t>
      </w:r>
      <w:bookmarkStart w:id="43" w:name="_Hlk127989557"/>
      <w:r w:rsidR="0096577E" w:rsidRPr="006E18F5">
        <w:rPr>
          <w:rFonts w:ascii="Times New Roman" w:eastAsia="Calibri" w:hAnsi="Times New Roman" w:cs="Times New Roman"/>
          <w:bCs/>
          <w:iCs/>
          <w:sz w:val="20"/>
          <w:szCs w:val="20"/>
        </w:rPr>
        <w:t>(</w:t>
      </w:r>
      <w:r w:rsidR="0096577E">
        <w:rPr>
          <w:rFonts w:ascii="Times New Roman" w:eastAsia="Calibri" w:hAnsi="Times New Roman" w:cs="Times New Roman"/>
          <w:bCs/>
          <w:iCs/>
          <w:sz w:val="20"/>
          <w:szCs w:val="20"/>
        </w:rPr>
        <w:t>A</w:t>
      </w:r>
      <w:r w:rsidR="0096577E" w:rsidRPr="006E18F5">
        <w:rPr>
          <w:rFonts w:ascii="Times New Roman" w:eastAsia="Calibri" w:hAnsi="Times New Roman" w:cs="Times New Roman"/>
          <w:bCs/>
          <w:iCs/>
          <w:sz w:val="20"/>
          <w:szCs w:val="20"/>
        </w:rPr>
        <w:t>ssistant</w:t>
      </w:r>
      <w:r w:rsidR="00013C58">
        <w:rPr>
          <w:rFonts w:ascii="Times New Roman" w:eastAsia="Calibri" w:hAnsi="Times New Roman" w:cs="Times New Roman"/>
          <w:bCs/>
          <w:iCs/>
          <w:sz w:val="20"/>
          <w:szCs w:val="20"/>
        </w:rPr>
        <w:t xml:space="preserve"> </w:t>
      </w:r>
      <w:r w:rsidRPr="006E18F5">
        <w:rPr>
          <w:rFonts w:ascii="Times New Roman" w:eastAsia="Calibri" w:hAnsi="Times New Roman" w:cs="Times New Roman"/>
          <w:bCs/>
          <w:iCs/>
          <w:sz w:val="20"/>
          <w:szCs w:val="20"/>
        </w:rPr>
        <w:t xml:space="preserve">Professor of </w:t>
      </w:r>
      <w:r w:rsidR="00013C58">
        <w:rPr>
          <w:rFonts w:ascii="Times New Roman" w:eastAsia="Calibri" w:hAnsi="Times New Roman" w:cs="Times New Roman"/>
          <w:bCs/>
          <w:iCs/>
          <w:sz w:val="20"/>
          <w:szCs w:val="20"/>
        </w:rPr>
        <w:t>biochemistry</w:t>
      </w:r>
      <w:r w:rsidRPr="006E18F5">
        <w:rPr>
          <w:rFonts w:ascii="Times New Roman" w:eastAsia="Calibri" w:hAnsi="Times New Roman" w:cs="Times New Roman"/>
          <w:bCs/>
          <w:iCs/>
          <w:sz w:val="20"/>
          <w:szCs w:val="20"/>
        </w:rPr>
        <w:t>)</w:t>
      </w:r>
      <w:bookmarkEnd w:id="43"/>
      <w:r w:rsidRPr="006E18F5">
        <w:rPr>
          <w:rFonts w:ascii="Times New Roman" w:eastAsia="Calibri" w:hAnsi="Times New Roman" w:cs="Times New Roman"/>
          <w:bCs/>
          <w:iCs/>
          <w:sz w:val="20"/>
          <w:szCs w:val="20"/>
        </w:rPr>
        <w:t xml:space="preserve">, </w:t>
      </w:r>
      <w:bookmarkStart w:id="44" w:name="_Hlk122539296"/>
      <w:r w:rsidR="00013C58">
        <w:rPr>
          <w:rFonts w:ascii="Times New Roman" w:eastAsia="Calibri" w:hAnsi="Times New Roman" w:cs="Times New Roman"/>
          <w:bCs/>
          <w:iCs/>
          <w:sz w:val="20"/>
          <w:szCs w:val="20"/>
        </w:rPr>
        <w:t>Marwa Shabana</w:t>
      </w:r>
      <w:r w:rsidRPr="006E18F5">
        <w:rPr>
          <w:rFonts w:ascii="Times New Roman" w:eastAsia="Calibri" w:hAnsi="Times New Roman" w:cs="Times New Roman"/>
          <w:bCs/>
          <w:iCs/>
          <w:sz w:val="20"/>
          <w:szCs w:val="20"/>
        </w:rPr>
        <w:t xml:space="preserve"> </w:t>
      </w:r>
      <w:bookmarkStart w:id="45" w:name="_Hlk127989802"/>
      <w:r w:rsidRPr="006E18F5">
        <w:rPr>
          <w:rFonts w:ascii="Times New Roman" w:eastAsia="Calibri" w:hAnsi="Times New Roman" w:cs="Times New Roman"/>
          <w:bCs/>
          <w:iCs/>
          <w:sz w:val="20"/>
          <w:szCs w:val="20"/>
        </w:rPr>
        <w:t xml:space="preserve">(Assistant Professor of </w:t>
      </w:r>
      <w:r w:rsidR="00013C58">
        <w:rPr>
          <w:rFonts w:ascii="Times New Roman" w:eastAsia="Calibri" w:hAnsi="Times New Roman" w:cs="Times New Roman"/>
          <w:bCs/>
          <w:iCs/>
          <w:sz w:val="20"/>
          <w:szCs w:val="20"/>
        </w:rPr>
        <w:t>clinical pathology</w:t>
      </w:r>
      <w:r w:rsidRPr="006E18F5">
        <w:rPr>
          <w:rFonts w:ascii="Times New Roman" w:eastAsia="Calibri" w:hAnsi="Times New Roman" w:cs="Times New Roman"/>
          <w:bCs/>
          <w:iCs/>
          <w:sz w:val="20"/>
          <w:szCs w:val="20"/>
        </w:rPr>
        <w:t>)</w:t>
      </w:r>
      <w:bookmarkEnd w:id="45"/>
      <w:r w:rsidRPr="006E18F5">
        <w:rPr>
          <w:rFonts w:ascii="Times New Roman" w:eastAsia="Calibri" w:hAnsi="Times New Roman" w:cs="Times New Roman"/>
          <w:bCs/>
          <w:iCs/>
          <w:sz w:val="20"/>
          <w:szCs w:val="20"/>
        </w:rPr>
        <w:t xml:space="preserve">, </w:t>
      </w:r>
      <w:r w:rsidR="00013C58">
        <w:rPr>
          <w:rFonts w:ascii="Times New Roman" w:eastAsia="Calibri" w:hAnsi="Times New Roman" w:cs="Times New Roman"/>
          <w:bCs/>
          <w:iCs/>
          <w:sz w:val="20"/>
          <w:szCs w:val="20"/>
        </w:rPr>
        <w:t xml:space="preserve">Ola </w:t>
      </w:r>
      <w:proofErr w:type="spellStart"/>
      <w:r w:rsidR="00013C58">
        <w:rPr>
          <w:rFonts w:ascii="Times New Roman" w:eastAsia="Calibri" w:hAnsi="Times New Roman" w:cs="Times New Roman"/>
          <w:bCs/>
          <w:iCs/>
          <w:sz w:val="20"/>
          <w:szCs w:val="20"/>
        </w:rPr>
        <w:t>Elfarargey</w:t>
      </w:r>
      <w:proofErr w:type="spellEnd"/>
      <w:r w:rsidRPr="006E18F5">
        <w:rPr>
          <w:rFonts w:ascii="Times New Roman" w:eastAsia="Calibri" w:hAnsi="Times New Roman" w:cs="Times New Roman"/>
          <w:bCs/>
          <w:iCs/>
          <w:sz w:val="20"/>
          <w:szCs w:val="20"/>
        </w:rPr>
        <w:t xml:space="preserve"> (Professor of </w:t>
      </w:r>
      <w:r w:rsidR="00013C58">
        <w:rPr>
          <w:rFonts w:ascii="Times New Roman" w:eastAsia="Calibri" w:hAnsi="Times New Roman" w:cs="Times New Roman"/>
          <w:bCs/>
          <w:iCs/>
          <w:sz w:val="20"/>
          <w:szCs w:val="20"/>
        </w:rPr>
        <w:t>medical oncology</w:t>
      </w:r>
      <w:r w:rsidRPr="006E18F5">
        <w:rPr>
          <w:rFonts w:ascii="Times New Roman" w:eastAsia="Calibri" w:hAnsi="Times New Roman" w:cs="Times New Roman"/>
          <w:bCs/>
          <w:iCs/>
          <w:sz w:val="20"/>
          <w:szCs w:val="20"/>
        </w:rPr>
        <w:t>).</w:t>
      </w:r>
      <w:bookmarkEnd w:id="44"/>
    </w:p>
    <w:p w14:paraId="50AE2182" w14:textId="77777777" w:rsidR="006E18F5" w:rsidRPr="006E18F5" w:rsidRDefault="006E18F5" w:rsidP="006E18F5">
      <w:pPr>
        <w:spacing w:line="240" w:lineRule="auto"/>
        <w:jc w:val="both"/>
        <w:rPr>
          <w:rFonts w:ascii="Times New Roman" w:eastAsia="Calibri" w:hAnsi="Times New Roman" w:cs="Times New Roman"/>
          <w:bCs/>
          <w:iCs/>
          <w:sz w:val="20"/>
          <w:szCs w:val="20"/>
        </w:rPr>
      </w:pPr>
      <w:r w:rsidRPr="006E18F5">
        <w:rPr>
          <w:rFonts w:ascii="Times New Roman" w:eastAsia="Calibri" w:hAnsi="Times New Roman" w:cs="Times New Roman"/>
          <w:b/>
          <w:iCs/>
          <w:sz w:val="20"/>
          <w:szCs w:val="20"/>
        </w:rPr>
        <w:t>E- Editor:</w:t>
      </w:r>
      <w:r w:rsidRPr="006E18F5">
        <w:rPr>
          <w:rFonts w:ascii="Times New Roman" w:eastAsia="Calibri" w:hAnsi="Times New Roman" w:cs="Times New Roman"/>
          <w:bCs/>
          <w:iCs/>
          <w:sz w:val="20"/>
          <w:szCs w:val="20"/>
        </w:rPr>
        <w:t xml:space="preserve"> Salem Youssef Mohamed, Osama Ahmed Khalil.</w:t>
      </w:r>
    </w:p>
    <w:p w14:paraId="434846D4" w14:textId="77777777" w:rsidR="006E18F5" w:rsidRPr="006E18F5" w:rsidRDefault="006E18F5" w:rsidP="006E18F5">
      <w:pPr>
        <w:spacing w:line="240" w:lineRule="auto"/>
        <w:jc w:val="both"/>
        <w:rPr>
          <w:rFonts w:ascii="Times New Roman" w:eastAsia="Calibri" w:hAnsi="Times New Roman" w:cs="Times New Roman"/>
          <w:bCs/>
          <w:iCs/>
          <w:sz w:val="20"/>
          <w:szCs w:val="20"/>
        </w:rPr>
      </w:pPr>
      <w:r w:rsidRPr="006E18F5">
        <w:rPr>
          <w:rFonts w:ascii="Times New Roman" w:eastAsia="Calibri" w:hAnsi="Times New Roman" w:cs="Times New Roman"/>
          <w:b/>
          <w:iCs/>
          <w:sz w:val="20"/>
          <w:szCs w:val="20"/>
        </w:rPr>
        <w:t>Copyright ©.</w:t>
      </w:r>
      <w:r w:rsidRPr="006E18F5">
        <w:rPr>
          <w:rFonts w:ascii="Times New Roman" w:eastAsia="Calibri" w:hAnsi="Times New Roman" w:cs="Times New Roman"/>
          <w:bCs/>
          <w:iCs/>
          <w:sz w:val="20"/>
          <w:szCs w:val="20"/>
        </w:rPr>
        <w:t xml:space="preserve"> This open-access article is distributed under the </w:t>
      </w:r>
      <w:hyperlink r:id="rId14" w:history="1">
        <w:r w:rsidRPr="006E18F5">
          <w:rPr>
            <w:rFonts w:ascii="Times New Roman" w:eastAsia="Calibri" w:hAnsi="Times New Roman" w:cs="Times New Roman"/>
            <w:bCs/>
            <w:iCs/>
            <w:color w:val="0000FF"/>
            <w:sz w:val="20"/>
            <w:szCs w:val="20"/>
            <w:u w:val="single"/>
          </w:rPr>
          <w:t>Creative Commons Attribution License (CC BY)</w:t>
        </w:r>
      </w:hyperlink>
      <w:r w:rsidRPr="006E18F5">
        <w:rPr>
          <w:rFonts w:ascii="Times New Roman" w:eastAsia="Calibri" w:hAnsi="Times New Roman" w:cs="Times New Roman"/>
          <w:bCs/>
          <w:iCs/>
          <w:sz w:val="20"/>
          <w:szCs w:val="20"/>
        </w:rPr>
        <w:t>.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46D1FB3F" w14:textId="77777777" w:rsidR="006E18F5" w:rsidRPr="006E18F5" w:rsidRDefault="006E18F5" w:rsidP="006E18F5">
      <w:pPr>
        <w:spacing w:line="240" w:lineRule="auto"/>
        <w:jc w:val="both"/>
        <w:rPr>
          <w:rFonts w:ascii="Times New Roman" w:eastAsia="Calibri" w:hAnsi="Times New Roman" w:cs="Times New Roman"/>
          <w:b/>
          <w:bCs/>
          <w:sz w:val="20"/>
          <w:szCs w:val="20"/>
        </w:rPr>
      </w:pPr>
      <w:r w:rsidRPr="006E18F5">
        <w:rPr>
          <w:rFonts w:ascii="Times New Roman" w:eastAsia="Calibri" w:hAnsi="Times New Roman" w:cs="Times New Roman"/>
          <w:b/>
          <w:iCs/>
          <w:sz w:val="20"/>
          <w:szCs w:val="20"/>
        </w:rPr>
        <w:t>Disclaimer:</w:t>
      </w:r>
      <w:r w:rsidRPr="006E18F5">
        <w:rPr>
          <w:rFonts w:ascii="Times New Roman" w:eastAsia="Calibri" w:hAnsi="Times New Roman" w:cs="Times New Roman"/>
          <w:bCs/>
          <w:iCs/>
          <w:sz w:val="20"/>
          <w:szCs w:val="20"/>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00A07DA0" w14:textId="77777777" w:rsidR="006E18F5" w:rsidRPr="006E18F5" w:rsidRDefault="006E18F5" w:rsidP="006E18F5">
      <w:pPr>
        <w:spacing w:line="240" w:lineRule="auto"/>
        <w:jc w:val="both"/>
        <w:rPr>
          <w:rFonts w:ascii="Times New Roman" w:eastAsia="Calibri" w:hAnsi="Times New Roman" w:cs="Times New Roman"/>
          <w:sz w:val="20"/>
          <w:szCs w:val="20"/>
        </w:rPr>
      </w:pPr>
      <w:r w:rsidRPr="006E18F5">
        <w:rPr>
          <w:rFonts w:ascii="Times New Roman" w:eastAsia="Calibri" w:hAnsi="Times New Roman" w:cs="Times New Roman"/>
          <w:b/>
          <w:sz w:val="20"/>
          <w:szCs w:val="20"/>
        </w:rPr>
        <w:t xml:space="preserve">Data availability </w:t>
      </w:r>
    </w:p>
    <w:p w14:paraId="28001F85" w14:textId="77777777" w:rsidR="006E18F5" w:rsidRPr="006E18F5" w:rsidRDefault="006E18F5" w:rsidP="006E18F5">
      <w:pPr>
        <w:spacing w:line="240" w:lineRule="auto"/>
        <w:jc w:val="both"/>
        <w:rPr>
          <w:rFonts w:ascii="Times New Roman" w:eastAsia="Calibri" w:hAnsi="Times New Roman" w:cs="Times New Roman"/>
          <w:sz w:val="20"/>
          <w:szCs w:val="20"/>
        </w:rPr>
      </w:pPr>
      <w:r w:rsidRPr="006E18F5">
        <w:rPr>
          <w:rFonts w:ascii="Times New Roman" w:eastAsia="Calibri" w:hAnsi="Times New Roman" w:cs="Times New Roman"/>
          <w:sz w:val="20"/>
          <w:szCs w:val="20"/>
        </w:rPr>
        <w:t>All the data obtained and analyzed are included in this manuscript.</w:t>
      </w:r>
    </w:p>
    <w:p w14:paraId="27C5F43B" w14:textId="77777777" w:rsidR="006E18F5" w:rsidRPr="006E18F5" w:rsidRDefault="006E18F5" w:rsidP="006E18F5">
      <w:pPr>
        <w:spacing w:line="240" w:lineRule="auto"/>
        <w:jc w:val="both"/>
        <w:rPr>
          <w:rFonts w:ascii="Times New Roman" w:eastAsia="Calibri" w:hAnsi="Times New Roman" w:cs="Times New Roman"/>
          <w:sz w:val="20"/>
          <w:szCs w:val="20"/>
        </w:rPr>
      </w:pPr>
      <w:r w:rsidRPr="006E18F5">
        <w:rPr>
          <w:rFonts w:ascii="Times New Roman" w:eastAsia="Calibri" w:hAnsi="Times New Roman" w:cs="Times New Roman"/>
          <w:b/>
          <w:sz w:val="20"/>
          <w:szCs w:val="20"/>
        </w:rPr>
        <w:t>Conflicts of interest</w:t>
      </w:r>
    </w:p>
    <w:p w14:paraId="70374247" w14:textId="77777777" w:rsidR="006E18F5" w:rsidRPr="006E18F5" w:rsidRDefault="006E18F5" w:rsidP="006E18F5">
      <w:pPr>
        <w:spacing w:line="240" w:lineRule="auto"/>
        <w:jc w:val="both"/>
        <w:rPr>
          <w:rFonts w:ascii="Times New Roman" w:eastAsia="Calibri" w:hAnsi="Times New Roman" w:cs="Times New Roman"/>
          <w:sz w:val="20"/>
          <w:szCs w:val="20"/>
        </w:rPr>
      </w:pPr>
      <w:r w:rsidRPr="006E18F5">
        <w:rPr>
          <w:rFonts w:ascii="Times New Roman" w:eastAsia="Calibri" w:hAnsi="Times New Roman" w:cs="Times New Roman"/>
          <w:sz w:val="20"/>
          <w:szCs w:val="20"/>
        </w:rPr>
        <w:t>The authors declare that they have no competing interests.</w:t>
      </w:r>
    </w:p>
    <w:p w14:paraId="12F680E4" w14:textId="77777777" w:rsidR="006E18F5" w:rsidRPr="006E18F5" w:rsidRDefault="006E18F5" w:rsidP="006E18F5">
      <w:pPr>
        <w:spacing w:line="240" w:lineRule="auto"/>
        <w:jc w:val="both"/>
        <w:rPr>
          <w:rFonts w:ascii="Times New Roman" w:eastAsia="Calibri" w:hAnsi="Times New Roman" w:cs="Times New Roman"/>
          <w:sz w:val="20"/>
          <w:szCs w:val="20"/>
        </w:rPr>
      </w:pPr>
      <w:r w:rsidRPr="006E18F5">
        <w:rPr>
          <w:rFonts w:ascii="Times New Roman" w:eastAsia="Calibri" w:hAnsi="Times New Roman" w:cs="Times New Roman"/>
          <w:b/>
          <w:sz w:val="20"/>
          <w:szCs w:val="20"/>
        </w:rPr>
        <w:t>Funding source</w:t>
      </w:r>
    </w:p>
    <w:p w14:paraId="15BB53AB" w14:textId="77777777" w:rsidR="006E18F5" w:rsidRPr="006E18F5" w:rsidRDefault="006E18F5" w:rsidP="006E18F5">
      <w:pPr>
        <w:spacing w:line="240" w:lineRule="auto"/>
        <w:jc w:val="both"/>
        <w:rPr>
          <w:rFonts w:ascii="Times New Roman" w:eastAsia="Calibri" w:hAnsi="Times New Roman" w:cs="Times New Roman"/>
          <w:sz w:val="20"/>
          <w:szCs w:val="20"/>
        </w:rPr>
      </w:pPr>
      <w:r w:rsidRPr="006E18F5">
        <w:rPr>
          <w:rFonts w:ascii="Times New Roman" w:eastAsia="Calibri" w:hAnsi="Times New Roman" w:cs="Times New Roman"/>
          <w:sz w:val="20"/>
          <w:szCs w:val="20"/>
        </w:rPr>
        <w:t>The authors funded this study on their own.</w:t>
      </w:r>
    </w:p>
    <w:p w14:paraId="4E857A5F" w14:textId="45C82E54" w:rsidR="006E18F5" w:rsidRPr="006E18F5" w:rsidRDefault="006E18F5" w:rsidP="006E18F5">
      <w:pPr>
        <w:spacing w:after="0" w:line="360" w:lineRule="auto"/>
        <w:jc w:val="both"/>
        <w:rPr>
          <w:rFonts w:ascii="Times New Roman" w:eastAsia="Calibri" w:hAnsi="Times New Roman" w:cs="Times New Roman"/>
          <w:sz w:val="20"/>
          <w:szCs w:val="20"/>
        </w:rPr>
      </w:pPr>
      <w:r w:rsidRPr="006E18F5">
        <w:rPr>
          <w:rFonts w:ascii="Times New Roman" w:eastAsia="Calibri" w:hAnsi="Times New Roman" w:cs="Times New Roman"/>
          <w:b/>
          <w:sz w:val="20"/>
          <w:szCs w:val="20"/>
        </w:rPr>
        <w:t>Authors</w:t>
      </w:r>
      <w:r w:rsidRPr="006E18F5">
        <w:rPr>
          <w:rFonts w:ascii="Times New Roman" w:eastAsia="Calibri" w:hAnsi="Times New Roman" w:cs="Times New Roman"/>
          <w:b/>
          <w:sz w:val="20"/>
          <w:szCs w:val="20"/>
          <w:vertAlign w:val="superscript"/>
        </w:rPr>
        <w:t xml:space="preserve">, </w:t>
      </w:r>
      <w:r w:rsidRPr="006E18F5">
        <w:rPr>
          <w:rFonts w:ascii="Times New Roman" w:eastAsia="Calibri" w:hAnsi="Times New Roman" w:cs="Times New Roman"/>
          <w:b/>
          <w:sz w:val="20"/>
          <w:szCs w:val="20"/>
        </w:rPr>
        <w:t>contributions</w:t>
      </w:r>
      <w:r w:rsidR="00FD2BDA">
        <w:rPr>
          <w:rFonts w:ascii="Times New Roman" w:eastAsia="Calibri" w:hAnsi="Times New Roman" w:cs="Times New Roman"/>
          <w:b/>
          <w:sz w:val="20"/>
          <w:szCs w:val="20"/>
        </w:rPr>
        <w:t xml:space="preserve">: </w:t>
      </w:r>
      <w:r w:rsidR="00FD2BDA" w:rsidRPr="00FD2BDA">
        <w:rPr>
          <w:rFonts w:ascii="Times New Roman" w:eastAsia="Calibri" w:hAnsi="Times New Roman" w:cs="Times New Roman"/>
          <w:sz w:val="20"/>
          <w:szCs w:val="20"/>
        </w:rPr>
        <w:t xml:space="preserve">all authors participated </w:t>
      </w:r>
      <w:r w:rsidR="00013C58">
        <w:rPr>
          <w:rFonts w:ascii="Times New Roman" w:eastAsia="Calibri" w:hAnsi="Times New Roman" w:cs="Times New Roman"/>
          <w:sz w:val="20"/>
          <w:szCs w:val="20"/>
        </w:rPr>
        <w:t>in collecting</w:t>
      </w:r>
      <w:r w:rsidR="00FD2BDA" w:rsidRPr="00FD2BDA">
        <w:rPr>
          <w:rFonts w:ascii="Times New Roman" w:eastAsia="Calibri" w:hAnsi="Times New Roman" w:cs="Times New Roman"/>
          <w:sz w:val="20"/>
          <w:szCs w:val="20"/>
        </w:rPr>
        <w:t xml:space="preserve"> data, </w:t>
      </w:r>
      <w:r w:rsidR="00013C58">
        <w:rPr>
          <w:rFonts w:ascii="Times New Roman" w:eastAsia="Calibri" w:hAnsi="Times New Roman" w:cs="Times New Roman"/>
          <w:sz w:val="20"/>
          <w:szCs w:val="20"/>
        </w:rPr>
        <w:t>writing</w:t>
      </w:r>
      <w:r w:rsidR="00FD2BDA" w:rsidRPr="00FD2BDA">
        <w:rPr>
          <w:rFonts w:ascii="Times New Roman" w:eastAsia="Calibri" w:hAnsi="Times New Roman" w:cs="Times New Roman"/>
          <w:sz w:val="20"/>
          <w:szCs w:val="20"/>
        </w:rPr>
        <w:t xml:space="preserve"> </w:t>
      </w:r>
      <w:r w:rsidR="00013C58">
        <w:rPr>
          <w:rFonts w:ascii="Times New Roman" w:eastAsia="Calibri" w:hAnsi="Times New Roman" w:cs="Times New Roman"/>
          <w:sz w:val="20"/>
          <w:szCs w:val="20"/>
        </w:rPr>
        <w:t xml:space="preserve">the </w:t>
      </w:r>
      <w:r w:rsidR="00FD2BDA" w:rsidRPr="00FD2BDA">
        <w:rPr>
          <w:rFonts w:ascii="Times New Roman" w:eastAsia="Calibri" w:hAnsi="Times New Roman" w:cs="Times New Roman"/>
          <w:sz w:val="20"/>
          <w:szCs w:val="20"/>
        </w:rPr>
        <w:t xml:space="preserve">manuscript, </w:t>
      </w:r>
      <w:r w:rsidR="00FB624A">
        <w:rPr>
          <w:rFonts w:ascii="Times New Roman" w:eastAsia="Calibri" w:hAnsi="Times New Roman" w:cs="Times New Roman"/>
          <w:sz w:val="20"/>
          <w:szCs w:val="20"/>
        </w:rPr>
        <w:t xml:space="preserve">and </w:t>
      </w:r>
      <w:r w:rsidR="00013C58">
        <w:rPr>
          <w:rFonts w:ascii="Times New Roman" w:eastAsia="Calibri" w:hAnsi="Times New Roman" w:cs="Times New Roman"/>
          <w:sz w:val="20"/>
          <w:szCs w:val="20"/>
        </w:rPr>
        <w:t>revising</w:t>
      </w:r>
      <w:r w:rsidR="00FD2BDA" w:rsidRPr="00FD2BDA">
        <w:rPr>
          <w:rFonts w:ascii="Times New Roman" w:eastAsia="Calibri" w:hAnsi="Times New Roman" w:cs="Times New Roman"/>
          <w:sz w:val="20"/>
          <w:szCs w:val="20"/>
        </w:rPr>
        <w:t xml:space="preserve"> it</w:t>
      </w:r>
      <w:r w:rsidR="00AD1A0B">
        <w:rPr>
          <w:rFonts w:ascii="Times New Roman" w:eastAsia="Calibri" w:hAnsi="Times New Roman" w:cs="Times New Roman"/>
          <w:sz w:val="20"/>
          <w:szCs w:val="20"/>
        </w:rPr>
        <w:t>.</w:t>
      </w:r>
    </w:p>
    <w:p w14:paraId="6478D2A2" w14:textId="3ACAA3CF" w:rsidR="00874A85" w:rsidRDefault="00871AC8" w:rsidP="00E30642">
      <w:pPr>
        <w:spacing w:line="360" w:lineRule="auto"/>
        <w:rPr>
          <w:rFonts w:asciiTheme="majorBidi" w:hAnsiTheme="majorBidi" w:cstheme="majorBidi"/>
          <w:b/>
          <w:bCs/>
          <w:sz w:val="24"/>
          <w:szCs w:val="24"/>
        </w:rPr>
      </w:pPr>
      <w:r w:rsidRPr="00E30642">
        <w:rPr>
          <w:rFonts w:asciiTheme="majorBidi" w:hAnsiTheme="majorBidi" w:cstheme="majorBidi"/>
          <w:b/>
          <w:bCs/>
          <w:sz w:val="24"/>
          <w:szCs w:val="24"/>
        </w:rPr>
        <w:t>References</w:t>
      </w:r>
    </w:p>
    <w:p w14:paraId="5C333EB1" w14:textId="0924BCE3" w:rsidR="00090878" w:rsidRPr="004149D2" w:rsidRDefault="0009087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 xml:space="preserve">1. Bianco E, </w:t>
      </w:r>
      <w:proofErr w:type="spellStart"/>
      <w:r w:rsidRPr="004149D2">
        <w:rPr>
          <w:rFonts w:asciiTheme="majorBidi" w:hAnsiTheme="majorBidi" w:cstheme="majorBidi"/>
          <w:sz w:val="24"/>
          <w:szCs w:val="24"/>
        </w:rPr>
        <w:t>Marcucci</w:t>
      </w:r>
      <w:proofErr w:type="spellEnd"/>
      <w:r w:rsidRPr="004149D2">
        <w:rPr>
          <w:rFonts w:asciiTheme="majorBidi" w:hAnsiTheme="majorBidi" w:cstheme="majorBidi"/>
          <w:sz w:val="24"/>
          <w:szCs w:val="24"/>
        </w:rPr>
        <w:t xml:space="preserve"> F, Mele A, et al. Prevalence of hepatitis C virus infection in lymphoproliferative diseases other than B- cell non-</w:t>
      </w:r>
      <w:proofErr w:type="spellStart"/>
      <w:r w:rsidRPr="004149D2">
        <w:rPr>
          <w:rFonts w:asciiTheme="majorBidi" w:hAnsiTheme="majorBidi" w:cstheme="majorBidi"/>
          <w:sz w:val="24"/>
          <w:szCs w:val="24"/>
        </w:rPr>
        <w:t>Hodgkinís</w:t>
      </w:r>
      <w:proofErr w:type="spellEnd"/>
      <w:r w:rsidRPr="004149D2">
        <w:rPr>
          <w:rFonts w:asciiTheme="majorBidi" w:hAnsiTheme="majorBidi" w:cstheme="majorBidi"/>
          <w:sz w:val="24"/>
          <w:szCs w:val="24"/>
        </w:rPr>
        <w:t xml:space="preserve"> lymphoma, and myeloproliferative diseases: An Italian </w:t>
      </w:r>
      <w:r w:rsidR="004149D2" w:rsidRPr="004149D2">
        <w:rPr>
          <w:rFonts w:asciiTheme="majorBidi" w:hAnsiTheme="majorBidi" w:cstheme="majorBidi"/>
          <w:sz w:val="24"/>
          <w:szCs w:val="24"/>
        </w:rPr>
        <w:t>multi-center</w:t>
      </w:r>
      <w:r w:rsidRPr="004149D2">
        <w:rPr>
          <w:rFonts w:asciiTheme="majorBidi" w:hAnsiTheme="majorBidi" w:cstheme="majorBidi"/>
          <w:sz w:val="24"/>
          <w:szCs w:val="24"/>
        </w:rPr>
        <w:t xml:space="preserve"> case-control study. </w:t>
      </w:r>
      <w:proofErr w:type="spellStart"/>
      <w:r w:rsidRPr="004149D2">
        <w:rPr>
          <w:rFonts w:asciiTheme="majorBidi" w:hAnsiTheme="majorBidi" w:cstheme="majorBidi"/>
          <w:sz w:val="24"/>
          <w:szCs w:val="24"/>
        </w:rPr>
        <w:t>Haematologica</w:t>
      </w:r>
      <w:proofErr w:type="spellEnd"/>
      <w:r w:rsidRPr="004149D2">
        <w:rPr>
          <w:rFonts w:asciiTheme="majorBidi" w:hAnsiTheme="majorBidi" w:cstheme="majorBidi"/>
          <w:sz w:val="24"/>
          <w:szCs w:val="24"/>
        </w:rPr>
        <w:t xml:space="preserve"> 2004; 89: 70-76.</w:t>
      </w:r>
    </w:p>
    <w:p w14:paraId="0A357A21" w14:textId="49419A65" w:rsidR="00874A85" w:rsidRPr="004149D2" w:rsidRDefault="0009087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 xml:space="preserve">2. </w:t>
      </w:r>
      <w:proofErr w:type="spellStart"/>
      <w:r w:rsidRPr="004149D2">
        <w:rPr>
          <w:rFonts w:asciiTheme="majorBidi" w:hAnsiTheme="majorBidi" w:cstheme="majorBidi"/>
          <w:sz w:val="24"/>
          <w:szCs w:val="24"/>
        </w:rPr>
        <w:t>Hallek</w:t>
      </w:r>
      <w:proofErr w:type="spellEnd"/>
      <w:r w:rsidRPr="004149D2">
        <w:rPr>
          <w:rFonts w:asciiTheme="majorBidi" w:hAnsiTheme="majorBidi" w:cstheme="majorBidi"/>
          <w:sz w:val="24"/>
          <w:szCs w:val="24"/>
        </w:rPr>
        <w:t xml:space="preserve"> M, </w:t>
      </w:r>
      <w:proofErr w:type="spellStart"/>
      <w:r w:rsidRPr="004149D2">
        <w:rPr>
          <w:rFonts w:asciiTheme="majorBidi" w:hAnsiTheme="majorBidi" w:cstheme="majorBidi"/>
          <w:sz w:val="24"/>
          <w:szCs w:val="24"/>
        </w:rPr>
        <w:t>Shanafelt</w:t>
      </w:r>
      <w:proofErr w:type="spellEnd"/>
      <w:r w:rsidRPr="004149D2">
        <w:rPr>
          <w:rFonts w:asciiTheme="majorBidi" w:hAnsiTheme="majorBidi" w:cstheme="majorBidi"/>
          <w:sz w:val="24"/>
          <w:szCs w:val="24"/>
        </w:rPr>
        <w:t xml:space="preserve"> TD, Eichhorst B. Chronic lymphocytic leukemia. Lancet 2018 Apr;391(10129):1524-1537.</w:t>
      </w:r>
    </w:p>
    <w:p w14:paraId="409AFF55" w14:textId="307CAB61" w:rsidR="00874A85" w:rsidRPr="004149D2" w:rsidRDefault="0009087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3. Karan-</w:t>
      </w:r>
      <w:proofErr w:type="spellStart"/>
      <w:r w:rsidRPr="004149D2">
        <w:rPr>
          <w:rFonts w:asciiTheme="majorBidi" w:hAnsiTheme="majorBidi" w:cstheme="majorBidi"/>
          <w:sz w:val="24"/>
          <w:szCs w:val="24"/>
        </w:rPr>
        <w:t>Djurasevic</w:t>
      </w:r>
      <w:proofErr w:type="spellEnd"/>
      <w:r w:rsidRPr="004149D2">
        <w:rPr>
          <w:rFonts w:asciiTheme="majorBidi" w:hAnsiTheme="majorBidi" w:cstheme="majorBidi"/>
          <w:sz w:val="24"/>
          <w:szCs w:val="24"/>
        </w:rPr>
        <w:t xml:space="preserve"> T, Pavlovic S. Somatic hypermutation status and gene repertoire of immunoglobulin rearrangements in chronic lymphocytic leukemia. </w:t>
      </w:r>
      <w:r w:rsidR="004149D2" w:rsidRPr="004149D2">
        <w:rPr>
          <w:rFonts w:asciiTheme="majorBidi" w:hAnsiTheme="majorBidi" w:cstheme="majorBidi"/>
          <w:sz w:val="24"/>
          <w:szCs w:val="24"/>
        </w:rPr>
        <w:t>Lymphocyte</w:t>
      </w:r>
      <w:r w:rsidRPr="004149D2">
        <w:rPr>
          <w:rFonts w:asciiTheme="majorBidi" w:hAnsiTheme="majorBidi" w:cstheme="majorBidi"/>
          <w:sz w:val="24"/>
          <w:szCs w:val="24"/>
        </w:rPr>
        <w:t xml:space="preserve"> updates: cancer. Autoimmunity and Infection 2017 Jul;49.</w:t>
      </w:r>
    </w:p>
    <w:p w14:paraId="15423453" w14:textId="39C787FF" w:rsidR="00874A85" w:rsidRPr="004149D2" w:rsidRDefault="0009087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 xml:space="preserve">4. </w:t>
      </w:r>
      <w:proofErr w:type="spellStart"/>
      <w:r w:rsidRPr="004149D2">
        <w:rPr>
          <w:rFonts w:asciiTheme="majorBidi" w:hAnsiTheme="majorBidi" w:cstheme="majorBidi"/>
          <w:sz w:val="24"/>
          <w:szCs w:val="24"/>
        </w:rPr>
        <w:t>Agathangelidis</w:t>
      </w:r>
      <w:proofErr w:type="spellEnd"/>
      <w:r w:rsidRPr="004149D2">
        <w:rPr>
          <w:rFonts w:asciiTheme="majorBidi" w:hAnsiTheme="majorBidi" w:cstheme="majorBidi"/>
          <w:sz w:val="24"/>
          <w:szCs w:val="24"/>
        </w:rPr>
        <w:t xml:space="preserve"> A, </w:t>
      </w:r>
      <w:proofErr w:type="spellStart"/>
      <w:r w:rsidRPr="004149D2">
        <w:rPr>
          <w:rFonts w:asciiTheme="majorBidi" w:hAnsiTheme="majorBidi" w:cstheme="majorBidi"/>
          <w:sz w:val="24"/>
          <w:szCs w:val="24"/>
        </w:rPr>
        <w:t>Ljungström</w:t>
      </w:r>
      <w:proofErr w:type="spellEnd"/>
      <w:r w:rsidRPr="004149D2">
        <w:rPr>
          <w:rFonts w:asciiTheme="majorBidi" w:hAnsiTheme="majorBidi" w:cstheme="majorBidi"/>
          <w:sz w:val="24"/>
          <w:szCs w:val="24"/>
        </w:rPr>
        <w:t xml:space="preserve"> V, </w:t>
      </w:r>
      <w:proofErr w:type="spellStart"/>
      <w:r w:rsidRPr="004149D2">
        <w:rPr>
          <w:rFonts w:asciiTheme="majorBidi" w:hAnsiTheme="majorBidi" w:cstheme="majorBidi"/>
          <w:sz w:val="24"/>
          <w:szCs w:val="24"/>
        </w:rPr>
        <w:t>Scarfò</w:t>
      </w:r>
      <w:proofErr w:type="spellEnd"/>
      <w:r w:rsidRPr="004149D2">
        <w:rPr>
          <w:rFonts w:asciiTheme="majorBidi" w:hAnsiTheme="majorBidi" w:cstheme="majorBidi"/>
          <w:sz w:val="24"/>
          <w:szCs w:val="24"/>
        </w:rPr>
        <w:t xml:space="preserve"> L, et al. Highly similar genomic landscapes in monoclonal B-cell lymphocytosis and ultra-stable chronic lymphocytic leukemia with low frequency of driver mutations. </w:t>
      </w:r>
      <w:proofErr w:type="spellStart"/>
      <w:r w:rsidRPr="004149D2">
        <w:rPr>
          <w:rFonts w:asciiTheme="majorBidi" w:hAnsiTheme="majorBidi" w:cstheme="majorBidi"/>
          <w:sz w:val="24"/>
          <w:szCs w:val="24"/>
        </w:rPr>
        <w:t>Haematologica</w:t>
      </w:r>
      <w:proofErr w:type="spellEnd"/>
      <w:r w:rsidRPr="004149D2">
        <w:rPr>
          <w:rFonts w:asciiTheme="majorBidi" w:hAnsiTheme="majorBidi" w:cstheme="majorBidi"/>
          <w:sz w:val="24"/>
          <w:szCs w:val="24"/>
        </w:rPr>
        <w:t xml:space="preserve"> 2018 May;103(5):865-873.</w:t>
      </w:r>
    </w:p>
    <w:p w14:paraId="27DE22D4" w14:textId="1C8F4E23" w:rsidR="00874A85" w:rsidRPr="004149D2" w:rsidRDefault="0009087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 xml:space="preserve">5. </w:t>
      </w:r>
      <w:proofErr w:type="spellStart"/>
      <w:r w:rsidRPr="004149D2">
        <w:rPr>
          <w:rFonts w:asciiTheme="majorBidi" w:hAnsiTheme="majorBidi" w:cstheme="majorBidi"/>
          <w:sz w:val="24"/>
          <w:szCs w:val="24"/>
        </w:rPr>
        <w:t>Guièze</w:t>
      </w:r>
      <w:proofErr w:type="spellEnd"/>
      <w:r w:rsidRPr="004149D2">
        <w:rPr>
          <w:rFonts w:asciiTheme="majorBidi" w:hAnsiTheme="majorBidi" w:cstheme="majorBidi"/>
          <w:sz w:val="24"/>
          <w:szCs w:val="24"/>
        </w:rPr>
        <w:t xml:space="preserve"> R, Wu CJ. Genomic and epigenomic heterogeneity in chronic lymphocytic leukemia. Blood 2015 Jul;126(4):445-453.</w:t>
      </w:r>
    </w:p>
    <w:p w14:paraId="0FEAEE38" w14:textId="0814D527" w:rsidR="00874A85" w:rsidRPr="004149D2" w:rsidRDefault="0009087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 xml:space="preserve">6 Parikh SA, </w:t>
      </w:r>
      <w:proofErr w:type="spellStart"/>
      <w:r w:rsidRPr="004149D2">
        <w:rPr>
          <w:rFonts w:asciiTheme="majorBidi" w:hAnsiTheme="majorBidi" w:cstheme="majorBidi"/>
          <w:sz w:val="24"/>
          <w:szCs w:val="24"/>
        </w:rPr>
        <w:t>Shanafelt</w:t>
      </w:r>
      <w:proofErr w:type="spellEnd"/>
      <w:r w:rsidRPr="004149D2">
        <w:rPr>
          <w:rFonts w:asciiTheme="majorBidi" w:hAnsiTheme="majorBidi" w:cstheme="majorBidi"/>
          <w:sz w:val="24"/>
          <w:szCs w:val="24"/>
        </w:rPr>
        <w:t xml:space="preserve"> TD. Prognostic factors and risk stratification in chronic lymphocytic leukemia. Semin Oncol 2016 Apr;43(2):233-240.</w:t>
      </w:r>
    </w:p>
    <w:p w14:paraId="1661E35A" w14:textId="77777777" w:rsidR="00874A85" w:rsidRPr="004149D2" w:rsidRDefault="00871AC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 xml:space="preserve">7. Zhang B, Pan X, Cobb GP, Anderson TA. microRNAs as oncogenes and tumor suppressors. Dev Biol. 2007;12:1–12. </w:t>
      </w:r>
      <w:proofErr w:type="spellStart"/>
      <w:r w:rsidRPr="004149D2">
        <w:rPr>
          <w:rFonts w:asciiTheme="majorBidi" w:hAnsiTheme="majorBidi" w:cstheme="majorBidi"/>
          <w:sz w:val="24"/>
          <w:szCs w:val="24"/>
        </w:rPr>
        <w:t>doi</w:t>
      </w:r>
      <w:proofErr w:type="spellEnd"/>
      <w:r w:rsidRPr="004149D2">
        <w:rPr>
          <w:rFonts w:asciiTheme="majorBidi" w:hAnsiTheme="majorBidi" w:cstheme="majorBidi"/>
          <w:sz w:val="24"/>
          <w:szCs w:val="24"/>
        </w:rPr>
        <w:t>: 10.1016/j.ydbio.2006.08.028</w:t>
      </w:r>
    </w:p>
    <w:p w14:paraId="445BB316" w14:textId="36B920B9" w:rsidR="00874A85" w:rsidRPr="004149D2" w:rsidRDefault="00871AC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8.</w:t>
      </w:r>
      <w:r w:rsidR="004149D2" w:rsidRPr="004149D2">
        <w:rPr>
          <w:rFonts w:asciiTheme="majorBidi" w:hAnsiTheme="majorBidi" w:cstheme="majorBidi"/>
          <w:sz w:val="24"/>
          <w:szCs w:val="24"/>
        </w:rPr>
        <w:t xml:space="preserve"> </w:t>
      </w:r>
      <w:r w:rsidRPr="004149D2">
        <w:rPr>
          <w:rFonts w:asciiTheme="majorBidi" w:hAnsiTheme="majorBidi" w:cstheme="majorBidi"/>
          <w:sz w:val="24"/>
          <w:szCs w:val="24"/>
        </w:rPr>
        <w:t xml:space="preserve">Xiao C, </w:t>
      </w:r>
      <w:proofErr w:type="spellStart"/>
      <w:r w:rsidRPr="004149D2">
        <w:rPr>
          <w:rFonts w:asciiTheme="majorBidi" w:hAnsiTheme="majorBidi" w:cstheme="majorBidi"/>
          <w:sz w:val="24"/>
          <w:szCs w:val="24"/>
        </w:rPr>
        <w:t>Calado</w:t>
      </w:r>
      <w:proofErr w:type="spellEnd"/>
      <w:r w:rsidRPr="004149D2">
        <w:rPr>
          <w:rFonts w:asciiTheme="majorBidi" w:hAnsiTheme="majorBidi" w:cstheme="majorBidi"/>
          <w:sz w:val="24"/>
          <w:szCs w:val="24"/>
        </w:rPr>
        <w:t xml:space="preserve"> DP, </w:t>
      </w:r>
      <w:proofErr w:type="spellStart"/>
      <w:r w:rsidRPr="004149D2">
        <w:rPr>
          <w:rFonts w:asciiTheme="majorBidi" w:hAnsiTheme="majorBidi" w:cstheme="majorBidi"/>
          <w:sz w:val="24"/>
          <w:szCs w:val="24"/>
        </w:rPr>
        <w:t>Galler</w:t>
      </w:r>
      <w:proofErr w:type="spellEnd"/>
      <w:r w:rsidRPr="004149D2">
        <w:rPr>
          <w:rFonts w:asciiTheme="majorBidi" w:hAnsiTheme="majorBidi" w:cstheme="majorBidi"/>
          <w:sz w:val="24"/>
          <w:szCs w:val="24"/>
        </w:rPr>
        <w:t xml:space="preserve"> G, et al. MiR-150 Controls B cell differentiation by targeting the transcription factor c-</w:t>
      </w:r>
      <w:proofErr w:type="spellStart"/>
      <w:r w:rsidRPr="004149D2">
        <w:rPr>
          <w:rFonts w:asciiTheme="majorBidi" w:hAnsiTheme="majorBidi" w:cstheme="majorBidi"/>
          <w:sz w:val="24"/>
          <w:szCs w:val="24"/>
        </w:rPr>
        <w:t>Myb</w:t>
      </w:r>
      <w:proofErr w:type="spellEnd"/>
      <w:r w:rsidRPr="004149D2">
        <w:rPr>
          <w:rFonts w:asciiTheme="majorBidi" w:hAnsiTheme="majorBidi" w:cstheme="majorBidi"/>
          <w:sz w:val="24"/>
          <w:szCs w:val="24"/>
        </w:rPr>
        <w:t xml:space="preserve">. Cell. (2007) 131:146–59. </w:t>
      </w:r>
      <w:proofErr w:type="spellStart"/>
      <w:r w:rsidRPr="004149D2">
        <w:rPr>
          <w:rFonts w:asciiTheme="majorBidi" w:hAnsiTheme="majorBidi" w:cstheme="majorBidi"/>
          <w:sz w:val="24"/>
          <w:szCs w:val="24"/>
        </w:rPr>
        <w:t>doi</w:t>
      </w:r>
      <w:proofErr w:type="spellEnd"/>
      <w:r w:rsidRPr="004149D2">
        <w:rPr>
          <w:rFonts w:asciiTheme="majorBidi" w:hAnsiTheme="majorBidi" w:cstheme="majorBidi"/>
          <w:sz w:val="24"/>
          <w:szCs w:val="24"/>
        </w:rPr>
        <w:t>: 10.1016/j.cell.2007.07.021</w:t>
      </w:r>
    </w:p>
    <w:p w14:paraId="0CF22019" w14:textId="097C782D" w:rsidR="00874A85" w:rsidRPr="004149D2" w:rsidRDefault="00871AC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9.</w:t>
      </w:r>
      <w:r w:rsidR="004149D2" w:rsidRPr="004149D2">
        <w:rPr>
          <w:rFonts w:asciiTheme="majorBidi" w:hAnsiTheme="majorBidi" w:cstheme="majorBidi"/>
          <w:sz w:val="24"/>
          <w:szCs w:val="24"/>
        </w:rPr>
        <w:t xml:space="preserve"> </w:t>
      </w:r>
      <w:r w:rsidRPr="004149D2">
        <w:rPr>
          <w:rFonts w:asciiTheme="majorBidi" w:hAnsiTheme="majorBidi" w:cstheme="majorBidi"/>
          <w:sz w:val="24"/>
          <w:szCs w:val="24"/>
        </w:rPr>
        <w:t xml:space="preserve">Zhou L, Park JJ, Zheng Q, Dong Z, Mi Q. MicroRNAs </w:t>
      </w:r>
      <w:r w:rsidR="004149D2" w:rsidRPr="004149D2">
        <w:rPr>
          <w:rFonts w:asciiTheme="majorBidi" w:hAnsiTheme="majorBidi" w:cstheme="majorBidi"/>
          <w:sz w:val="24"/>
          <w:szCs w:val="24"/>
        </w:rPr>
        <w:t xml:space="preserve">control </w:t>
      </w:r>
      <w:proofErr w:type="spellStart"/>
      <w:r w:rsidR="004149D2" w:rsidRPr="004149D2">
        <w:rPr>
          <w:rFonts w:asciiTheme="majorBidi" w:hAnsiTheme="majorBidi" w:cstheme="majorBidi"/>
          <w:sz w:val="24"/>
          <w:szCs w:val="24"/>
        </w:rPr>
        <w:t>iNKT</w:t>
      </w:r>
      <w:proofErr w:type="spellEnd"/>
      <w:r w:rsidR="004149D2" w:rsidRPr="004149D2">
        <w:rPr>
          <w:rFonts w:asciiTheme="majorBidi" w:hAnsiTheme="majorBidi" w:cstheme="majorBidi"/>
          <w:sz w:val="24"/>
          <w:szCs w:val="24"/>
        </w:rPr>
        <w:t xml:space="preserve"> and regulate</w:t>
      </w:r>
      <w:r w:rsidRPr="004149D2">
        <w:rPr>
          <w:rFonts w:asciiTheme="majorBidi" w:hAnsiTheme="majorBidi" w:cstheme="majorBidi"/>
          <w:sz w:val="24"/>
          <w:szCs w:val="24"/>
        </w:rPr>
        <w:t xml:space="preserve"> T-cell development and function. Cell Mol Immunol. (2011) 8:380–7. </w:t>
      </w:r>
      <w:proofErr w:type="spellStart"/>
      <w:r w:rsidRPr="004149D2">
        <w:rPr>
          <w:rFonts w:asciiTheme="majorBidi" w:hAnsiTheme="majorBidi" w:cstheme="majorBidi"/>
          <w:sz w:val="24"/>
          <w:szCs w:val="24"/>
        </w:rPr>
        <w:t>doi</w:t>
      </w:r>
      <w:proofErr w:type="spellEnd"/>
      <w:r w:rsidRPr="004149D2">
        <w:rPr>
          <w:rFonts w:asciiTheme="majorBidi" w:hAnsiTheme="majorBidi" w:cstheme="majorBidi"/>
          <w:sz w:val="24"/>
          <w:szCs w:val="24"/>
        </w:rPr>
        <w:t>: 10.1038/cmi.2011.27</w:t>
      </w:r>
      <w:r w:rsidR="002035C4" w:rsidRPr="004149D2">
        <w:rPr>
          <w:rFonts w:asciiTheme="majorBidi" w:hAnsiTheme="majorBidi" w:cstheme="majorBidi"/>
          <w:sz w:val="24"/>
          <w:szCs w:val="24"/>
        </w:rPr>
        <w:t>.</w:t>
      </w:r>
    </w:p>
    <w:p w14:paraId="6AAF5379" w14:textId="35D5B87C" w:rsidR="00105658" w:rsidRDefault="002035C4"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10.</w:t>
      </w:r>
      <w:r w:rsidR="004149D2" w:rsidRPr="004149D2">
        <w:rPr>
          <w:rFonts w:asciiTheme="majorBidi" w:hAnsiTheme="majorBidi" w:cstheme="majorBidi"/>
          <w:sz w:val="24"/>
          <w:szCs w:val="24"/>
        </w:rPr>
        <w:t xml:space="preserve"> </w:t>
      </w:r>
      <w:r w:rsidRPr="004149D2">
        <w:rPr>
          <w:rFonts w:asciiTheme="majorBidi" w:hAnsiTheme="majorBidi" w:cstheme="majorBidi"/>
          <w:sz w:val="24"/>
          <w:szCs w:val="24"/>
        </w:rPr>
        <w:t>Abdul-</w:t>
      </w:r>
      <w:proofErr w:type="spellStart"/>
      <w:r w:rsidRPr="004149D2">
        <w:rPr>
          <w:rFonts w:asciiTheme="majorBidi" w:hAnsiTheme="majorBidi" w:cstheme="majorBidi"/>
          <w:sz w:val="24"/>
          <w:szCs w:val="24"/>
        </w:rPr>
        <w:t>Maksoud</w:t>
      </w:r>
      <w:proofErr w:type="spellEnd"/>
      <w:r w:rsidRPr="004149D2">
        <w:rPr>
          <w:rFonts w:asciiTheme="majorBidi" w:hAnsiTheme="majorBidi" w:cstheme="majorBidi"/>
          <w:sz w:val="24"/>
          <w:szCs w:val="24"/>
        </w:rPr>
        <w:t xml:space="preserve"> R S, </w:t>
      </w:r>
      <w:proofErr w:type="spellStart"/>
      <w:r w:rsidRPr="004149D2">
        <w:rPr>
          <w:rFonts w:asciiTheme="majorBidi" w:hAnsiTheme="majorBidi" w:cstheme="majorBidi"/>
          <w:sz w:val="24"/>
          <w:szCs w:val="24"/>
        </w:rPr>
        <w:t>Elsayed</w:t>
      </w:r>
      <w:proofErr w:type="spellEnd"/>
      <w:r w:rsidRPr="004149D2">
        <w:rPr>
          <w:rFonts w:asciiTheme="majorBidi" w:hAnsiTheme="majorBidi" w:cstheme="majorBidi"/>
          <w:sz w:val="24"/>
          <w:szCs w:val="24"/>
        </w:rPr>
        <w:t xml:space="preserve"> R S, </w:t>
      </w:r>
      <w:proofErr w:type="spellStart"/>
      <w:r w:rsidRPr="004149D2">
        <w:rPr>
          <w:rFonts w:asciiTheme="majorBidi" w:hAnsiTheme="majorBidi" w:cstheme="majorBidi"/>
          <w:sz w:val="24"/>
          <w:szCs w:val="24"/>
        </w:rPr>
        <w:t>Elsayed</w:t>
      </w:r>
      <w:proofErr w:type="spellEnd"/>
      <w:r w:rsidRPr="004149D2">
        <w:rPr>
          <w:rFonts w:asciiTheme="majorBidi" w:hAnsiTheme="majorBidi" w:cstheme="majorBidi"/>
          <w:sz w:val="24"/>
          <w:szCs w:val="24"/>
        </w:rPr>
        <w:t xml:space="preserve"> W S, et </w:t>
      </w:r>
      <w:proofErr w:type="gramStart"/>
      <w:r w:rsidRPr="004149D2">
        <w:rPr>
          <w:rFonts w:asciiTheme="majorBidi" w:hAnsiTheme="majorBidi" w:cstheme="majorBidi"/>
          <w:sz w:val="24"/>
          <w:szCs w:val="24"/>
        </w:rPr>
        <w:t xml:space="preserve">al </w:t>
      </w:r>
      <w:r w:rsidR="00105658" w:rsidRPr="004149D2">
        <w:rPr>
          <w:rFonts w:asciiTheme="majorBidi" w:hAnsiTheme="majorBidi" w:cstheme="majorBidi"/>
          <w:sz w:val="24"/>
          <w:szCs w:val="24"/>
        </w:rPr>
        <w:t>.</w:t>
      </w:r>
      <w:proofErr w:type="gramEnd"/>
      <w:r w:rsidR="004149D2" w:rsidRPr="004149D2">
        <w:rPr>
          <w:rFonts w:asciiTheme="majorBidi" w:hAnsiTheme="majorBidi" w:cstheme="majorBidi"/>
          <w:sz w:val="24"/>
          <w:szCs w:val="24"/>
        </w:rPr>
        <w:t xml:space="preserve"> </w:t>
      </w:r>
      <w:r w:rsidR="00105658" w:rsidRPr="004149D2">
        <w:rPr>
          <w:rFonts w:asciiTheme="majorBidi" w:hAnsiTheme="majorBidi" w:cstheme="majorBidi"/>
          <w:sz w:val="24"/>
          <w:szCs w:val="24"/>
        </w:rPr>
        <w:t xml:space="preserve">Combined serum miR-29c and miR-149 expression analysis as diagnostic genetic markers for colorectal cancer. </w:t>
      </w:r>
      <w:proofErr w:type="spellStart"/>
      <w:r w:rsidR="00105658" w:rsidRPr="004149D2">
        <w:rPr>
          <w:rFonts w:asciiTheme="majorBidi" w:hAnsiTheme="majorBidi" w:cstheme="majorBidi"/>
          <w:sz w:val="24"/>
          <w:szCs w:val="24"/>
        </w:rPr>
        <w:t>Biotechnol</w:t>
      </w:r>
      <w:proofErr w:type="spellEnd"/>
      <w:r w:rsidR="00105658" w:rsidRPr="004149D2">
        <w:rPr>
          <w:rFonts w:asciiTheme="majorBidi" w:hAnsiTheme="majorBidi" w:cstheme="majorBidi"/>
          <w:sz w:val="24"/>
          <w:szCs w:val="24"/>
        </w:rPr>
        <w:t xml:space="preserve"> Appl </w:t>
      </w:r>
      <w:proofErr w:type="spellStart"/>
      <w:r w:rsidR="00105658" w:rsidRPr="004149D2">
        <w:rPr>
          <w:rFonts w:asciiTheme="majorBidi" w:hAnsiTheme="majorBidi" w:cstheme="majorBidi"/>
          <w:sz w:val="24"/>
          <w:szCs w:val="24"/>
        </w:rPr>
        <w:t>Biochem</w:t>
      </w:r>
      <w:proofErr w:type="spellEnd"/>
      <w:r w:rsidR="00105658" w:rsidRPr="004149D2">
        <w:rPr>
          <w:rFonts w:asciiTheme="majorBidi" w:hAnsiTheme="majorBidi" w:cstheme="majorBidi"/>
          <w:sz w:val="24"/>
          <w:szCs w:val="24"/>
        </w:rPr>
        <w:t>. 2021;68(4):732–43.</w:t>
      </w:r>
    </w:p>
    <w:p w14:paraId="3FC60F09" w14:textId="63134828" w:rsidR="00874A85" w:rsidRPr="004149D2" w:rsidRDefault="00871AC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1</w:t>
      </w:r>
      <w:r w:rsidR="002035C4" w:rsidRPr="004149D2">
        <w:rPr>
          <w:rFonts w:asciiTheme="majorBidi" w:hAnsiTheme="majorBidi" w:cstheme="majorBidi"/>
          <w:sz w:val="24"/>
          <w:szCs w:val="24"/>
        </w:rPr>
        <w:t>1</w:t>
      </w:r>
      <w:r w:rsidRPr="004149D2">
        <w:rPr>
          <w:rFonts w:asciiTheme="majorBidi" w:hAnsiTheme="majorBidi" w:cstheme="majorBidi"/>
          <w:sz w:val="24"/>
          <w:szCs w:val="24"/>
        </w:rPr>
        <w:t>.</w:t>
      </w:r>
      <w:r w:rsidR="004149D2" w:rsidRPr="004149D2">
        <w:rPr>
          <w:rFonts w:asciiTheme="majorBidi" w:hAnsiTheme="majorBidi" w:cstheme="majorBidi"/>
          <w:sz w:val="24"/>
          <w:szCs w:val="24"/>
        </w:rPr>
        <w:t xml:space="preserve"> </w:t>
      </w:r>
      <w:proofErr w:type="spellStart"/>
      <w:r w:rsidRPr="004149D2">
        <w:rPr>
          <w:rFonts w:asciiTheme="majorBidi" w:hAnsiTheme="majorBidi" w:cstheme="majorBidi"/>
          <w:sz w:val="24"/>
          <w:szCs w:val="24"/>
        </w:rPr>
        <w:t>Hallek</w:t>
      </w:r>
      <w:proofErr w:type="spellEnd"/>
      <w:r w:rsidRPr="004149D2">
        <w:rPr>
          <w:rFonts w:asciiTheme="majorBidi" w:hAnsiTheme="majorBidi" w:cstheme="majorBidi"/>
          <w:sz w:val="24"/>
          <w:szCs w:val="24"/>
        </w:rPr>
        <w:t xml:space="preserve"> M, </w:t>
      </w:r>
      <w:proofErr w:type="spellStart"/>
      <w:r w:rsidRPr="004149D2">
        <w:rPr>
          <w:rFonts w:asciiTheme="majorBidi" w:hAnsiTheme="majorBidi" w:cstheme="majorBidi"/>
          <w:sz w:val="24"/>
          <w:szCs w:val="24"/>
        </w:rPr>
        <w:t>Cheson</w:t>
      </w:r>
      <w:proofErr w:type="spellEnd"/>
      <w:r w:rsidRPr="004149D2">
        <w:rPr>
          <w:rFonts w:asciiTheme="majorBidi" w:hAnsiTheme="majorBidi" w:cstheme="majorBidi"/>
          <w:sz w:val="24"/>
          <w:szCs w:val="24"/>
        </w:rPr>
        <w:t xml:space="preserve"> BD, </w:t>
      </w:r>
      <w:proofErr w:type="spellStart"/>
      <w:r w:rsidRPr="004149D2">
        <w:rPr>
          <w:rFonts w:asciiTheme="majorBidi" w:hAnsiTheme="majorBidi" w:cstheme="majorBidi"/>
          <w:sz w:val="24"/>
          <w:szCs w:val="24"/>
        </w:rPr>
        <w:t>Catovsky</w:t>
      </w:r>
      <w:proofErr w:type="spellEnd"/>
      <w:r w:rsidRPr="004149D2">
        <w:rPr>
          <w:rFonts w:asciiTheme="majorBidi" w:hAnsiTheme="majorBidi" w:cstheme="majorBidi"/>
          <w:sz w:val="24"/>
          <w:szCs w:val="24"/>
        </w:rPr>
        <w:t xml:space="preserve"> D, et al. </w:t>
      </w:r>
      <w:proofErr w:type="spellStart"/>
      <w:r w:rsidRPr="004149D2">
        <w:rPr>
          <w:rFonts w:asciiTheme="majorBidi" w:hAnsiTheme="majorBidi" w:cstheme="majorBidi"/>
          <w:sz w:val="24"/>
          <w:szCs w:val="24"/>
        </w:rPr>
        <w:t>iwCLL</w:t>
      </w:r>
      <w:proofErr w:type="spellEnd"/>
      <w:r w:rsidRPr="004149D2">
        <w:rPr>
          <w:rFonts w:asciiTheme="majorBidi" w:hAnsiTheme="majorBidi" w:cstheme="majorBidi"/>
          <w:sz w:val="24"/>
          <w:szCs w:val="24"/>
        </w:rPr>
        <w:t xml:space="preserve"> guidelines for diagnosis, indications for treatment, response assessment, and supportive management of CLL. Blood. 2018;131(25):2745–60.</w:t>
      </w:r>
    </w:p>
    <w:p w14:paraId="2C3BAFB3" w14:textId="3083B370" w:rsidR="00874A85" w:rsidRPr="004149D2" w:rsidRDefault="00871AC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1</w:t>
      </w:r>
      <w:r w:rsidR="00105658" w:rsidRPr="004149D2">
        <w:rPr>
          <w:rFonts w:asciiTheme="majorBidi" w:hAnsiTheme="majorBidi" w:cstheme="majorBidi"/>
          <w:sz w:val="24"/>
          <w:szCs w:val="24"/>
        </w:rPr>
        <w:t>2</w:t>
      </w:r>
      <w:r w:rsidRPr="004149D2">
        <w:rPr>
          <w:rFonts w:asciiTheme="majorBidi" w:hAnsiTheme="majorBidi" w:cstheme="majorBidi"/>
          <w:sz w:val="24"/>
          <w:szCs w:val="24"/>
        </w:rPr>
        <w:t xml:space="preserve">- Stanislas P., </w:t>
      </w:r>
      <w:proofErr w:type="spellStart"/>
      <w:r w:rsidRPr="004149D2">
        <w:rPr>
          <w:rFonts w:asciiTheme="majorBidi" w:hAnsiTheme="majorBidi" w:cstheme="majorBidi"/>
          <w:sz w:val="24"/>
          <w:szCs w:val="24"/>
        </w:rPr>
        <w:t>Vallet-Pichard</w:t>
      </w:r>
      <w:proofErr w:type="spellEnd"/>
      <w:r w:rsidRPr="004149D2">
        <w:rPr>
          <w:rFonts w:asciiTheme="majorBidi" w:hAnsiTheme="majorBidi" w:cstheme="majorBidi"/>
          <w:sz w:val="24"/>
          <w:szCs w:val="24"/>
        </w:rPr>
        <w:t xml:space="preserve"> A, Olivier H. Extrahepatic cancers and chronic HCV </w:t>
      </w:r>
    </w:p>
    <w:p w14:paraId="08D0414B" w14:textId="77777777" w:rsidR="00874A85" w:rsidRPr="004149D2" w:rsidRDefault="00871AC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infection. Nature Reviews Gastroenterology &amp; Hepatology 2018; 15: 283-290.</w:t>
      </w:r>
    </w:p>
    <w:p w14:paraId="386596DD" w14:textId="370459CF" w:rsidR="00874A85" w:rsidRPr="004149D2" w:rsidRDefault="00871AC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1</w:t>
      </w:r>
      <w:r w:rsidR="00105658" w:rsidRPr="004149D2">
        <w:rPr>
          <w:rFonts w:asciiTheme="majorBidi" w:hAnsiTheme="majorBidi" w:cstheme="majorBidi"/>
          <w:sz w:val="24"/>
          <w:szCs w:val="24"/>
        </w:rPr>
        <w:t>3</w:t>
      </w:r>
      <w:r w:rsidRPr="004149D2">
        <w:rPr>
          <w:rFonts w:asciiTheme="majorBidi" w:hAnsiTheme="majorBidi" w:cstheme="majorBidi"/>
          <w:sz w:val="24"/>
          <w:szCs w:val="24"/>
        </w:rPr>
        <w:t xml:space="preserve">- Ghia P. Another piece in the puzzle: Is there a -cell lymphocytosis? </w:t>
      </w:r>
      <w:proofErr w:type="spellStart"/>
      <w:r w:rsidRPr="004149D2">
        <w:rPr>
          <w:rFonts w:asciiTheme="majorBidi" w:hAnsiTheme="majorBidi" w:cstheme="majorBidi"/>
          <w:sz w:val="24"/>
          <w:szCs w:val="24"/>
        </w:rPr>
        <w:t>Haematologica</w:t>
      </w:r>
      <w:proofErr w:type="spellEnd"/>
      <w:r w:rsidRPr="004149D2">
        <w:rPr>
          <w:rFonts w:asciiTheme="majorBidi" w:hAnsiTheme="majorBidi" w:cstheme="majorBidi"/>
          <w:sz w:val="24"/>
          <w:szCs w:val="24"/>
        </w:rPr>
        <w:t xml:space="preserve"> 2011; 96 (8): 1089-1091.</w:t>
      </w:r>
    </w:p>
    <w:p w14:paraId="2C59741A" w14:textId="4820E461" w:rsidR="00874A85" w:rsidRPr="004149D2" w:rsidRDefault="00871AC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1</w:t>
      </w:r>
      <w:r w:rsidR="00105658" w:rsidRPr="004149D2">
        <w:rPr>
          <w:rFonts w:asciiTheme="majorBidi" w:hAnsiTheme="majorBidi" w:cstheme="majorBidi"/>
          <w:sz w:val="24"/>
          <w:szCs w:val="24"/>
        </w:rPr>
        <w:t>4</w:t>
      </w:r>
      <w:r w:rsidRPr="004149D2">
        <w:rPr>
          <w:rFonts w:asciiTheme="majorBidi" w:hAnsiTheme="majorBidi" w:cstheme="majorBidi"/>
          <w:sz w:val="24"/>
          <w:szCs w:val="24"/>
        </w:rPr>
        <w:t xml:space="preserve">- </w:t>
      </w:r>
      <w:proofErr w:type="spellStart"/>
      <w:r w:rsidRPr="004149D2">
        <w:rPr>
          <w:rFonts w:asciiTheme="majorBidi" w:hAnsiTheme="majorBidi" w:cstheme="majorBidi"/>
          <w:sz w:val="24"/>
          <w:szCs w:val="24"/>
        </w:rPr>
        <w:t>Rawstron</w:t>
      </w:r>
      <w:proofErr w:type="spellEnd"/>
      <w:r w:rsidRPr="004149D2">
        <w:rPr>
          <w:rFonts w:asciiTheme="majorBidi" w:hAnsiTheme="majorBidi" w:cstheme="majorBidi"/>
          <w:sz w:val="24"/>
          <w:szCs w:val="24"/>
        </w:rPr>
        <w:t xml:space="preserve"> A, Green M, </w:t>
      </w:r>
      <w:proofErr w:type="spellStart"/>
      <w:r w:rsidRPr="004149D2">
        <w:rPr>
          <w:rFonts w:asciiTheme="majorBidi" w:hAnsiTheme="majorBidi" w:cstheme="majorBidi"/>
          <w:sz w:val="24"/>
          <w:szCs w:val="24"/>
        </w:rPr>
        <w:t>Kuzmicki</w:t>
      </w:r>
      <w:proofErr w:type="spellEnd"/>
      <w:r w:rsidRPr="004149D2">
        <w:rPr>
          <w:rFonts w:asciiTheme="majorBidi" w:hAnsiTheme="majorBidi" w:cstheme="majorBidi"/>
          <w:sz w:val="24"/>
          <w:szCs w:val="24"/>
        </w:rPr>
        <w:t xml:space="preserve"> A, et al. Monoclonal B lymphocytes with the characteristics of lymphocytic leukemia are present in 3.5% of </w:t>
      </w:r>
    </w:p>
    <w:p w14:paraId="7EC7DEC9" w14:textId="77777777" w:rsidR="00874A85" w:rsidRPr="004149D2" w:rsidRDefault="00871AC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adults with normal blood counts. Blood 2003; 100: 635-639.</w:t>
      </w:r>
    </w:p>
    <w:p w14:paraId="54BAC0F3" w14:textId="0B6005FE" w:rsidR="00874A85" w:rsidRPr="004149D2" w:rsidRDefault="00871AC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1</w:t>
      </w:r>
      <w:r w:rsidR="00105658" w:rsidRPr="004149D2">
        <w:rPr>
          <w:rFonts w:asciiTheme="majorBidi" w:hAnsiTheme="majorBidi" w:cstheme="majorBidi"/>
          <w:sz w:val="24"/>
          <w:szCs w:val="24"/>
        </w:rPr>
        <w:t>5</w:t>
      </w:r>
      <w:r w:rsidRPr="004149D2">
        <w:rPr>
          <w:rFonts w:asciiTheme="majorBidi" w:hAnsiTheme="majorBidi" w:cstheme="majorBidi"/>
          <w:sz w:val="24"/>
          <w:szCs w:val="24"/>
        </w:rPr>
        <w:t xml:space="preserve">.Vladareanu AM, </w:t>
      </w:r>
      <w:proofErr w:type="spellStart"/>
      <w:r w:rsidRPr="004149D2">
        <w:rPr>
          <w:rFonts w:asciiTheme="majorBidi" w:hAnsiTheme="majorBidi" w:cstheme="majorBidi"/>
          <w:sz w:val="24"/>
          <w:szCs w:val="24"/>
        </w:rPr>
        <w:t>Ciufu</w:t>
      </w:r>
      <w:proofErr w:type="spellEnd"/>
      <w:r w:rsidRPr="004149D2">
        <w:rPr>
          <w:rFonts w:asciiTheme="majorBidi" w:hAnsiTheme="majorBidi" w:cstheme="majorBidi"/>
          <w:sz w:val="24"/>
          <w:szCs w:val="24"/>
        </w:rPr>
        <w:t xml:space="preserve"> C, </w:t>
      </w:r>
      <w:proofErr w:type="spellStart"/>
      <w:r w:rsidRPr="004149D2">
        <w:rPr>
          <w:rFonts w:asciiTheme="majorBidi" w:hAnsiTheme="majorBidi" w:cstheme="majorBidi"/>
          <w:sz w:val="24"/>
          <w:szCs w:val="24"/>
        </w:rPr>
        <w:t>Neagu</w:t>
      </w:r>
      <w:proofErr w:type="spellEnd"/>
      <w:r w:rsidRPr="004149D2">
        <w:rPr>
          <w:rFonts w:asciiTheme="majorBidi" w:hAnsiTheme="majorBidi" w:cstheme="majorBidi"/>
          <w:sz w:val="24"/>
          <w:szCs w:val="24"/>
        </w:rPr>
        <w:t xml:space="preserve"> AM, et al. The impact of hepatitis viruses on chronic lymphoproliferative disorders - Preliminary results. J Med Life. 2010;3:320–9.</w:t>
      </w:r>
    </w:p>
    <w:p w14:paraId="1B8914E7" w14:textId="5394BCCA" w:rsidR="00874A85" w:rsidRPr="004149D2" w:rsidRDefault="00871AC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1</w:t>
      </w:r>
      <w:r w:rsidR="00105658" w:rsidRPr="004149D2">
        <w:rPr>
          <w:rFonts w:asciiTheme="majorBidi" w:hAnsiTheme="majorBidi" w:cstheme="majorBidi"/>
          <w:sz w:val="24"/>
          <w:szCs w:val="24"/>
        </w:rPr>
        <w:t>6</w:t>
      </w:r>
      <w:r w:rsidRPr="004149D2">
        <w:rPr>
          <w:rFonts w:asciiTheme="majorBidi" w:hAnsiTheme="majorBidi" w:cstheme="majorBidi"/>
          <w:sz w:val="24"/>
          <w:szCs w:val="24"/>
        </w:rPr>
        <w:t>. Quinn ER, Chan CH. The B–cell receptor of a hepatitis C virus (HCV) associated non–</w:t>
      </w:r>
      <w:r w:rsidR="00974C3B">
        <w:rPr>
          <w:rFonts w:asciiTheme="majorBidi" w:hAnsiTheme="majorBidi" w:cstheme="majorBidi"/>
          <w:sz w:val="24"/>
          <w:szCs w:val="24"/>
        </w:rPr>
        <w:t>Hodgkin’s</w:t>
      </w:r>
      <w:r w:rsidRPr="004149D2">
        <w:rPr>
          <w:rFonts w:asciiTheme="majorBidi" w:hAnsiTheme="majorBidi" w:cstheme="majorBidi"/>
          <w:sz w:val="24"/>
          <w:szCs w:val="24"/>
        </w:rPr>
        <w:t xml:space="preserve"> lymphoma binds the viral E2 envelope protein, implicating HCV in lymphomagenesis. Blood. 2001;98(13):3745–3749.</w:t>
      </w:r>
    </w:p>
    <w:p w14:paraId="74F3A799" w14:textId="6CDB9802" w:rsidR="00874A85" w:rsidRPr="004149D2" w:rsidRDefault="00871AC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1</w:t>
      </w:r>
      <w:r w:rsidR="00105658" w:rsidRPr="004149D2">
        <w:rPr>
          <w:rFonts w:asciiTheme="majorBidi" w:hAnsiTheme="majorBidi" w:cstheme="majorBidi"/>
          <w:sz w:val="24"/>
          <w:szCs w:val="24"/>
        </w:rPr>
        <w:t>7</w:t>
      </w:r>
      <w:r w:rsidRPr="004149D2">
        <w:rPr>
          <w:rFonts w:asciiTheme="majorBidi" w:hAnsiTheme="majorBidi" w:cstheme="majorBidi"/>
          <w:sz w:val="24"/>
          <w:szCs w:val="24"/>
        </w:rPr>
        <w:t xml:space="preserve">. Bianco E, </w:t>
      </w:r>
      <w:proofErr w:type="spellStart"/>
      <w:r w:rsidRPr="004149D2">
        <w:rPr>
          <w:rFonts w:asciiTheme="majorBidi" w:hAnsiTheme="majorBidi" w:cstheme="majorBidi"/>
          <w:sz w:val="24"/>
          <w:szCs w:val="24"/>
        </w:rPr>
        <w:t>Marcucci</w:t>
      </w:r>
      <w:proofErr w:type="spellEnd"/>
      <w:r w:rsidRPr="004149D2">
        <w:rPr>
          <w:rFonts w:asciiTheme="majorBidi" w:hAnsiTheme="majorBidi" w:cstheme="majorBidi"/>
          <w:sz w:val="24"/>
          <w:szCs w:val="24"/>
        </w:rPr>
        <w:t xml:space="preserve"> F, Mele A, et al. Prevalence of hepatitis C virus infection in lymphoproliferative diseases other than B-cell non-Hodgkin's lymphoma, and myeloproliferative </w:t>
      </w:r>
      <w:r w:rsidR="004149D2" w:rsidRPr="004149D2">
        <w:rPr>
          <w:rFonts w:asciiTheme="majorBidi" w:hAnsiTheme="majorBidi" w:cstheme="majorBidi"/>
          <w:sz w:val="24"/>
          <w:szCs w:val="24"/>
        </w:rPr>
        <w:t>disorders</w:t>
      </w:r>
      <w:r w:rsidRPr="004149D2">
        <w:rPr>
          <w:rFonts w:asciiTheme="majorBidi" w:hAnsiTheme="majorBidi" w:cstheme="majorBidi"/>
          <w:sz w:val="24"/>
          <w:szCs w:val="24"/>
        </w:rPr>
        <w:t xml:space="preserve">: An Italian Multi-Center case-control study. </w:t>
      </w:r>
      <w:proofErr w:type="spellStart"/>
      <w:r w:rsidRPr="004149D2">
        <w:rPr>
          <w:rFonts w:asciiTheme="majorBidi" w:hAnsiTheme="majorBidi" w:cstheme="majorBidi"/>
          <w:sz w:val="24"/>
          <w:szCs w:val="24"/>
        </w:rPr>
        <w:t>Haematologica</w:t>
      </w:r>
      <w:proofErr w:type="spellEnd"/>
      <w:r w:rsidRPr="004149D2">
        <w:rPr>
          <w:rFonts w:asciiTheme="majorBidi" w:hAnsiTheme="majorBidi" w:cstheme="majorBidi"/>
          <w:sz w:val="24"/>
          <w:szCs w:val="24"/>
        </w:rPr>
        <w:t xml:space="preserve">. 2004;89:70–6.  </w:t>
      </w:r>
    </w:p>
    <w:p w14:paraId="427195F0" w14:textId="293B90EB" w:rsidR="00874A85" w:rsidRPr="004149D2" w:rsidRDefault="00871AC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1</w:t>
      </w:r>
      <w:r w:rsidR="00105658" w:rsidRPr="004149D2">
        <w:rPr>
          <w:rFonts w:asciiTheme="majorBidi" w:hAnsiTheme="majorBidi" w:cstheme="majorBidi"/>
          <w:sz w:val="24"/>
          <w:szCs w:val="24"/>
        </w:rPr>
        <w:t>8</w:t>
      </w:r>
      <w:r w:rsidRPr="004149D2">
        <w:rPr>
          <w:rFonts w:asciiTheme="majorBidi" w:hAnsiTheme="majorBidi" w:cstheme="majorBidi"/>
          <w:sz w:val="24"/>
          <w:szCs w:val="24"/>
        </w:rPr>
        <w:t xml:space="preserve">. </w:t>
      </w:r>
      <w:proofErr w:type="spellStart"/>
      <w:r w:rsidRPr="004149D2">
        <w:rPr>
          <w:rFonts w:asciiTheme="majorBidi" w:hAnsiTheme="majorBidi" w:cstheme="majorBidi"/>
          <w:sz w:val="24"/>
          <w:szCs w:val="24"/>
        </w:rPr>
        <w:t>Murashige</w:t>
      </w:r>
      <w:proofErr w:type="spellEnd"/>
      <w:r w:rsidRPr="004149D2">
        <w:rPr>
          <w:rFonts w:asciiTheme="majorBidi" w:hAnsiTheme="majorBidi" w:cstheme="majorBidi"/>
          <w:sz w:val="24"/>
          <w:szCs w:val="24"/>
        </w:rPr>
        <w:t xml:space="preserve"> N, Kami M, Iwata H, </w:t>
      </w:r>
      <w:proofErr w:type="spellStart"/>
      <w:r w:rsidRPr="004149D2">
        <w:rPr>
          <w:rFonts w:asciiTheme="majorBidi" w:hAnsiTheme="majorBidi" w:cstheme="majorBidi"/>
          <w:sz w:val="24"/>
          <w:szCs w:val="24"/>
        </w:rPr>
        <w:t>Kishi</w:t>
      </w:r>
      <w:proofErr w:type="spellEnd"/>
      <w:r w:rsidRPr="004149D2">
        <w:rPr>
          <w:rFonts w:asciiTheme="majorBidi" w:hAnsiTheme="majorBidi" w:cstheme="majorBidi"/>
          <w:sz w:val="24"/>
          <w:szCs w:val="24"/>
        </w:rPr>
        <w:t xml:space="preserve"> Y, Matsuo K. No relationship between hepatitis C infection and risk of myeloid malignancy. </w:t>
      </w:r>
      <w:proofErr w:type="spellStart"/>
      <w:r w:rsidRPr="004149D2">
        <w:rPr>
          <w:rFonts w:asciiTheme="majorBidi" w:hAnsiTheme="majorBidi" w:cstheme="majorBidi"/>
          <w:sz w:val="24"/>
          <w:szCs w:val="24"/>
        </w:rPr>
        <w:t>Haematologica</w:t>
      </w:r>
      <w:proofErr w:type="spellEnd"/>
      <w:r w:rsidRPr="004149D2">
        <w:rPr>
          <w:rFonts w:asciiTheme="majorBidi" w:hAnsiTheme="majorBidi" w:cstheme="majorBidi"/>
          <w:sz w:val="24"/>
          <w:szCs w:val="24"/>
        </w:rPr>
        <w:t xml:space="preserve">. 2005;90:572–4.  </w:t>
      </w:r>
    </w:p>
    <w:p w14:paraId="1A91EDAF" w14:textId="62625D1F" w:rsidR="00874A85" w:rsidRPr="004149D2" w:rsidRDefault="00871AC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1</w:t>
      </w:r>
      <w:r w:rsidR="00105658" w:rsidRPr="004149D2">
        <w:rPr>
          <w:rFonts w:asciiTheme="majorBidi" w:hAnsiTheme="majorBidi" w:cstheme="majorBidi"/>
          <w:sz w:val="24"/>
          <w:szCs w:val="24"/>
        </w:rPr>
        <w:t>9</w:t>
      </w:r>
      <w:r w:rsidRPr="004149D2">
        <w:rPr>
          <w:rFonts w:asciiTheme="majorBidi" w:hAnsiTheme="majorBidi" w:cstheme="majorBidi"/>
          <w:sz w:val="24"/>
          <w:szCs w:val="24"/>
        </w:rPr>
        <w:t xml:space="preserve">. Gentile G, Mele A, </w:t>
      </w:r>
      <w:proofErr w:type="spellStart"/>
      <w:r w:rsidRPr="004149D2">
        <w:rPr>
          <w:rFonts w:asciiTheme="majorBidi" w:hAnsiTheme="majorBidi" w:cstheme="majorBidi"/>
          <w:sz w:val="24"/>
          <w:szCs w:val="24"/>
        </w:rPr>
        <w:t>Monarco</w:t>
      </w:r>
      <w:proofErr w:type="spellEnd"/>
      <w:r w:rsidRPr="004149D2">
        <w:rPr>
          <w:rFonts w:asciiTheme="majorBidi" w:hAnsiTheme="majorBidi" w:cstheme="majorBidi"/>
          <w:sz w:val="24"/>
          <w:szCs w:val="24"/>
        </w:rPr>
        <w:t xml:space="preserve"> B, et al. Hepatitis B and C viruses, human T-cell lymphotropic virus types I and II, and leukemias: A case-control study. The Italian Leukemia Study Group. Cancer Epidemiol Biomarkers Prev. 1996;5:227–30. </w:t>
      </w:r>
    </w:p>
    <w:p w14:paraId="2C5FC1B7" w14:textId="113D6A2C" w:rsidR="00874A85" w:rsidRPr="004149D2" w:rsidRDefault="0010565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20. Mraz</w:t>
      </w:r>
      <w:r w:rsidR="00FD39BB" w:rsidRPr="004149D2">
        <w:rPr>
          <w:rFonts w:asciiTheme="majorBidi" w:hAnsiTheme="majorBidi" w:cstheme="majorBidi"/>
          <w:sz w:val="24"/>
          <w:szCs w:val="24"/>
        </w:rPr>
        <w:t xml:space="preserve"> M</w:t>
      </w:r>
      <w:r w:rsidRPr="004149D2">
        <w:rPr>
          <w:rFonts w:asciiTheme="majorBidi" w:hAnsiTheme="majorBidi" w:cstheme="majorBidi"/>
          <w:sz w:val="24"/>
          <w:szCs w:val="24"/>
        </w:rPr>
        <w:t>, Chen</w:t>
      </w:r>
      <w:r w:rsidR="00FD39BB" w:rsidRPr="004149D2">
        <w:rPr>
          <w:rFonts w:asciiTheme="majorBidi" w:hAnsiTheme="majorBidi" w:cstheme="majorBidi"/>
          <w:sz w:val="24"/>
          <w:szCs w:val="24"/>
        </w:rPr>
        <w:t xml:space="preserve"> L</w:t>
      </w:r>
      <w:r w:rsidRPr="004149D2">
        <w:rPr>
          <w:rFonts w:asciiTheme="majorBidi" w:hAnsiTheme="majorBidi" w:cstheme="majorBidi"/>
          <w:sz w:val="24"/>
          <w:szCs w:val="24"/>
        </w:rPr>
        <w:t xml:space="preserve">, </w:t>
      </w:r>
      <w:proofErr w:type="spellStart"/>
      <w:r w:rsidRPr="004149D2">
        <w:rPr>
          <w:rFonts w:asciiTheme="majorBidi" w:hAnsiTheme="majorBidi" w:cstheme="majorBidi"/>
          <w:sz w:val="24"/>
          <w:szCs w:val="24"/>
        </w:rPr>
        <w:t>Rassent</w:t>
      </w:r>
      <w:proofErr w:type="spellEnd"/>
      <w:r w:rsidR="00FD39BB" w:rsidRPr="004149D2">
        <w:rPr>
          <w:rFonts w:asciiTheme="majorBidi" w:hAnsiTheme="majorBidi" w:cstheme="majorBidi"/>
          <w:sz w:val="24"/>
          <w:szCs w:val="24"/>
        </w:rPr>
        <w:t xml:space="preserve"> L Z,</w:t>
      </w:r>
      <w:r w:rsidR="004149D2" w:rsidRPr="004149D2">
        <w:rPr>
          <w:rFonts w:asciiTheme="majorBidi" w:hAnsiTheme="majorBidi" w:cstheme="majorBidi"/>
          <w:sz w:val="24"/>
          <w:szCs w:val="24"/>
        </w:rPr>
        <w:t xml:space="preserve"> </w:t>
      </w:r>
      <w:r w:rsidRPr="004149D2">
        <w:rPr>
          <w:rFonts w:asciiTheme="majorBidi" w:hAnsiTheme="majorBidi" w:cstheme="majorBidi"/>
          <w:sz w:val="24"/>
          <w:szCs w:val="24"/>
        </w:rPr>
        <w:t>et al</w:t>
      </w:r>
      <w:r w:rsidR="00FD39BB" w:rsidRPr="004149D2">
        <w:rPr>
          <w:rFonts w:asciiTheme="majorBidi" w:hAnsiTheme="majorBidi" w:cstheme="majorBidi"/>
          <w:sz w:val="24"/>
          <w:szCs w:val="24"/>
        </w:rPr>
        <w:t>.</w:t>
      </w:r>
      <w:r w:rsidRPr="004149D2">
        <w:rPr>
          <w:rFonts w:asciiTheme="majorBidi" w:hAnsiTheme="majorBidi" w:cstheme="majorBidi"/>
          <w:sz w:val="24"/>
          <w:szCs w:val="24"/>
        </w:rPr>
        <w:t xml:space="preserve"> miR-150 influences B-cell receptor signaling in chronic lymphocytic leukemia by regulating expression of GAB1 and FOXP1Blood. 2014 Jul 3; 124(1): 84–95.</w:t>
      </w:r>
    </w:p>
    <w:p w14:paraId="4EC508F1" w14:textId="7C1EE715" w:rsidR="00E729CD" w:rsidRPr="004149D2" w:rsidRDefault="00871AC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2</w:t>
      </w:r>
      <w:r w:rsidR="00105658" w:rsidRPr="004149D2">
        <w:rPr>
          <w:rFonts w:asciiTheme="majorBidi" w:hAnsiTheme="majorBidi" w:cstheme="majorBidi"/>
          <w:sz w:val="24"/>
          <w:szCs w:val="24"/>
        </w:rPr>
        <w:t>1</w:t>
      </w:r>
      <w:r w:rsidRPr="004149D2">
        <w:rPr>
          <w:rFonts w:asciiTheme="majorBidi" w:hAnsiTheme="majorBidi" w:cstheme="majorBidi"/>
          <w:sz w:val="24"/>
          <w:szCs w:val="24"/>
        </w:rPr>
        <w:t>.</w:t>
      </w:r>
      <w:r w:rsidR="00FD39BB" w:rsidRPr="004149D2">
        <w:rPr>
          <w:rFonts w:asciiTheme="majorBidi" w:hAnsiTheme="majorBidi" w:cstheme="majorBidi"/>
          <w:sz w:val="24"/>
          <w:szCs w:val="24"/>
        </w:rPr>
        <w:t xml:space="preserve"> </w:t>
      </w:r>
      <w:r w:rsidRPr="004149D2">
        <w:rPr>
          <w:rFonts w:asciiTheme="majorBidi" w:hAnsiTheme="majorBidi" w:cstheme="majorBidi"/>
          <w:sz w:val="24"/>
          <w:szCs w:val="24"/>
        </w:rPr>
        <w:t>Ling</w:t>
      </w:r>
      <w:r w:rsidR="00FD39BB" w:rsidRPr="004149D2">
        <w:rPr>
          <w:rFonts w:asciiTheme="majorBidi" w:hAnsiTheme="majorBidi" w:cstheme="majorBidi"/>
          <w:sz w:val="24"/>
          <w:szCs w:val="24"/>
        </w:rPr>
        <w:t xml:space="preserve"> Z</w:t>
      </w:r>
      <w:r w:rsidRPr="004149D2">
        <w:rPr>
          <w:rFonts w:asciiTheme="majorBidi" w:hAnsiTheme="majorBidi" w:cstheme="majorBidi"/>
          <w:sz w:val="24"/>
          <w:szCs w:val="24"/>
        </w:rPr>
        <w:t xml:space="preserve">, </w:t>
      </w:r>
      <w:proofErr w:type="spellStart"/>
      <w:r w:rsidRPr="004149D2">
        <w:rPr>
          <w:rFonts w:asciiTheme="majorBidi" w:hAnsiTheme="majorBidi" w:cstheme="majorBidi"/>
          <w:sz w:val="24"/>
          <w:szCs w:val="24"/>
        </w:rPr>
        <w:t>Gentao</w:t>
      </w:r>
      <w:proofErr w:type="spellEnd"/>
      <w:r w:rsidRPr="004149D2">
        <w:rPr>
          <w:rFonts w:asciiTheme="majorBidi" w:hAnsiTheme="majorBidi" w:cstheme="majorBidi"/>
          <w:sz w:val="24"/>
          <w:szCs w:val="24"/>
        </w:rPr>
        <w:t xml:space="preserve"> Fan, </w:t>
      </w:r>
      <w:proofErr w:type="spellStart"/>
      <w:r w:rsidRPr="004149D2">
        <w:rPr>
          <w:rFonts w:asciiTheme="majorBidi" w:hAnsiTheme="majorBidi" w:cstheme="majorBidi"/>
          <w:sz w:val="24"/>
          <w:szCs w:val="24"/>
        </w:rPr>
        <w:t>Danhua</w:t>
      </w:r>
      <w:proofErr w:type="spellEnd"/>
      <w:r w:rsidRPr="004149D2">
        <w:rPr>
          <w:rFonts w:asciiTheme="majorBidi" w:hAnsiTheme="majorBidi" w:cstheme="majorBidi"/>
          <w:sz w:val="24"/>
          <w:szCs w:val="24"/>
        </w:rPr>
        <w:t xml:space="preserve"> Yao, </w:t>
      </w:r>
      <w:r w:rsidR="004149D2" w:rsidRPr="004149D2">
        <w:rPr>
          <w:rFonts w:asciiTheme="majorBidi" w:hAnsiTheme="majorBidi" w:cstheme="majorBidi"/>
          <w:sz w:val="24"/>
          <w:szCs w:val="24"/>
        </w:rPr>
        <w:t>et al.</w:t>
      </w:r>
      <w:r w:rsidRPr="004149D2">
        <w:rPr>
          <w:rFonts w:asciiTheme="majorBidi" w:hAnsiTheme="majorBidi" w:cstheme="majorBidi"/>
          <w:sz w:val="24"/>
          <w:szCs w:val="24"/>
        </w:rPr>
        <w:t xml:space="preserve"> MicroRNA-150 functions </w:t>
      </w:r>
      <w:bookmarkStart w:id="46" w:name="_Hlk125505000"/>
      <w:r w:rsidRPr="004149D2">
        <w:rPr>
          <w:rFonts w:asciiTheme="majorBidi" w:hAnsiTheme="majorBidi" w:cstheme="majorBidi"/>
          <w:sz w:val="24"/>
          <w:szCs w:val="24"/>
        </w:rPr>
        <w:t>as a tumor suppressor and sensitizes osteosarcoma to doxorubicin-induced apoptosis by targeting RUNX2</w:t>
      </w:r>
      <w:bookmarkEnd w:id="46"/>
      <w:r w:rsidRPr="004149D2">
        <w:rPr>
          <w:rFonts w:asciiTheme="majorBidi" w:hAnsiTheme="majorBidi" w:cstheme="majorBidi"/>
          <w:sz w:val="24"/>
          <w:szCs w:val="24"/>
        </w:rPr>
        <w:t xml:space="preserve">Exp </w:t>
      </w:r>
      <w:proofErr w:type="spellStart"/>
      <w:r w:rsidRPr="004149D2">
        <w:rPr>
          <w:rFonts w:asciiTheme="majorBidi" w:hAnsiTheme="majorBidi" w:cstheme="majorBidi"/>
          <w:sz w:val="24"/>
          <w:szCs w:val="24"/>
        </w:rPr>
        <w:t>Ther</w:t>
      </w:r>
      <w:proofErr w:type="spellEnd"/>
      <w:r w:rsidRPr="004149D2">
        <w:rPr>
          <w:rFonts w:asciiTheme="majorBidi" w:hAnsiTheme="majorBidi" w:cstheme="majorBidi"/>
          <w:sz w:val="24"/>
          <w:szCs w:val="24"/>
        </w:rPr>
        <w:t xml:space="preserve"> Med. 2020 Jan; 19(1): 481–488.</w:t>
      </w:r>
    </w:p>
    <w:p w14:paraId="7097420C" w14:textId="74B50C26" w:rsidR="00874A85" w:rsidRPr="00E30642" w:rsidRDefault="00871AC8" w:rsidP="004149D2">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2</w:t>
      </w:r>
      <w:r w:rsidR="00105658" w:rsidRPr="004149D2">
        <w:rPr>
          <w:rFonts w:asciiTheme="majorBidi" w:hAnsiTheme="majorBidi" w:cstheme="majorBidi"/>
          <w:sz w:val="24"/>
          <w:szCs w:val="24"/>
        </w:rPr>
        <w:t>2</w:t>
      </w:r>
      <w:r w:rsidRPr="004149D2">
        <w:rPr>
          <w:rFonts w:asciiTheme="majorBidi" w:hAnsiTheme="majorBidi" w:cstheme="majorBidi"/>
          <w:sz w:val="24"/>
          <w:szCs w:val="24"/>
        </w:rPr>
        <w:t xml:space="preserve">. </w:t>
      </w:r>
      <w:bookmarkStart w:id="47" w:name="_Hlk125506551"/>
      <w:proofErr w:type="spellStart"/>
      <w:r w:rsidRPr="004149D2">
        <w:rPr>
          <w:rFonts w:asciiTheme="majorBidi" w:hAnsiTheme="majorBidi" w:cstheme="majorBidi"/>
          <w:sz w:val="24"/>
          <w:szCs w:val="24"/>
        </w:rPr>
        <w:t>Szurián</w:t>
      </w:r>
      <w:bookmarkEnd w:id="47"/>
      <w:proofErr w:type="spellEnd"/>
      <w:r w:rsidRPr="004149D2">
        <w:rPr>
          <w:rFonts w:asciiTheme="majorBidi" w:hAnsiTheme="majorBidi" w:cstheme="majorBidi"/>
          <w:sz w:val="24"/>
          <w:szCs w:val="24"/>
        </w:rPr>
        <w:t xml:space="preserve"> K, </w:t>
      </w:r>
      <w:proofErr w:type="spellStart"/>
      <w:r w:rsidRPr="004149D2">
        <w:rPr>
          <w:rFonts w:asciiTheme="majorBidi" w:hAnsiTheme="majorBidi" w:cstheme="majorBidi"/>
          <w:sz w:val="24"/>
          <w:szCs w:val="24"/>
        </w:rPr>
        <w:t>Csala</w:t>
      </w:r>
      <w:proofErr w:type="spellEnd"/>
      <w:r w:rsidRPr="004149D2">
        <w:rPr>
          <w:rFonts w:asciiTheme="majorBidi" w:hAnsiTheme="majorBidi" w:cstheme="majorBidi"/>
          <w:sz w:val="24"/>
          <w:szCs w:val="24"/>
        </w:rPr>
        <w:t xml:space="preserve"> I, </w:t>
      </w:r>
      <w:proofErr w:type="spellStart"/>
      <w:r w:rsidRPr="004149D2">
        <w:rPr>
          <w:rFonts w:asciiTheme="majorBidi" w:hAnsiTheme="majorBidi" w:cstheme="majorBidi"/>
          <w:sz w:val="24"/>
          <w:szCs w:val="24"/>
        </w:rPr>
        <w:t>Piurkó</w:t>
      </w:r>
      <w:proofErr w:type="spellEnd"/>
      <w:r w:rsidRPr="004149D2">
        <w:rPr>
          <w:rFonts w:asciiTheme="majorBidi" w:hAnsiTheme="majorBidi" w:cstheme="majorBidi"/>
          <w:sz w:val="24"/>
          <w:szCs w:val="24"/>
        </w:rPr>
        <w:t xml:space="preserve"> V, </w:t>
      </w:r>
      <w:proofErr w:type="spellStart"/>
      <w:r w:rsidRPr="004149D2">
        <w:rPr>
          <w:rFonts w:asciiTheme="majorBidi" w:hAnsiTheme="majorBidi" w:cstheme="majorBidi"/>
          <w:sz w:val="24"/>
          <w:szCs w:val="24"/>
        </w:rPr>
        <w:t>Deák</w:t>
      </w:r>
      <w:proofErr w:type="spellEnd"/>
      <w:r w:rsidRPr="004149D2">
        <w:rPr>
          <w:rFonts w:asciiTheme="majorBidi" w:hAnsiTheme="majorBidi" w:cstheme="majorBidi"/>
          <w:sz w:val="24"/>
          <w:szCs w:val="24"/>
        </w:rPr>
        <w:t xml:space="preserve"> L, </w:t>
      </w:r>
      <w:proofErr w:type="spellStart"/>
      <w:r w:rsidRPr="004149D2">
        <w:rPr>
          <w:rFonts w:asciiTheme="majorBidi" w:hAnsiTheme="majorBidi" w:cstheme="majorBidi"/>
          <w:sz w:val="24"/>
          <w:szCs w:val="24"/>
        </w:rPr>
        <w:t>Matolcsy</w:t>
      </w:r>
      <w:proofErr w:type="spellEnd"/>
      <w:r w:rsidRPr="004149D2">
        <w:rPr>
          <w:rFonts w:asciiTheme="majorBidi" w:hAnsiTheme="majorBidi" w:cstheme="majorBidi"/>
          <w:sz w:val="24"/>
          <w:szCs w:val="24"/>
        </w:rPr>
        <w:t xml:space="preserve"> A, </w:t>
      </w:r>
      <w:proofErr w:type="spellStart"/>
      <w:r w:rsidRPr="004149D2">
        <w:rPr>
          <w:rFonts w:asciiTheme="majorBidi" w:hAnsiTheme="majorBidi" w:cstheme="majorBidi"/>
          <w:sz w:val="24"/>
          <w:szCs w:val="24"/>
        </w:rPr>
        <w:t>Reiniger</w:t>
      </w:r>
      <w:proofErr w:type="spellEnd"/>
      <w:r w:rsidRPr="004149D2">
        <w:rPr>
          <w:rFonts w:asciiTheme="majorBidi" w:hAnsiTheme="majorBidi" w:cstheme="majorBidi"/>
          <w:sz w:val="24"/>
          <w:szCs w:val="24"/>
        </w:rPr>
        <w:t xml:space="preserve"> L. Quantitative </w:t>
      </w:r>
      <w:proofErr w:type="spellStart"/>
      <w:r w:rsidRPr="004149D2">
        <w:rPr>
          <w:rFonts w:asciiTheme="majorBidi" w:hAnsiTheme="majorBidi" w:cstheme="majorBidi"/>
          <w:sz w:val="24"/>
          <w:szCs w:val="24"/>
        </w:rPr>
        <w:t>miR</w:t>
      </w:r>
      <w:proofErr w:type="spellEnd"/>
      <w:r w:rsidRPr="004149D2">
        <w:rPr>
          <w:rFonts w:asciiTheme="majorBidi" w:hAnsiTheme="majorBidi" w:cstheme="majorBidi"/>
          <w:sz w:val="24"/>
          <w:szCs w:val="24"/>
        </w:rPr>
        <w:t xml:space="preserve"> analysis in chronic lymphocytic </w:t>
      </w:r>
      <w:proofErr w:type="spellStart"/>
      <w:r w:rsidRPr="004149D2">
        <w:rPr>
          <w:rFonts w:asciiTheme="majorBidi" w:hAnsiTheme="majorBidi" w:cstheme="majorBidi"/>
          <w:sz w:val="24"/>
          <w:szCs w:val="24"/>
        </w:rPr>
        <w:t>leukaemia</w:t>
      </w:r>
      <w:proofErr w:type="spellEnd"/>
      <w:r w:rsidRPr="004149D2">
        <w:rPr>
          <w:rFonts w:asciiTheme="majorBidi" w:hAnsiTheme="majorBidi" w:cstheme="majorBidi"/>
          <w:sz w:val="24"/>
          <w:szCs w:val="24"/>
        </w:rPr>
        <w:t xml:space="preserve">/small lymphocytic lymphoma-proliferation </w:t>
      </w:r>
      <w:proofErr w:type="spellStart"/>
      <w:r w:rsidRPr="004149D2">
        <w:rPr>
          <w:rFonts w:asciiTheme="majorBidi" w:hAnsiTheme="majorBidi" w:cstheme="majorBidi"/>
          <w:sz w:val="24"/>
          <w:szCs w:val="24"/>
        </w:rPr>
        <w:t>centres</w:t>
      </w:r>
      <w:proofErr w:type="spellEnd"/>
      <w:r w:rsidRPr="004149D2">
        <w:rPr>
          <w:rFonts w:asciiTheme="majorBidi" w:hAnsiTheme="majorBidi" w:cstheme="majorBidi"/>
          <w:sz w:val="24"/>
          <w:szCs w:val="24"/>
        </w:rPr>
        <w:t xml:space="preserve"> are characterized by high miR-92a and miR-155 and low miR-150 expression. Leuk Res. 2017;58:39–42. </w:t>
      </w:r>
      <w:proofErr w:type="spellStart"/>
      <w:r w:rsidRPr="004149D2">
        <w:rPr>
          <w:rFonts w:asciiTheme="majorBidi" w:hAnsiTheme="majorBidi" w:cstheme="majorBidi"/>
          <w:sz w:val="24"/>
          <w:szCs w:val="24"/>
        </w:rPr>
        <w:t>doi</w:t>
      </w:r>
      <w:proofErr w:type="spellEnd"/>
      <w:r w:rsidRPr="004149D2">
        <w:rPr>
          <w:rFonts w:asciiTheme="majorBidi" w:hAnsiTheme="majorBidi" w:cstheme="majorBidi"/>
          <w:sz w:val="24"/>
          <w:szCs w:val="24"/>
        </w:rPr>
        <w:t>: 10.1016/j.leukres.2017.04.002.</w:t>
      </w:r>
    </w:p>
    <w:p w14:paraId="53D9C574" w14:textId="22DDD46E" w:rsidR="00874A85" w:rsidRPr="004149D2" w:rsidRDefault="00871AC8" w:rsidP="0096577E">
      <w:pPr>
        <w:spacing w:line="360" w:lineRule="auto"/>
        <w:jc w:val="both"/>
        <w:rPr>
          <w:rFonts w:asciiTheme="majorBidi" w:hAnsiTheme="majorBidi" w:cstheme="majorBidi"/>
          <w:sz w:val="24"/>
          <w:szCs w:val="24"/>
        </w:rPr>
      </w:pPr>
      <w:r w:rsidRPr="004149D2">
        <w:rPr>
          <w:rFonts w:asciiTheme="majorBidi" w:hAnsiTheme="majorBidi" w:cstheme="majorBidi"/>
          <w:sz w:val="24"/>
          <w:szCs w:val="24"/>
        </w:rPr>
        <w:t>2</w:t>
      </w:r>
      <w:r w:rsidR="00105658" w:rsidRPr="004149D2">
        <w:rPr>
          <w:rFonts w:asciiTheme="majorBidi" w:hAnsiTheme="majorBidi" w:cstheme="majorBidi"/>
          <w:sz w:val="24"/>
          <w:szCs w:val="24"/>
        </w:rPr>
        <w:t>3</w:t>
      </w:r>
      <w:r w:rsidRPr="004149D2">
        <w:rPr>
          <w:rFonts w:asciiTheme="majorBidi" w:hAnsiTheme="majorBidi" w:cstheme="majorBidi"/>
          <w:sz w:val="24"/>
          <w:szCs w:val="24"/>
        </w:rPr>
        <w:t>.Chiaretti</w:t>
      </w:r>
      <w:r w:rsidR="00105658" w:rsidRPr="004149D2">
        <w:rPr>
          <w:rFonts w:asciiTheme="majorBidi" w:hAnsiTheme="majorBidi" w:cstheme="majorBidi"/>
          <w:sz w:val="24"/>
          <w:szCs w:val="24"/>
        </w:rPr>
        <w:t xml:space="preserve"> S</w:t>
      </w:r>
      <w:r w:rsidRPr="004149D2">
        <w:rPr>
          <w:rFonts w:asciiTheme="majorBidi" w:hAnsiTheme="majorBidi" w:cstheme="majorBidi"/>
          <w:sz w:val="24"/>
          <w:szCs w:val="24"/>
        </w:rPr>
        <w:t>,</w:t>
      </w:r>
      <w:r w:rsidR="00105658" w:rsidRPr="004149D2">
        <w:rPr>
          <w:rFonts w:asciiTheme="majorBidi" w:hAnsiTheme="majorBidi" w:cstheme="majorBidi"/>
          <w:sz w:val="24"/>
          <w:szCs w:val="24"/>
        </w:rPr>
        <w:t xml:space="preserve"> </w:t>
      </w:r>
      <w:r w:rsidRPr="004149D2">
        <w:rPr>
          <w:rFonts w:asciiTheme="majorBidi" w:hAnsiTheme="majorBidi" w:cstheme="majorBidi"/>
          <w:sz w:val="24"/>
          <w:szCs w:val="24"/>
        </w:rPr>
        <w:t>Valerio</w:t>
      </w:r>
      <w:r w:rsidR="00105658" w:rsidRPr="004149D2">
        <w:rPr>
          <w:rFonts w:asciiTheme="majorBidi" w:hAnsiTheme="majorBidi" w:cstheme="majorBidi"/>
          <w:sz w:val="24"/>
          <w:szCs w:val="24"/>
        </w:rPr>
        <w:t xml:space="preserve"> </w:t>
      </w:r>
      <w:proofErr w:type="spellStart"/>
      <w:r w:rsidRPr="004149D2">
        <w:rPr>
          <w:rFonts w:asciiTheme="majorBidi" w:hAnsiTheme="majorBidi" w:cstheme="majorBidi"/>
          <w:sz w:val="24"/>
          <w:szCs w:val="24"/>
        </w:rPr>
        <w:t>Fulci</w:t>
      </w:r>
      <w:proofErr w:type="spellEnd"/>
      <w:r w:rsidR="00105658" w:rsidRPr="004149D2">
        <w:rPr>
          <w:rFonts w:asciiTheme="majorBidi" w:hAnsiTheme="majorBidi" w:cstheme="majorBidi"/>
          <w:sz w:val="24"/>
          <w:szCs w:val="24"/>
        </w:rPr>
        <w:t xml:space="preserve"> V</w:t>
      </w:r>
      <w:r w:rsidRPr="004149D2">
        <w:rPr>
          <w:rFonts w:asciiTheme="majorBidi" w:hAnsiTheme="majorBidi" w:cstheme="majorBidi"/>
          <w:sz w:val="24"/>
          <w:szCs w:val="24"/>
        </w:rPr>
        <w:t>,</w:t>
      </w:r>
      <w:r w:rsidR="00105658" w:rsidRPr="004149D2">
        <w:rPr>
          <w:rFonts w:asciiTheme="majorBidi" w:hAnsiTheme="majorBidi" w:cstheme="majorBidi"/>
          <w:sz w:val="24"/>
          <w:szCs w:val="24"/>
        </w:rPr>
        <w:t xml:space="preserve"> </w:t>
      </w:r>
      <w:r w:rsidRPr="004149D2">
        <w:rPr>
          <w:rFonts w:asciiTheme="majorBidi" w:hAnsiTheme="majorBidi" w:cstheme="majorBidi"/>
          <w:sz w:val="24"/>
          <w:szCs w:val="24"/>
        </w:rPr>
        <w:t>Marina</w:t>
      </w:r>
      <w:r w:rsidR="00105658" w:rsidRPr="004149D2">
        <w:rPr>
          <w:rFonts w:asciiTheme="majorBidi" w:hAnsiTheme="majorBidi" w:cstheme="majorBidi"/>
          <w:sz w:val="24"/>
          <w:szCs w:val="24"/>
        </w:rPr>
        <w:t xml:space="preserve"> </w:t>
      </w:r>
      <w:r w:rsidRPr="004149D2">
        <w:rPr>
          <w:rFonts w:asciiTheme="majorBidi" w:hAnsiTheme="majorBidi" w:cstheme="majorBidi"/>
          <w:sz w:val="24"/>
          <w:szCs w:val="24"/>
        </w:rPr>
        <w:t>Goldoni</w:t>
      </w:r>
      <w:r w:rsidR="00105658" w:rsidRPr="004149D2">
        <w:rPr>
          <w:rFonts w:asciiTheme="majorBidi" w:hAnsiTheme="majorBidi" w:cstheme="majorBidi"/>
          <w:sz w:val="24"/>
          <w:szCs w:val="24"/>
        </w:rPr>
        <w:t xml:space="preserve"> </w:t>
      </w:r>
      <w:r w:rsidRPr="004149D2">
        <w:rPr>
          <w:rFonts w:asciiTheme="majorBidi" w:hAnsiTheme="majorBidi" w:cstheme="majorBidi"/>
          <w:sz w:val="24"/>
          <w:szCs w:val="24"/>
        </w:rPr>
        <w:t xml:space="preserve">BS, e </w:t>
      </w:r>
      <w:r w:rsidR="0096577E" w:rsidRPr="004149D2">
        <w:rPr>
          <w:rFonts w:asciiTheme="majorBidi" w:hAnsiTheme="majorBidi" w:cstheme="majorBidi"/>
          <w:sz w:val="24"/>
          <w:szCs w:val="24"/>
        </w:rPr>
        <w:t>al. The</w:t>
      </w:r>
      <w:r w:rsidRPr="004149D2">
        <w:rPr>
          <w:rFonts w:asciiTheme="majorBidi" w:hAnsiTheme="majorBidi" w:cstheme="majorBidi"/>
          <w:sz w:val="24"/>
          <w:szCs w:val="24"/>
        </w:rPr>
        <w:t xml:space="preserve"> MicroRNA (</w:t>
      </w:r>
      <w:proofErr w:type="spellStart"/>
      <w:r w:rsidRPr="004149D2">
        <w:rPr>
          <w:rFonts w:asciiTheme="majorBidi" w:hAnsiTheme="majorBidi" w:cstheme="majorBidi"/>
          <w:sz w:val="24"/>
          <w:szCs w:val="24"/>
        </w:rPr>
        <w:t>miR</w:t>
      </w:r>
      <w:proofErr w:type="spellEnd"/>
      <w:r w:rsidRPr="004149D2">
        <w:rPr>
          <w:rFonts w:asciiTheme="majorBidi" w:hAnsiTheme="majorBidi" w:cstheme="majorBidi"/>
          <w:sz w:val="24"/>
          <w:szCs w:val="24"/>
        </w:rPr>
        <w:t>) Profile in B-Cell Chronic Lymphocytic Leukemia (CLL) Reveals a Differential Expression of miR-21, miR-155</w:t>
      </w:r>
      <w:r w:rsidR="004149D2" w:rsidRPr="004149D2">
        <w:rPr>
          <w:rFonts w:asciiTheme="majorBidi" w:hAnsiTheme="majorBidi" w:cstheme="majorBidi"/>
          <w:sz w:val="24"/>
          <w:szCs w:val="24"/>
        </w:rPr>
        <w:t>,</w:t>
      </w:r>
      <w:r w:rsidRPr="004149D2">
        <w:rPr>
          <w:rFonts w:asciiTheme="majorBidi" w:hAnsiTheme="majorBidi" w:cstheme="majorBidi"/>
          <w:sz w:val="24"/>
          <w:szCs w:val="24"/>
        </w:rPr>
        <w:t xml:space="preserve"> and miR-150 between Leukemic and Normal B Lymphocytes and of miR-150, miR-29bc</w:t>
      </w:r>
      <w:r w:rsidR="004149D2" w:rsidRPr="004149D2">
        <w:rPr>
          <w:rFonts w:asciiTheme="majorBidi" w:hAnsiTheme="majorBidi" w:cstheme="majorBidi"/>
          <w:sz w:val="24"/>
          <w:szCs w:val="24"/>
        </w:rPr>
        <w:t>,</w:t>
      </w:r>
      <w:r w:rsidRPr="004149D2">
        <w:rPr>
          <w:rFonts w:asciiTheme="majorBidi" w:hAnsiTheme="majorBidi" w:cstheme="majorBidi"/>
          <w:sz w:val="24"/>
          <w:szCs w:val="24"/>
        </w:rPr>
        <w:t xml:space="preserve"> and miR-223 between </w:t>
      </w:r>
      <w:proofErr w:type="spellStart"/>
      <w:r w:rsidRPr="004149D2">
        <w:rPr>
          <w:rFonts w:asciiTheme="majorBidi" w:hAnsiTheme="majorBidi" w:cstheme="majorBidi"/>
          <w:sz w:val="24"/>
          <w:szCs w:val="24"/>
        </w:rPr>
        <w:t>IgVH</w:t>
      </w:r>
      <w:proofErr w:type="spellEnd"/>
      <w:r w:rsidRPr="004149D2">
        <w:rPr>
          <w:rFonts w:asciiTheme="majorBidi" w:hAnsiTheme="majorBidi" w:cstheme="majorBidi"/>
          <w:sz w:val="24"/>
          <w:szCs w:val="24"/>
        </w:rPr>
        <w:t xml:space="preserve"> Mutated and Unmutated Patients. Blood, 2006Nov </w:t>
      </w:r>
      <w:r w:rsidR="0096577E" w:rsidRPr="004149D2">
        <w:rPr>
          <w:rFonts w:asciiTheme="majorBidi" w:hAnsiTheme="majorBidi" w:cstheme="majorBidi"/>
          <w:sz w:val="24"/>
          <w:szCs w:val="24"/>
        </w:rPr>
        <w:t>16;</w:t>
      </w:r>
      <w:r w:rsidRPr="004149D2">
        <w:rPr>
          <w:rFonts w:asciiTheme="majorBidi" w:hAnsiTheme="majorBidi" w:cstheme="majorBidi"/>
          <w:sz w:val="24"/>
          <w:szCs w:val="24"/>
        </w:rPr>
        <w:t xml:space="preserve"> </w:t>
      </w:r>
      <w:r w:rsidR="0096577E" w:rsidRPr="004149D2">
        <w:rPr>
          <w:rFonts w:asciiTheme="majorBidi" w:hAnsiTheme="majorBidi" w:cstheme="majorBidi"/>
          <w:sz w:val="24"/>
          <w:szCs w:val="24"/>
        </w:rPr>
        <w:t>108(11</w:t>
      </w:r>
      <w:r w:rsidRPr="004149D2">
        <w:rPr>
          <w:rFonts w:asciiTheme="majorBidi" w:hAnsiTheme="majorBidi" w:cstheme="majorBidi"/>
          <w:sz w:val="24"/>
          <w:szCs w:val="24"/>
        </w:rPr>
        <w:t>):298.</w:t>
      </w:r>
    </w:p>
    <w:sectPr w:rsidR="00874A85" w:rsidRPr="004149D2" w:rsidSect="006E18F5">
      <w:pgSz w:w="12240" w:h="15840"/>
      <w:pgMar w:top="1440" w:right="1800" w:bottom="1440" w:left="1800" w:header="720" w:footer="720" w:gutter="0"/>
      <w:pgNumType w:start="3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AC2E" w14:textId="77777777" w:rsidR="003E7A10" w:rsidRDefault="003E7A10">
      <w:pPr>
        <w:spacing w:after="0" w:line="240" w:lineRule="auto"/>
      </w:pPr>
      <w:r>
        <w:separator/>
      </w:r>
    </w:p>
  </w:endnote>
  <w:endnote w:type="continuationSeparator" w:id="0">
    <w:p w14:paraId="4EE5FB87" w14:textId="77777777" w:rsidR="003E7A10" w:rsidRDefault="003E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dvGulliv-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364449"/>
      <w:docPartObj>
        <w:docPartGallery w:val="Page Numbers (Bottom of Page)"/>
        <w:docPartUnique/>
      </w:docPartObj>
    </w:sdtPr>
    <w:sdtEndPr>
      <w:rPr>
        <w:noProof/>
      </w:rPr>
    </w:sdtEndPr>
    <w:sdtContent>
      <w:sdt>
        <w:sdtPr>
          <w:rPr>
            <w:rFonts w:ascii="Calibri" w:eastAsia="Calibri" w:hAnsi="Calibri" w:cs="Arial"/>
          </w:rPr>
          <w:id w:val="705601247"/>
          <w:docPartObj>
            <w:docPartGallery w:val="Page Numbers (Bottom of Page)"/>
            <w:docPartUnique/>
          </w:docPartObj>
        </w:sdtPr>
        <w:sdtContent>
          <w:sdt>
            <w:sdtPr>
              <w:rPr>
                <w:rFonts w:ascii="Calibri" w:eastAsia="Times New Roman" w:hAnsi="Calibri" w:cs="Times New Roman"/>
                <w:sz w:val="28"/>
                <w:szCs w:val="28"/>
              </w:rPr>
              <w:id w:val="-1146124694"/>
              <w:docPartObj>
                <w:docPartGallery w:val="Page Numbers (Bottom of Page)"/>
                <w:docPartUnique/>
              </w:docPartObj>
            </w:sdtPr>
            <w:sdtContent>
              <w:p w14:paraId="7BC1D345" w14:textId="5092F01C" w:rsidR="002D66B2" w:rsidRPr="002D66B2" w:rsidRDefault="005265E4" w:rsidP="005265E4">
                <w:pPr>
                  <w:pBdr>
                    <w:top w:val="thinThickSmallGap" w:sz="24" w:space="1" w:color="823B0B"/>
                  </w:pBdr>
                  <w:tabs>
                    <w:tab w:val="center" w:pos="4320"/>
                    <w:tab w:val="right" w:pos="8640"/>
                  </w:tabs>
                  <w:spacing w:after="240" w:line="256" w:lineRule="auto"/>
                  <w:ind w:firstLine="357"/>
                  <w:rPr>
                    <w:rFonts w:ascii="Calibri" w:eastAsia="Times New Roman" w:hAnsi="Calibri" w:cs="Times New Roman"/>
                    <w:noProof/>
                    <w:sz w:val="28"/>
                    <w:szCs w:val="28"/>
                  </w:rPr>
                </w:pPr>
                <w:r w:rsidRPr="005265E4">
                  <w:rPr>
                    <w:rFonts w:ascii="Calibri" w:eastAsia="Calibri" w:hAnsi="Calibri" w:cs="Arial"/>
                  </w:rPr>
                  <w:t>Rashad</w:t>
                </w:r>
                <w:r w:rsidR="002D66B2" w:rsidRPr="002D66B2">
                  <w:rPr>
                    <w:rFonts w:ascii="Calibri" w:eastAsia="Calibri" w:hAnsi="Calibri" w:cs="Arial"/>
                  </w:rPr>
                  <w:t xml:space="preserve"> </w:t>
                </w:r>
                <w:r>
                  <w:rPr>
                    <w:rFonts w:ascii="Calibri" w:eastAsia="Calibri" w:hAnsi="Calibri" w:cs="Arial"/>
                  </w:rPr>
                  <w:t xml:space="preserve">NM </w:t>
                </w:r>
                <w:r w:rsidR="002D66B2" w:rsidRPr="002D66B2">
                  <w:rPr>
                    <w:rFonts w:ascii="Calibri" w:eastAsia="Calibri" w:hAnsi="Calibri" w:cs="Arial"/>
                  </w:rPr>
                  <w:t>et al.2023</w:t>
                </w:r>
                <w:r w:rsidR="002D66B2" w:rsidRPr="002D66B2">
                  <w:rPr>
                    <w:rFonts w:ascii="Calibri Light" w:eastAsia="Times New Roman" w:hAnsi="Calibri Light" w:cs="Times New Roman"/>
                  </w:rPr>
                  <w:ptab w:relativeTo="margin" w:alignment="right" w:leader="none"/>
                </w:r>
                <w:r w:rsidR="002D66B2" w:rsidRPr="002D66B2">
                  <w:rPr>
                    <w:rFonts w:ascii="Calibri" w:eastAsia="Times New Roman" w:hAnsi="Calibri" w:cs="Arial"/>
                  </w:rPr>
                  <w:fldChar w:fldCharType="begin"/>
                </w:r>
                <w:r w:rsidR="002D66B2" w:rsidRPr="002D66B2">
                  <w:rPr>
                    <w:rFonts w:ascii="Calibri" w:eastAsia="Calibri" w:hAnsi="Calibri" w:cs="Arial"/>
                  </w:rPr>
                  <w:instrText xml:space="preserve"> PAGE   \* MERGEFORMAT </w:instrText>
                </w:r>
                <w:r w:rsidR="002D66B2" w:rsidRPr="002D66B2">
                  <w:rPr>
                    <w:rFonts w:ascii="Calibri" w:eastAsia="Times New Roman" w:hAnsi="Calibri" w:cs="Arial"/>
                  </w:rPr>
                  <w:fldChar w:fldCharType="separate"/>
                </w:r>
                <w:r w:rsidR="002D66B2" w:rsidRPr="002D66B2">
                  <w:rPr>
                    <w:rFonts w:ascii="Calibri" w:eastAsia="Times New Roman" w:hAnsi="Calibri" w:cs="Arial"/>
                  </w:rPr>
                  <w:t>19</w:t>
                </w:r>
                <w:r w:rsidR="002D66B2" w:rsidRPr="002D66B2">
                  <w:rPr>
                    <w:rFonts w:ascii="Calibri Light" w:eastAsia="Times New Roman" w:hAnsi="Calibri Light" w:cs="Times New Roman"/>
                    <w:noProof/>
                  </w:rPr>
                  <w:fldChar w:fldCharType="end"/>
                </w:r>
              </w:p>
            </w:sdtContent>
          </w:sdt>
          <w:p w14:paraId="55D2E637" w14:textId="77777777" w:rsidR="002D66B2" w:rsidRPr="002D66B2" w:rsidRDefault="00000000" w:rsidP="002D66B2">
            <w:pPr>
              <w:tabs>
                <w:tab w:val="center" w:pos="4320"/>
                <w:tab w:val="right" w:pos="8640"/>
              </w:tabs>
              <w:spacing w:after="0" w:line="240" w:lineRule="auto"/>
              <w:jc w:val="center"/>
              <w:rPr>
                <w:rFonts w:ascii="Calibri" w:eastAsia="Calibri" w:hAnsi="Calibri" w:cs="Arial"/>
                <w:noProof/>
              </w:rPr>
            </w:pPr>
          </w:p>
        </w:sdtContent>
      </w:sdt>
      <w:p w14:paraId="7926B578" w14:textId="16D6B868" w:rsidR="003B0F62" w:rsidRDefault="00000000" w:rsidP="006E18F5">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BF3F" w14:textId="77777777" w:rsidR="003E7A10" w:rsidRDefault="003E7A10">
      <w:pPr>
        <w:spacing w:after="0" w:line="240" w:lineRule="auto"/>
      </w:pPr>
      <w:r>
        <w:separator/>
      </w:r>
    </w:p>
  </w:footnote>
  <w:footnote w:type="continuationSeparator" w:id="0">
    <w:p w14:paraId="6F09B5B1" w14:textId="77777777" w:rsidR="003E7A10" w:rsidRDefault="003E7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8503" w14:textId="77777777" w:rsidR="002D66B2" w:rsidRPr="002D66B2" w:rsidRDefault="002D66B2" w:rsidP="002D66B2">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2D66B2">
      <w:rPr>
        <w:rFonts w:ascii="Cambria" w:eastAsia="Times New Roman" w:hAnsi="Cambria" w:cs="Times New Roman"/>
        <w:sz w:val="18"/>
        <w:szCs w:val="18"/>
      </w:rPr>
      <w:t>African journal of gastroenterology and hepatology</w:t>
    </w:r>
    <w:r w:rsidRPr="002D66B2">
      <w:rPr>
        <w:rFonts w:ascii="Cambria" w:eastAsia="Times New Roman" w:hAnsi="Cambria" w:cs="Times New Roman"/>
        <w:sz w:val="18"/>
        <w:szCs w:val="18"/>
      </w:rPr>
      <w:tab/>
    </w:r>
    <w:r w:rsidRPr="002D66B2">
      <w:rPr>
        <w:rFonts w:ascii="Calibri Light" w:eastAsia="Times New Roman" w:hAnsi="Calibri Light" w:cs="Times New Roman"/>
        <w:noProof/>
        <w:sz w:val="32"/>
        <w:szCs w:val="32"/>
      </w:rPr>
      <w:drawing>
        <wp:inline distT="0" distB="0" distL="0" distR="0" wp14:anchorId="3BFD5FD5" wp14:editId="02523856">
          <wp:extent cx="1449070" cy="21272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12725"/>
                  </a:xfrm>
                  <a:prstGeom prst="rect">
                    <a:avLst/>
                  </a:prstGeom>
                  <a:noFill/>
                  <a:ln>
                    <a:noFill/>
                  </a:ln>
                </pic:spPr>
              </pic:pic>
            </a:graphicData>
          </a:graphic>
        </wp:inline>
      </w:drawing>
    </w:r>
  </w:p>
  <w:p w14:paraId="7F10A0FF" w14:textId="77777777" w:rsidR="002D66B2" w:rsidRPr="002D66B2" w:rsidRDefault="002D66B2" w:rsidP="002D66B2">
    <w:pPr>
      <w:tabs>
        <w:tab w:val="center" w:pos="4680"/>
        <w:tab w:val="right" w:pos="9360"/>
      </w:tabs>
      <w:spacing w:after="0" w:line="240" w:lineRule="auto"/>
      <w:rPr>
        <w:rFonts w:ascii="Calibri" w:eastAsia="Calibri" w:hAnsi="Calibri" w:cs="Arial"/>
      </w:rPr>
    </w:pPr>
    <w:r w:rsidRPr="002D66B2">
      <w:rPr>
        <w:rFonts w:ascii="Times New Roman" w:eastAsia="Times New Roman" w:hAnsi="Times New Roman" w:cs="Arial"/>
        <w:noProof/>
        <w:sz w:val="24"/>
        <w:szCs w:val="24"/>
        <w:lang w:val="fr-FR" w:eastAsia="ja-JP"/>
      </w:rPr>
      <mc:AlternateContent>
        <mc:Choice Requires="wps">
          <w:drawing>
            <wp:anchor distT="0" distB="0" distL="114300" distR="114300" simplePos="0" relativeHeight="251659264" behindDoc="0" locked="0" layoutInCell="1" allowOverlap="1" wp14:anchorId="2747F96F" wp14:editId="0F38E807">
              <wp:simplePos x="0" y="0"/>
              <wp:positionH relativeFrom="margin">
                <wp:posOffset>27940</wp:posOffset>
              </wp:positionH>
              <wp:positionV relativeFrom="page">
                <wp:posOffset>1030605</wp:posOffset>
              </wp:positionV>
              <wp:extent cx="1358265" cy="300355"/>
              <wp:effectExtent l="0" t="0" r="13335" b="234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7630" cy="300355"/>
                      </a:xfrm>
                      <a:prstGeom prst="rect">
                        <a:avLst/>
                      </a:prstGeom>
                      <a:solidFill>
                        <a:srgbClr val="00B0F0"/>
                      </a:solidFill>
                      <a:ln w="6350">
                        <a:solidFill>
                          <a:prstClr val="black"/>
                        </a:solidFill>
                      </a:ln>
                    </wps:spPr>
                    <wps:txbx>
                      <w:txbxContent>
                        <w:p w14:paraId="01BD3648" w14:textId="77777777" w:rsidR="002D66B2" w:rsidRDefault="002D66B2" w:rsidP="002D66B2">
                          <w:r>
                            <w:t>Original Research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7F96F" id="_x0000_t202" coordsize="21600,21600" o:spt="202" path="m,l,21600r21600,l21600,xe">
              <v:stroke joinstyle="miter"/>
              <v:path gradientshapeok="t" o:connecttype="rect"/>
            </v:shapetype>
            <v:shape id="Text Box 6" o:spid="_x0000_s1026" type="#_x0000_t202" style="position:absolute;margin-left:2.2pt;margin-top:81.15pt;width:106.95pt;height:2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" fillcolor="#00b0f0" strokeweight=".5pt">
              <v:path arrowok="t"/>
              <v:textbox>
                <w:txbxContent>
                  <w:p w14:paraId="01BD3648" w14:textId="77777777" w:rsidR="002D66B2" w:rsidRDefault="002D66B2" w:rsidP="002D66B2">
                    <w:r>
                      <w:t>Original Research</w:t>
                    </w:r>
                  </w:p>
                </w:txbxContent>
              </v:textbox>
              <w10:wrap anchorx="margin" anchory="page"/>
            </v:shape>
          </w:pict>
        </mc:Fallback>
      </mc:AlternateContent>
    </w:r>
  </w:p>
  <w:p w14:paraId="0F08160A" w14:textId="77777777" w:rsidR="002D66B2" w:rsidRDefault="002D6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380D"/>
    <w:multiLevelType w:val="multilevel"/>
    <w:tmpl w:val="1544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D0213"/>
    <w:multiLevelType w:val="hybridMultilevel"/>
    <w:tmpl w:val="CC36CE1C"/>
    <w:lvl w:ilvl="0" w:tplc="8F6221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084073">
    <w:abstractNumId w:val="0"/>
  </w:num>
  <w:num w:numId="2" w16cid:durableId="316157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yNjewtDQ1tTA3NzRS0lEKTi0uzszPAykwrAUAoDx79iwAAAA="/>
  </w:docVars>
  <w:rsids>
    <w:rsidRoot w:val="00F17D8C"/>
    <w:rsid w:val="00013C58"/>
    <w:rsid w:val="00017FF3"/>
    <w:rsid w:val="00031D05"/>
    <w:rsid w:val="00034BBF"/>
    <w:rsid w:val="000418B0"/>
    <w:rsid w:val="00050CC4"/>
    <w:rsid w:val="00067E21"/>
    <w:rsid w:val="0007508A"/>
    <w:rsid w:val="00076522"/>
    <w:rsid w:val="000839C9"/>
    <w:rsid w:val="00090878"/>
    <w:rsid w:val="000935D9"/>
    <w:rsid w:val="000A19ED"/>
    <w:rsid w:val="000A227F"/>
    <w:rsid w:val="000C4C5B"/>
    <w:rsid w:val="000E091F"/>
    <w:rsid w:val="000E2ECA"/>
    <w:rsid w:val="000E56C5"/>
    <w:rsid w:val="000F2D2E"/>
    <w:rsid w:val="00105658"/>
    <w:rsid w:val="001353FC"/>
    <w:rsid w:val="00147237"/>
    <w:rsid w:val="00170DCE"/>
    <w:rsid w:val="00193A8C"/>
    <w:rsid w:val="001D1087"/>
    <w:rsid w:val="001D23D8"/>
    <w:rsid w:val="001D2854"/>
    <w:rsid w:val="002035C4"/>
    <w:rsid w:val="0020403C"/>
    <w:rsid w:val="00213F8F"/>
    <w:rsid w:val="00226AA7"/>
    <w:rsid w:val="002362B5"/>
    <w:rsid w:val="00243487"/>
    <w:rsid w:val="002528F6"/>
    <w:rsid w:val="00260D56"/>
    <w:rsid w:val="00261057"/>
    <w:rsid w:val="0029001E"/>
    <w:rsid w:val="002916F4"/>
    <w:rsid w:val="00297749"/>
    <w:rsid w:val="002D66B2"/>
    <w:rsid w:val="002F40F5"/>
    <w:rsid w:val="00315C02"/>
    <w:rsid w:val="003271C8"/>
    <w:rsid w:val="00335011"/>
    <w:rsid w:val="00351494"/>
    <w:rsid w:val="00352B96"/>
    <w:rsid w:val="00364CF1"/>
    <w:rsid w:val="0036564F"/>
    <w:rsid w:val="003937CE"/>
    <w:rsid w:val="003A011B"/>
    <w:rsid w:val="003A1C75"/>
    <w:rsid w:val="003A2C9F"/>
    <w:rsid w:val="003A6C22"/>
    <w:rsid w:val="003B0F62"/>
    <w:rsid w:val="003B7C35"/>
    <w:rsid w:val="003C03D5"/>
    <w:rsid w:val="003C1D5F"/>
    <w:rsid w:val="003D16BF"/>
    <w:rsid w:val="003D5715"/>
    <w:rsid w:val="003E28DC"/>
    <w:rsid w:val="003E72B1"/>
    <w:rsid w:val="003E7A10"/>
    <w:rsid w:val="004149D2"/>
    <w:rsid w:val="00444FDA"/>
    <w:rsid w:val="0045448F"/>
    <w:rsid w:val="00455405"/>
    <w:rsid w:val="0047072B"/>
    <w:rsid w:val="00471D28"/>
    <w:rsid w:val="00473993"/>
    <w:rsid w:val="0047518F"/>
    <w:rsid w:val="00481054"/>
    <w:rsid w:val="00483D89"/>
    <w:rsid w:val="004974F5"/>
    <w:rsid w:val="004A4B67"/>
    <w:rsid w:val="004E4E51"/>
    <w:rsid w:val="004F0E99"/>
    <w:rsid w:val="00503B7D"/>
    <w:rsid w:val="0050586F"/>
    <w:rsid w:val="0051244C"/>
    <w:rsid w:val="005207CE"/>
    <w:rsid w:val="005265E4"/>
    <w:rsid w:val="00537868"/>
    <w:rsid w:val="0055023C"/>
    <w:rsid w:val="00553557"/>
    <w:rsid w:val="005600E9"/>
    <w:rsid w:val="00560BB8"/>
    <w:rsid w:val="005B457A"/>
    <w:rsid w:val="005C0448"/>
    <w:rsid w:val="005C0A83"/>
    <w:rsid w:val="005D126A"/>
    <w:rsid w:val="005D3419"/>
    <w:rsid w:val="005D7A06"/>
    <w:rsid w:val="005E1C7A"/>
    <w:rsid w:val="005E5589"/>
    <w:rsid w:val="005F6E6A"/>
    <w:rsid w:val="0061266D"/>
    <w:rsid w:val="00612C20"/>
    <w:rsid w:val="0063093C"/>
    <w:rsid w:val="006436F0"/>
    <w:rsid w:val="00680B10"/>
    <w:rsid w:val="0068137C"/>
    <w:rsid w:val="00682ED3"/>
    <w:rsid w:val="00684AF9"/>
    <w:rsid w:val="0069710A"/>
    <w:rsid w:val="006C7D75"/>
    <w:rsid w:val="006D4805"/>
    <w:rsid w:val="006E18F5"/>
    <w:rsid w:val="006E4E15"/>
    <w:rsid w:val="007011BE"/>
    <w:rsid w:val="0070288B"/>
    <w:rsid w:val="007079B5"/>
    <w:rsid w:val="0071089E"/>
    <w:rsid w:val="00724CA6"/>
    <w:rsid w:val="007259AC"/>
    <w:rsid w:val="00727817"/>
    <w:rsid w:val="00751498"/>
    <w:rsid w:val="00772757"/>
    <w:rsid w:val="00774B3B"/>
    <w:rsid w:val="00786D71"/>
    <w:rsid w:val="007947AC"/>
    <w:rsid w:val="007B76AA"/>
    <w:rsid w:val="007D3087"/>
    <w:rsid w:val="007D5DDE"/>
    <w:rsid w:val="007E09F8"/>
    <w:rsid w:val="007F1870"/>
    <w:rsid w:val="00814D7C"/>
    <w:rsid w:val="008176BE"/>
    <w:rsid w:val="0082372C"/>
    <w:rsid w:val="00832F07"/>
    <w:rsid w:val="00836B5F"/>
    <w:rsid w:val="008513FA"/>
    <w:rsid w:val="0087184D"/>
    <w:rsid w:val="00871AC8"/>
    <w:rsid w:val="0087328B"/>
    <w:rsid w:val="0087445E"/>
    <w:rsid w:val="00874A85"/>
    <w:rsid w:val="00881138"/>
    <w:rsid w:val="00882D81"/>
    <w:rsid w:val="00884403"/>
    <w:rsid w:val="0088665B"/>
    <w:rsid w:val="008A15F6"/>
    <w:rsid w:val="008A27CA"/>
    <w:rsid w:val="008B76F1"/>
    <w:rsid w:val="008C29C2"/>
    <w:rsid w:val="008C46A4"/>
    <w:rsid w:val="008C75A4"/>
    <w:rsid w:val="008E51DD"/>
    <w:rsid w:val="008F6879"/>
    <w:rsid w:val="008F746B"/>
    <w:rsid w:val="009039CB"/>
    <w:rsid w:val="00912C19"/>
    <w:rsid w:val="00917B1F"/>
    <w:rsid w:val="0093055A"/>
    <w:rsid w:val="00945E83"/>
    <w:rsid w:val="009505D9"/>
    <w:rsid w:val="0096577E"/>
    <w:rsid w:val="00974C3B"/>
    <w:rsid w:val="00977970"/>
    <w:rsid w:val="00990694"/>
    <w:rsid w:val="009A344B"/>
    <w:rsid w:val="009B2C8A"/>
    <w:rsid w:val="009C160B"/>
    <w:rsid w:val="009C563B"/>
    <w:rsid w:val="009D4C15"/>
    <w:rsid w:val="009E230B"/>
    <w:rsid w:val="009F1034"/>
    <w:rsid w:val="00A03602"/>
    <w:rsid w:val="00A1194C"/>
    <w:rsid w:val="00A16038"/>
    <w:rsid w:val="00A16AD5"/>
    <w:rsid w:val="00A31477"/>
    <w:rsid w:val="00A402F2"/>
    <w:rsid w:val="00A63389"/>
    <w:rsid w:val="00A63F51"/>
    <w:rsid w:val="00A70330"/>
    <w:rsid w:val="00A70C9D"/>
    <w:rsid w:val="00A715AF"/>
    <w:rsid w:val="00A71ED0"/>
    <w:rsid w:val="00A77A68"/>
    <w:rsid w:val="00A959B2"/>
    <w:rsid w:val="00A96152"/>
    <w:rsid w:val="00AA39C6"/>
    <w:rsid w:val="00AA7C37"/>
    <w:rsid w:val="00AB5928"/>
    <w:rsid w:val="00AC28F8"/>
    <w:rsid w:val="00AD1A0B"/>
    <w:rsid w:val="00AE0731"/>
    <w:rsid w:val="00B0497A"/>
    <w:rsid w:val="00B10A73"/>
    <w:rsid w:val="00B1280C"/>
    <w:rsid w:val="00B146CB"/>
    <w:rsid w:val="00B14D00"/>
    <w:rsid w:val="00B14E91"/>
    <w:rsid w:val="00B20681"/>
    <w:rsid w:val="00B273F8"/>
    <w:rsid w:val="00B315DF"/>
    <w:rsid w:val="00B4670C"/>
    <w:rsid w:val="00B50EF4"/>
    <w:rsid w:val="00B55CCF"/>
    <w:rsid w:val="00B6533C"/>
    <w:rsid w:val="00B71F9D"/>
    <w:rsid w:val="00B85C54"/>
    <w:rsid w:val="00BB616F"/>
    <w:rsid w:val="00BD733D"/>
    <w:rsid w:val="00BF6093"/>
    <w:rsid w:val="00C03463"/>
    <w:rsid w:val="00C04542"/>
    <w:rsid w:val="00C05559"/>
    <w:rsid w:val="00C11C52"/>
    <w:rsid w:val="00C37550"/>
    <w:rsid w:val="00C408F5"/>
    <w:rsid w:val="00C4509F"/>
    <w:rsid w:val="00C646B5"/>
    <w:rsid w:val="00C6473A"/>
    <w:rsid w:val="00C71685"/>
    <w:rsid w:val="00C746E5"/>
    <w:rsid w:val="00C807A1"/>
    <w:rsid w:val="00C876B9"/>
    <w:rsid w:val="00C95EC7"/>
    <w:rsid w:val="00CA0D03"/>
    <w:rsid w:val="00CA4F8A"/>
    <w:rsid w:val="00CB40DB"/>
    <w:rsid w:val="00CC1230"/>
    <w:rsid w:val="00CE1DD4"/>
    <w:rsid w:val="00CF6678"/>
    <w:rsid w:val="00D02517"/>
    <w:rsid w:val="00D0798B"/>
    <w:rsid w:val="00D11C34"/>
    <w:rsid w:val="00D727CB"/>
    <w:rsid w:val="00D77A06"/>
    <w:rsid w:val="00DA0729"/>
    <w:rsid w:val="00DA2E5F"/>
    <w:rsid w:val="00DA3385"/>
    <w:rsid w:val="00DB5864"/>
    <w:rsid w:val="00DD3CC0"/>
    <w:rsid w:val="00E0224C"/>
    <w:rsid w:val="00E065B1"/>
    <w:rsid w:val="00E20467"/>
    <w:rsid w:val="00E211BE"/>
    <w:rsid w:val="00E24591"/>
    <w:rsid w:val="00E30642"/>
    <w:rsid w:val="00E4000C"/>
    <w:rsid w:val="00E61040"/>
    <w:rsid w:val="00E61E20"/>
    <w:rsid w:val="00E729CD"/>
    <w:rsid w:val="00E7367E"/>
    <w:rsid w:val="00E75E51"/>
    <w:rsid w:val="00E83135"/>
    <w:rsid w:val="00EF1D71"/>
    <w:rsid w:val="00EF2237"/>
    <w:rsid w:val="00F02183"/>
    <w:rsid w:val="00F07976"/>
    <w:rsid w:val="00F17D8C"/>
    <w:rsid w:val="00F26154"/>
    <w:rsid w:val="00F27DDE"/>
    <w:rsid w:val="00F40302"/>
    <w:rsid w:val="00F605C3"/>
    <w:rsid w:val="00F77BE4"/>
    <w:rsid w:val="00F8799E"/>
    <w:rsid w:val="00FA1DC6"/>
    <w:rsid w:val="00FB624A"/>
    <w:rsid w:val="00FD2BDA"/>
    <w:rsid w:val="00FD39BB"/>
    <w:rsid w:val="00FD4062"/>
    <w:rsid w:val="00FE603F"/>
    <w:rsid w:val="00FF38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AADB"/>
  <w15:chartTrackingRefBased/>
  <w15:docId w15:val="{B0653DD5-32AF-49A8-9F43-D4017FF1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03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6B5"/>
    <w:rPr>
      <w:color w:val="0000FF"/>
      <w:u w:val="single"/>
    </w:rPr>
  </w:style>
  <w:style w:type="character" w:customStyle="1" w:styleId="element-citation">
    <w:name w:val="element-citation"/>
    <w:basedOn w:val="DefaultParagraphFont"/>
    <w:rsid w:val="00C646B5"/>
  </w:style>
  <w:style w:type="character" w:customStyle="1" w:styleId="ref-journal">
    <w:name w:val="ref-journal"/>
    <w:basedOn w:val="DefaultParagraphFont"/>
    <w:rsid w:val="00C646B5"/>
  </w:style>
  <w:style w:type="character" w:customStyle="1" w:styleId="ref-vol">
    <w:name w:val="ref-vol"/>
    <w:basedOn w:val="DefaultParagraphFont"/>
    <w:rsid w:val="00C646B5"/>
  </w:style>
  <w:style w:type="character" w:styleId="UnresolvedMention">
    <w:name w:val="Unresolved Mention"/>
    <w:basedOn w:val="DefaultParagraphFont"/>
    <w:uiPriority w:val="99"/>
    <w:semiHidden/>
    <w:unhideWhenUsed/>
    <w:rsid w:val="00F02183"/>
    <w:rPr>
      <w:color w:val="605E5C"/>
      <w:shd w:val="clear" w:color="auto" w:fill="E1DFDD"/>
    </w:rPr>
  </w:style>
  <w:style w:type="paragraph" w:styleId="Header">
    <w:name w:val="header"/>
    <w:basedOn w:val="Normal"/>
    <w:link w:val="HeaderChar"/>
    <w:uiPriority w:val="99"/>
    <w:unhideWhenUsed/>
    <w:rsid w:val="003B0F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0F62"/>
  </w:style>
  <w:style w:type="paragraph" w:styleId="Footer">
    <w:name w:val="footer"/>
    <w:basedOn w:val="Normal"/>
    <w:link w:val="FooterChar"/>
    <w:uiPriority w:val="99"/>
    <w:unhideWhenUsed/>
    <w:rsid w:val="003B0F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0F62"/>
  </w:style>
  <w:style w:type="paragraph" w:styleId="ListParagraph">
    <w:name w:val="List Paragraph"/>
    <w:basedOn w:val="Normal"/>
    <w:uiPriority w:val="34"/>
    <w:qFormat/>
    <w:rsid w:val="00E0224C"/>
    <w:pPr>
      <w:ind w:left="720"/>
      <w:contextualSpacing/>
    </w:pPr>
  </w:style>
  <w:style w:type="table" w:styleId="TableGrid">
    <w:name w:val="Table Grid"/>
    <w:basedOn w:val="TableNormal"/>
    <w:uiPriority w:val="39"/>
    <w:rsid w:val="0047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399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68637">
      <w:bodyDiv w:val="1"/>
      <w:marLeft w:val="0"/>
      <w:marRight w:val="0"/>
      <w:marTop w:val="0"/>
      <w:marBottom w:val="0"/>
      <w:divBdr>
        <w:top w:val="none" w:sz="0" w:space="0" w:color="auto"/>
        <w:left w:val="none" w:sz="0" w:space="0" w:color="auto"/>
        <w:bottom w:val="none" w:sz="0" w:space="0" w:color="auto"/>
        <w:right w:val="none" w:sz="0" w:space="0" w:color="auto"/>
      </w:divBdr>
    </w:div>
    <w:div w:id="147621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gh.journals.ekb.eg/"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n.rashad@zu.edu.eg"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file:///F:\ajgh.2022\Hepatocellular%20Carcinoma%20Post%20Direct%20Anti%20Hepatitis%20C%20Viral%20Agents;%20Clinical%20Features%20and%20Risk%20Factors\after%20author%20revision\AbdAlla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3920</Words>
  <Characters>23876</Characters>
  <Application>Microsoft Office Word</Application>
  <DocSecurity>0</DocSecurity>
  <Lines>1193</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NMAhmmad</dc:creator>
  <cp:lastModifiedBy>salem yousef</cp:lastModifiedBy>
  <cp:revision>29</cp:revision>
  <cp:lastPrinted>2023-03-02T17:06:00Z</cp:lastPrinted>
  <dcterms:created xsi:type="dcterms:W3CDTF">2023-02-27T12:54:00Z</dcterms:created>
  <dcterms:modified xsi:type="dcterms:W3CDTF">2023-03-02T17:09:00Z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f13b7deabe80f558e02d349c690debb700b13f5055c63e8a064d591977abe1db</vt:lpwstr>
  </property>
</Properties>
</file>